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5836/22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5946/22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כבוב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5836/22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5946/22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יוגב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3"/>
        <w:gridCol w:w="5140"/>
      </w:tblGrid>
      <w:tr>
        <w:trPr/>
        <w:tc>
          <w:tcPr>
            <w:tcW w:w="3223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5836/22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5946/22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13.9.2021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15164-01-19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שגיא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והשופט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20.3.2023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5836/22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והמשיב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5946/22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יסלוביץ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5836/22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והמערערת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5946/22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ארויה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שלוס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inks_Kitvei_Start"/>
      <w:bookmarkStart w:id="6" w:name="Links_Kitvei_Start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bookmarkStart w:id="7" w:name="Links_Kitvei_Start"/>
      <w:bookmarkEnd w:id="7"/>
      <w:r>
        <w:rPr>
          <w:rFonts w:ascii="FrankRuehl" w:hAnsi="FrankRuehl" w:cs="FrankRuehl"/>
          <w:sz w:val="24"/>
          <w:sz w:val="24"/>
          <w:rtl w:val="true"/>
        </w:rPr>
        <w:t>כתבי עת</w:t>
      </w:r>
      <w:hyperlink r:id="rId3">
        <w:r>
          <w:rPr>
            <w:rFonts w:cs="FrankRuehl" w:ascii="FrankRuehl" w:hAnsi="FrankRuehl"/>
            <w:sz w:val="24"/>
            <w:rtl w:val="true"/>
          </w:rPr>
          <w:t>: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רות קנאי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, 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האומנם תמיד דין אחד לחושד וליודע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מחקרי משפט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יב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תשנ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sz w:val="24"/>
            <w:u w:val="none"/>
          </w:rPr>
          <w:t>433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8" w:name="Links_Kitvei_End"/>
      <w:bookmarkStart w:id="9" w:name="Links_Kitvei_End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10" w:name="Links_Start"/>
      <w:bookmarkEnd w:id="10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ז פלר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יסודות בדיני עונשין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גיל עשת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הטמעת תיקון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39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לחוק העונשין בפסיקה בישראל 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</w:rPr>
          <w:t>2005-1995</w:t>
        </w:r>
        <w:r>
          <w:rPr>
            <w:rStyle w:val="Hyperlink"/>
            <w:rFonts w:cs="FrankRuehl" w:ascii="FrankRuehl" w:hAnsi="FrankRuehl"/>
            <w:b/>
            <w:bCs/>
            <w:sz w:val="24"/>
            <w:u w:val="none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  (</w:t>
        </w:r>
        <w:r>
          <w:rPr>
            <w:rStyle w:val="Hyperlink"/>
            <w:rFonts w:cs="FrankRuehl" w:ascii="FrankRuehl" w:hAnsi="FrankRuehl"/>
            <w:sz w:val="24"/>
            <w:u w:val="none"/>
          </w:rPr>
          <w:t>2011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7">
        <w:r>
          <w:rPr>
            <w:rtl w:val="true"/>
          </w:rPr>
        </w:r>
      </w:hyperlink>
      <w:bookmarkStart w:id="11" w:name="LawTable"/>
      <w:bookmarkStart w:id="12" w:name="Links_End"/>
      <w:bookmarkStart w:id="13" w:name="LawTable"/>
      <w:bookmarkStart w:id="14" w:name="Links_End"/>
      <w:bookmarkEnd w:id="13"/>
      <w:bookmarkEnd w:id="14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ג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13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20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7" w:name="ABSTRACT_START"/>
      <w:bookmarkEnd w:id="1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העליון דחה את ערעור המדינה על העונש שנגזר על רמי יוגב שהורשע </w:t>
      </w:r>
      <w:r>
        <w:rPr>
          <w:rFonts w:ascii="Times New Roman" w:hAnsi="Times New Roman" w:cs="Times New Roman"/>
          <w:spacing w:val="0"/>
          <w:szCs w:val="26"/>
          <w:rtl w:val="true"/>
        </w:rPr>
        <w:t>בייבוא של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 סם מסוכן מסוג קוקאין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הזדמנויות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תפקידו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באגף הביטחון של חברת אל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יתכן שאילו נדרש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לגזור את דינו מבראשית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העונש היה חמור יותר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אך לא במידה שיש בה כדי להצדיק התערבות כעת מצדה של ערכאת הערעור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סמים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עצימת עיניים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במידת העונש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br/>
      </w:r>
      <w:r>
        <w:rPr>
          <w:rFonts w:ascii="Times New Roman" w:hAnsi="Times New Roman" w:cs="Times New Roman"/>
          <w:spacing w:val="0"/>
          <w:szCs w:val="26"/>
          <w:rtl w:val="true"/>
        </w:rPr>
        <w:t>ערעורים מזה ומזה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גז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 מחוזי שב</w:t>
      </w:r>
      <w:r>
        <w:rPr>
          <w:rFonts w:ascii="Times New Roman" w:hAnsi="Times New Roman" w:cs="Times New Roman"/>
          <w:spacing w:val="0"/>
          <w:szCs w:val="26"/>
          <w:rtl w:val="true"/>
        </w:rPr>
        <w:t>ו נגזרו על רמי יוגב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</w:rPr>
        <w:t>12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שנות מאסר בפועל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ימי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בעקבות הרשעתו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פי הודאתו בכתב אישום מתוקן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בייבוא של כ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54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ג סם מסוכן מסוג קוקאין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שלא נתפס</w:t>
      </w:r>
      <w:r>
        <w:rPr>
          <w:rFonts w:cs="Times New Roman" w:ascii="Times New Roman" w:hAnsi="Times New Roman"/>
          <w:spacing w:val="0"/>
          <w:szCs w:val="26"/>
          <w:rtl w:val="true"/>
        </w:rPr>
        <w:t>)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הזדמנויות 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תוך ניצול תפקידו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באגף הביטחון של חברת אל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רמי חזר בו מערעורו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נותר לדיון ערעור המדינה על קולת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textAlignment w:val="auto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נעם סולברג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שטיין 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כבוב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בהתאם להלכה הפסוקה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ברגיל אין ערכאת הערעור מתערבת ומשנה גזר 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רק אם שיקולים מוטעים או פסולים הנחו את הערכאה הדיונית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או אם העונש שנגזר מופרז באופן קיצוני לקולא או לחומרה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רק אז מתערבת ערכאת הערעור על מנת לעשות את התיקון הנחוץ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דברים אלה יפים במיוחד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במקרה כבענייננו בו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רמי חזר בו בסופו של דבר מערעורו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ונותר על כנו רק ערעור המדינה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ובזכרנו את הכלל הידוע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הקובע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שאין זה מדרכה של ערכאת הערעור למצות את הדין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הגם 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מצא טעם בטיעונים שהועלו על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ידי המדינה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לעמדת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העונש שהוטל על רמי הוא עונש כבד דיו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ובשים לב לנקודת המוצא – אין להחמיר בעונש מעבר לכך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יתכן שאילו נדרש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בימ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לגזור את דינו של רמי מבראשית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העונש היה חמור יותר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אך לא במידה שיש בה כדי להצדיק התערבות כעת מצדה של ערכאת הערעור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כפי שנפסק לא אחת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יש לנקוט יד קשה נגד עברייני הסמים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בשל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חומרתן היתרה של עבירות יבוא סמים מסוכנים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אך לצד זאת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סבור כי עונשו של רמי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כפי שנגזר בביהמ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עולה בקנה אחד עם מדיניות ענישה זו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  <w:shd w:fill="FFFFFF" w:val="clear"/>
        </w:rPr>
      </w:pP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בין היתר נקבע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ביחס ליסוד הנפשי של רמי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עצימת עיניים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מלבדוק את תוכן המזוודות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):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מי שאמון על שלום הציבור ובטחונו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ותפקידו מחייב עיניים פקוחות וערניות – פשוטו כמשמעו – לא יכול להסתתר מאחורי טענה לעצימת עיניים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הכלל הוא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כי 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רואים אדם שחשד בדבר טיב ההתנהגות או בדבר אפשרות קיום הנסיבות כמי שהיה מודע להם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אם נמנע מלבררם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מכאן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שנסיבה זו אינה מקימה חומרה פחותה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בהתאם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 סבר שעצימת העיניים איננה נסיבה מקלה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ואף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זה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סבור כי אין לנטות חסד לעוצמים את עיניהם מראוֹת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נשאלת השאלה – האם עצימת עיניו של רמי אינה עולה כדי נסיבה מחמירה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מעבר להיותה שקולה למודעות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האם העובדה שרמי לא ידע בוודאות כי מדובר בסם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וממילא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יכול היה להימצא במזוודות דבר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מה מסוכן עוד יותר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מקימה לגביו חומרה יתרה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?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 סבור שיש להשיב על שאלות אלה בשלילה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עצימת עיניו של רמי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כוללת אמנם צדדים לחומרה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אך לצד זאת ניתן למצוא בה גם צדדים לקולא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בחשבון הכולל – אין לקבל את טענת המדינה שבשל עצימת עיניו של רמי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יש להחמיר בעונשו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ראשית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, 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עצימת עיניים פירושה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כמקובל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חשד בדבר קיום מציאות פלונית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והימנעות מדעת מנקיטת צעדים כדי לברר אם קיימת אותה מציאות ומה טיבה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תוך הליכה במודע לקראת הסיכון לעבור את העבירה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במקרה דנא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 כתב האישום עוסק בייבוא סם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ואינו עוסק בעבירות של יבוא נשק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ממילא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לא נבחנו שאלות רבות שניתן היה לעורר בהקשר זה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לדוגמה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אם ניתן היה להבריח נשק באותה מתכונת שבה הוברחו הסמים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אם בפועל רמי חשד בקיומה של אפשרות כזו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אם גם ביחס לאפשרות זו רמי עצם את עיניו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ועוד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שאלות אלו לא נדונו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ודאי לא הוכחו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והמדינה לא הציגה כל אסמכתה שיש בה כדי לחזק את עמדתה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במצב דברים זה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ש אינו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סבור כי מוצדק להחמיר עם רמי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יתרה מזו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 xml:space="preserve">הכלל בדבר 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'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עצימת עיניים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נועד להנמיך את הרף התחתון לכניסה לגדרי האחריות הפלילית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כך שיכלול גם מצבים שאין בהם ידיעה של ממש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שיש קושי בטענת המדינה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כי יש לראות את עצימת העיניים כנסיבה מחמירה ביחס למודעות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טענת המדינה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אינה תואמת את מטרת הסעיף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shd w:fill="FFFFFF" w:val="clear"/>
          <w:rtl w:val="true"/>
        </w:rPr>
        <w:t>ודומה כי היא מנסה לאחוז בחבל משני קצותיו</w:t>
      </w:r>
      <w:r>
        <w:rPr>
          <w:rFonts w:cs="Times New Roman" w:ascii="Times New Roman" w:hAnsi="Times New Roman"/>
          <w:spacing w:val="0"/>
          <w:sz w:val="24"/>
          <w:szCs w:val="26"/>
          <w:shd w:fill="FFFFFF" w:val="clear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מדובר בפרשה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חריגה בחומרתה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כמות הסמים שהופצו במסגרתה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רבה ומשמעותית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בחינת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עונשים שניתנו במקרים אחרים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תוך </w:t>
      </w:r>
      <w:r>
        <w:rPr>
          <w:rFonts w:ascii="Times New Roman" w:hAnsi="Times New Roman" w:cs="Times New Roman"/>
          <w:spacing w:val="0"/>
          <w:szCs w:val="26"/>
          <w:rtl w:val="true"/>
        </w:rPr>
        <w:t>ערות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להבדלים בחומרת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אינו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סבור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הערכאה הדיונית נכשלה בטעות או שהעונש שנגזר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ידה חורג במידה קיצונית מן העונשים המוטלים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 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Cs w:val="26"/>
          <w:rtl w:val="true"/>
        </w:rPr>
        <w:t>;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מחד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דווקא התפקיד הבכיר והרגיש שבו כיהן רמי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הביאוֹ לנצל את מעמדו ותפקידו לצורך ביצוע העבירות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ובכך טמונות גם הנסיבות המחמירות מבחינתו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מאידך גיסא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אין להתעלם מנפילתו של רמי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מאיגרא רם לבירא עמיקתא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המפלה הקשה שספג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ותרומתו לחברה עובר לביצוע העבירות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נוסף על יתר הנסיבות שציין 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ש המחוזי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,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ראויות להיזקף לזכותו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ולקבל את המשקל הראוי להן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אשר על כן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במכלול הנסיבות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 xml:space="preserve">ש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סבור כי נגזר על רמי עונש הולם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השוכן לבטח במתחם אי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shd w:fill="FFFFFF" w:val="clear"/>
          <w:rtl w:val="true"/>
        </w:rPr>
        <w:t>ההתערבות של ערכאת הערעור</w:t>
      </w:r>
      <w:r>
        <w:rPr>
          <w:rFonts w:cs="Times New Roman" w:ascii="Times New Roman" w:hAnsi="Times New Roman"/>
          <w:spacing w:val="0"/>
          <w:szCs w:val="26"/>
          <w:shd w:fill="FFFFFF" w:val="clear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  <w:shd w:fill="FFFFFF" w:val="clear"/>
        </w:rPr>
      </w:pPr>
      <w:r>
        <w:rPr>
          <w:rFonts w:cs="FrankRuehl" w:ascii="FrankRuehl" w:hAnsi="FrankRuehl"/>
          <w:spacing w:val="0"/>
          <w:sz w:val="24"/>
          <w:szCs w:val="26"/>
          <w:shd w:fill="FFFFFF" w:val="clear"/>
          <w:rtl w:val="true"/>
        </w:rPr>
      </w:r>
      <w:bookmarkStart w:id="18" w:name="ABSTRACT_END"/>
      <w:bookmarkStart w:id="19" w:name="ABSTRACT_END"/>
      <w:bookmarkEnd w:id="1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20" w:name="PsakDin"/>
            <w:bookmarkStart w:id="21" w:name="BeginProtocol"/>
            <w:bookmarkStart w:id="22" w:name="secretary"/>
            <w:bookmarkEnd w:id="20"/>
            <w:bookmarkEnd w:id="21"/>
            <w:bookmarkEnd w:id="2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23" w:name="Start_Write"/>
      <w:bookmarkStart w:id="24" w:name="Writer_Name"/>
      <w:bookmarkEnd w:id="23"/>
      <w:bookmarkEnd w:id="24"/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4"/>
        </w:numPr>
        <w:ind w:hanging="0" w:start="0" w:end="0"/>
        <w:jc w:val="both"/>
        <w:textAlignment w:val="auto"/>
        <w:rPr/>
      </w:pPr>
      <w:r>
        <w:rPr>
          <w:rtl w:val="true"/>
        </w:rPr>
        <w:t>ערעורים מזה ומזה</w:t>
      </w:r>
      <w:r>
        <w:rPr>
          <w:rtl w:val="true"/>
        </w:rPr>
        <w:t xml:space="preserve">, </w:t>
      </w:r>
      <w:r>
        <w:rPr>
          <w:rtl w:val="true"/>
        </w:rPr>
        <w:t xml:space="preserve">על גזר הדין של בית המשפט המחוזי </w:t>
      </w:r>
      <w:r>
        <w:rPr>
          <w:rtl w:val="true"/>
        </w:rPr>
        <w:t>בתל 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 xml:space="preserve">מיום </w:t>
      </w:r>
      <w:r>
        <w:rPr/>
        <w:t>19</w:t>
      </w:r>
      <w:r>
        <w:rPr/>
        <w:t>.7.2022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15164-01-19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לוי</w:t>
      </w:r>
      <w:r>
        <w:rPr>
          <w:rtl w:val="true"/>
        </w:rPr>
        <w:t xml:space="preserve">), </w:t>
      </w:r>
      <w:r>
        <w:rPr>
          <w:rtl w:val="true"/>
        </w:rPr>
        <w:t>שבגדרו נגזרו על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5836/22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המשיב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5946/22</w:t>
      </w:r>
      <w:r>
        <w:rPr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רמי יוגב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 ימי מעצרו</w:t>
      </w:r>
      <w:r>
        <w:rPr>
          <w:rtl w:val="true"/>
        </w:rPr>
        <w:t xml:space="preserve">),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13.9.2021</w:t>
      </w:r>
      <w:r>
        <w:rPr>
          <w:rtl w:val="true"/>
        </w:rPr>
        <w:t xml:space="preserve">, </w:t>
      </w:r>
      <w:r>
        <w:rPr>
          <w:rtl w:val="true"/>
        </w:rPr>
        <w:t>הורשע רמי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>בייבוא של כ</w:t>
      </w:r>
      <w:r>
        <w:rPr>
          <w:rtl w:val="true"/>
        </w:rPr>
        <w:t>-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סם מסוכן מסוג קוקאין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הזדמנויות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לתחומי ישראל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העובדות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בתמצית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שנקבעו על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ידי בית המשפט המחוזי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הן אלה</w:t>
      </w:r>
      <w:r>
        <w:rPr>
          <w:rtl w:val="true"/>
        </w:rPr>
        <w:t xml:space="preserve">: </w:t>
      </w:r>
      <w:r>
        <w:rPr>
          <w:rtl w:val="true"/>
        </w:rPr>
        <w:t xml:space="preserve">החל משנת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 xml:space="preserve">ועד שלהי שנת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עבד רמי כראש מדור פיתוח ואמצעים באגף הביטחון של חברת אל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 xml:space="preserve">. </w:t>
      </w:r>
      <w:r>
        <w:rPr>
          <w:rtl w:val="true"/>
        </w:rPr>
        <w:t>מתוקף עבודתו</w:t>
      </w:r>
      <w:r>
        <w:rPr>
          <w:rtl w:val="true"/>
        </w:rPr>
        <w:t xml:space="preserve">, </w:t>
      </w:r>
      <w:r>
        <w:rPr>
          <w:rtl w:val="true"/>
        </w:rPr>
        <w:t>החזיק רמי בסיווג בטחוני גבוה</w:t>
      </w:r>
      <w:r>
        <w:rPr>
          <w:rtl w:val="true"/>
        </w:rPr>
        <w:t xml:space="preserve">, </w:t>
      </w:r>
      <w:r>
        <w:rPr>
          <w:rtl w:val="true"/>
        </w:rPr>
        <w:t>שהעניק לו גישה לאזורים מסווגים בנתב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וכן גם למטוסים המצויים בשטח האווירי של נתב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בשלב מסוים</w:t>
      </w:r>
      <w:r>
        <w:rPr>
          <w:rtl w:val="true"/>
        </w:rPr>
        <w:t xml:space="preserve">, </w:t>
      </w:r>
      <w:r>
        <w:rPr>
          <w:rtl w:val="true"/>
        </w:rPr>
        <w:t>השתתף רמי במזימה פלילית שנרקמה לייבוא קוקאין מדרום אפריקה לישראל</w:t>
      </w:r>
      <w:r>
        <w:rPr>
          <w:rtl w:val="true"/>
        </w:rPr>
        <w:t xml:space="preserve">. </w:t>
      </w:r>
      <w:r>
        <w:rPr>
          <w:rtl w:val="true"/>
        </w:rPr>
        <w:t>תפקידו של רמי היה לקבל מבלדר מזוודה מלאה בסמים</w:t>
      </w:r>
      <w:r>
        <w:rPr>
          <w:rtl w:val="true"/>
        </w:rPr>
        <w:t xml:space="preserve">, </w:t>
      </w:r>
      <w:r>
        <w:rPr>
          <w:rtl w:val="true"/>
        </w:rPr>
        <w:t>מיד עם נחיתת המטוס</w:t>
      </w:r>
      <w:r>
        <w:rPr>
          <w:rtl w:val="true"/>
        </w:rPr>
        <w:t xml:space="preserve">, </w:t>
      </w:r>
      <w:r>
        <w:rPr>
          <w:rtl w:val="true"/>
        </w:rPr>
        <w:t>ולהוציאה אל מחוץ לשדה התעופה</w:t>
      </w:r>
      <w:r>
        <w:rPr>
          <w:rtl w:val="true"/>
        </w:rPr>
        <w:t xml:space="preserve">, </w:t>
      </w:r>
      <w:r>
        <w:rPr>
          <w:rtl w:val="true"/>
        </w:rPr>
        <w:t>מבלי שהמזוודה תעבור בידוק ביטחוני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 ניצול חופש התנועה שהוענק לו</w:t>
      </w:r>
      <w:r>
        <w:rPr>
          <w:rtl w:val="true"/>
        </w:rPr>
        <w:t xml:space="preserve">, </w:t>
      </w:r>
      <w:r>
        <w:rPr>
          <w:rtl w:val="true"/>
        </w:rPr>
        <w:t>מתוקף תפקידו</w:t>
      </w:r>
      <w:r>
        <w:rPr>
          <w:rtl w:val="true"/>
        </w:rPr>
        <w:t xml:space="preserve">, </w:t>
      </w:r>
      <w:r>
        <w:rPr>
          <w:rtl w:val="true"/>
        </w:rPr>
        <w:t>באזורים המוגבלים בשדה התעופה</w:t>
      </w:r>
      <w:r>
        <w:rPr>
          <w:rtl w:val="true"/>
        </w:rPr>
        <w:t xml:space="preserve">. </w:t>
      </w:r>
      <w:r>
        <w:rPr>
          <w:rtl w:val="true"/>
        </w:rPr>
        <w:t>עד המדינה שעמד בקשר עם רמי</w:t>
      </w:r>
      <w:r>
        <w:rPr>
          <w:rtl w:val="true"/>
        </w:rPr>
        <w:t xml:space="preserve">, </w:t>
      </w:r>
      <w:r>
        <w:rPr>
          <w:rtl w:val="true"/>
        </w:rPr>
        <w:t>ציין באוזניו כי המזוודות שיעברו במסגרת הייבוא מכילות מטילי זהב</w:t>
      </w:r>
      <w:r>
        <w:rPr>
          <w:rtl w:val="true"/>
        </w:rPr>
        <w:t xml:space="preserve">; </w:t>
      </w:r>
      <w:r>
        <w:rPr>
          <w:rtl w:val="true"/>
        </w:rPr>
        <w:t>אך הוסיף וציין כי עליו לבדוק את תוכנן</w:t>
      </w:r>
      <w:r>
        <w:rPr>
          <w:rtl w:val="true"/>
        </w:rPr>
        <w:t xml:space="preserve">.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פעמיים ושלוש פעל רמי בהתאם לתוכנית הפלילית</w:t>
      </w:r>
      <w:r>
        <w:rPr>
          <w:rtl w:val="true"/>
        </w:rPr>
        <w:t xml:space="preserve">, </w:t>
      </w:r>
      <w:r>
        <w:rPr>
          <w:rtl w:val="true"/>
        </w:rPr>
        <w:t>והוציא את המזוודות מבלי שבדק את תכולתן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15.4.2018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10.6.2018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tl w:val="true"/>
        </w:rPr>
        <w:t xml:space="preserve"> </w:t>
      </w:r>
      <w:r>
        <w:rPr/>
        <w:t>4.11.2018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13</w:t>
      </w:r>
      <w:r>
        <w:rPr/>
        <w:t>.</w:t>
      </w:r>
      <w:r>
        <w:rPr/>
        <w:t>9</w:t>
      </w:r>
      <w:r>
        <w:rPr/>
        <w:t>.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גזר בית המשפט המחוזי את דינ</w:t>
      </w:r>
      <w:r>
        <w:rPr>
          <w:rtl w:val="true"/>
        </w:rPr>
        <w:t>ו של</w:t>
      </w:r>
      <w:r>
        <w:rPr>
          <w:rtl w:val="true"/>
        </w:rPr>
        <w:t xml:space="preserve"> רמי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כמצוות המחוקק</w:t>
      </w:r>
      <w:r>
        <w:rPr>
          <w:rtl w:val="true"/>
        </w:rPr>
        <w:t xml:space="preserve">, </w:t>
      </w:r>
      <w:r>
        <w:rPr>
          <w:shd w:fill="FFFFFF" w:val="clear"/>
          <w:rtl w:val="true"/>
        </w:rPr>
        <w:t xml:space="preserve">הזכיר </w:t>
      </w:r>
      <w:r>
        <w:rPr>
          <w:shd w:fill="FFFFFF" w:val="clear"/>
          <w:rtl w:val="true"/>
        </w:rPr>
        <w:t xml:space="preserve">בית המשפט המחוזי </w:t>
      </w:r>
      <w:r>
        <w:rPr>
          <w:shd w:fill="FFFFFF" w:val="clear"/>
          <w:rtl w:val="true"/>
        </w:rPr>
        <w:t xml:space="preserve">את </w:t>
      </w:r>
      <w:r>
        <w:rPr>
          <w:shd w:fill="FFFFFF" w:val="clear"/>
          <w:rtl w:val="true"/>
        </w:rPr>
        <w:t>עקרון ההלימה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ואת החובה להתחשב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בעת קביעת </w:t>
      </w:r>
      <w:r>
        <w:rPr>
          <w:shd w:fill="FFFFFF" w:val="clear"/>
          <w:rtl w:val="true"/>
        </w:rPr>
        <w:t>מתחם הענישה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בערך החברתי שנפגע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במידת הפגיעה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בנסיבות ביצוע העבירה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>במדיניות הענישה הנהוגה</w:t>
      </w:r>
      <w:r>
        <w:rPr>
          <w:rtl w:val="true"/>
        </w:rPr>
        <w:t xml:space="preserve">. </w:t>
      </w:r>
      <w:r>
        <w:rPr>
          <w:rtl w:val="true"/>
        </w:rPr>
        <w:t xml:space="preserve">עוד </w:t>
      </w:r>
      <w:r>
        <w:rPr>
          <w:rtl w:val="true"/>
        </w:rPr>
        <w:t>עמד בית המשפט המחוזי ע</w:t>
      </w:r>
      <w:r>
        <w:rPr>
          <w:rtl w:val="true"/>
        </w:rPr>
        <w:t>ל כך שמדובר במעשים דומים השלובים זה בזה</w:t>
      </w:r>
      <w:r>
        <w:rPr>
          <w:rtl w:val="true"/>
        </w:rPr>
        <w:t xml:space="preserve">;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יש לראות את העבירות שבהן הורשע רמי כאירוע אחד</w:t>
      </w:r>
      <w:r>
        <w:rPr>
          <w:rtl w:val="true"/>
        </w:rPr>
        <w:t xml:space="preserve">, </w:t>
      </w:r>
      <w:r>
        <w:rPr>
          <w:rtl w:val="true"/>
        </w:rPr>
        <w:t>ולקבוע מתחם עונש הולם אחד</w:t>
      </w:r>
      <w:r>
        <w:rPr>
          <w:rtl w:val="true"/>
        </w:rPr>
        <w:t xml:space="preserve">. </w:t>
      </w:r>
      <w:r>
        <w:rPr>
          <w:rtl w:val="true"/>
        </w:rPr>
        <w:t xml:space="preserve">על </w:t>
      </w:r>
      <w:r>
        <w:rPr>
          <w:rtl w:val="true"/>
        </w:rPr>
        <w:t xml:space="preserve">יסוד </w:t>
      </w:r>
      <w:r>
        <w:rPr>
          <w:rtl w:val="true"/>
        </w:rPr>
        <w:t>טיעוני הצדדים</w:t>
      </w:r>
      <w:r>
        <w:rPr>
          <w:rtl w:val="true"/>
        </w:rPr>
        <w:t xml:space="preserve">, </w:t>
      </w:r>
      <w:r>
        <w:rPr>
          <w:rtl w:val="true"/>
        </w:rPr>
        <w:t>כפי שנסקרו בגזר הדין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ֵּ</w:t>
      </w:r>
      <w:r>
        <w:rPr>
          <w:rtl w:val="true"/>
        </w:rPr>
        <w:t>ר</w:t>
      </w:r>
      <w:r>
        <w:rPr>
          <w:rtl w:val="true"/>
        </w:rPr>
        <w:t>ַ</w:t>
      </w:r>
      <w:r>
        <w:rPr>
          <w:rtl w:val="true"/>
        </w:rPr>
        <w:t xml:space="preserve">ט בית המשפט המחוזי את </w:t>
      </w:r>
      <w:r>
        <w:rPr>
          <w:rtl w:val="true"/>
        </w:rPr>
        <w:t>שיקולי הענישה השונים</w:t>
      </w:r>
      <w:r>
        <w:rPr>
          <w:rtl w:val="true"/>
        </w:rPr>
        <w:t xml:space="preserve">, </w:t>
      </w:r>
      <w:r>
        <w:rPr>
          <w:rtl w:val="true"/>
        </w:rPr>
        <w:t>לכאן ולכאן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בהתייחס לערכים המוגנים שנפגעו</w:t>
      </w:r>
      <w:r>
        <w:rPr>
          <w:rtl w:val="true"/>
        </w:rPr>
        <w:t xml:space="preserve">, </w:t>
      </w:r>
      <w:r>
        <w:rPr>
          <w:rtl w:val="true"/>
        </w:rPr>
        <w:t xml:space="preserve">עמד בית המשפט המחוזי על כך </w:t>
      </w:r>
      <w:r>
        <w:rPr>
          <w:rtl w:val="true"/>
        </w:rPr>
        <w:t>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וביניהם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ובריאותו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בשומרי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שבידיהם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מופקד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בטחונו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הנזק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ניצול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והאבטחה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פנה בית המשפט המחוזי לבחון את הנסיבות הקשורות בביצוע העבירות</w:t>
      </w:r>
      <w:r>
        <w:rPr>
          <w:rtl w:val="true"/>
        </w:rPr>
        <w:t xml:space="preserve">, </w:t>
      </w:r>
      <w:r>
        <w:rPr>
          <w:rtl w:val="true"/>
        </w:rPr>
        <w:t>ובהקשר זה ציין כי מדובר בהרשעה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עבירות של יבוא קוקאין</w:t>
      </w:r>
      <w:r>
        <w:rPr>
          <w:rtl w:val="true"/>
        </w:rPr>
        <w:t xml:space="preserve">, </w:t>
      </w:r>
      <w:r>
        <w:rPr>
          <w:rtl w:val="true"/>
        </w:rPr>
        <w:t>נוסף על עבירות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במסגרת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מפרשיות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המתנהלות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הגדולות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הזדמנויות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חודשים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שבהבדל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שנדונו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בפסיקה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שיובאו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נתפסו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הופצו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בית המשפט המחוזי מצא אפוא</w:t>
      </w:r>
      <w:r>
        <w:rPr>
          <w:rtl w:val="true"/>
        </w:rPr>
        <w:t xml:space="preserve">, </w:t>
      </w:r>
      <w:r>
        <w:rPr>
          <w:rtl w:val="true"/>
        </w:rPr>
        <w:t>כי מעשי העבירה בענייננו מקימים שורה של נסיבות מחמירות</w:t>
      </w:r>
      <w:r>
        <w:rPr>
          <w:rtl w:val="true"/>
        </w:rPr>
        <w:t xml:space="preserve">. </w:t>
      </w:r>
      <w:r>
        <w:rPr>
          <w:rtl w:val="true"/>
        </w:rPr>
        <w:t>בתוך כך</w:t>
      </w:r>
      <w:r>
        <w:rPr>
          <w:rtl w:val="true"/>
        </w:rPr>
        <w:t xml:space="preserve">, </w:t>
      </w:r>
      <w:r>
        <w:rPr>
          <w:rtl w:val="true"/>
        </w:rPr>
        <w:t>הוזכר סוג הסם והכמות שהוברחה</w:t>
      </w:r>
      <w:r>
        <w:rPr>
          <w:rtl w:val="true"/>
        </w:rPr>
        <w:t xml:space="preserve">: </w:t>
      </w:r>
      <w:r>
        <w:rPr>
          <w:rtl w:val="true"/>
        </w:rPr>
        <w:t xml:space="preserve">רמי השתתף בייבוא של קוקאין </w:t>
      </w:r>
      <w:r>
        <w:rPr>
          <w:rtl w:val="true"/>
        </w:rPr>
        <w:t>–</w:t>
      </w:r>
      <w:r>
        <w:rPr>
          <w:rtl w:val="true"/>
        </w:rPr>
        <w:t xml:space="preserve"> סם מסוכן</w:t>
      </w:r>
      <w:r>
        <w:rPr>
          <w:rtl w:val="true"/>
        </w:rPr>
        <w:t xml:space="preserve">,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שגורם נזק כבד למשתמשים</w:t>
      </w:r>
      <w:r>
        <w:rPr>
          <w:rtl w:val="true"/>
        </w:rPr>
        <w:t xml:space="preserve">, </w:t>
      </w:r>
      <w:r>
        <w:rPr>
          <w:rtl w:val="true"/>
        </w:rPr>
        <w:t>לקרוביהם ולציבור כולו</w:t>
      </w:r>
      <w:r>
        <w:rPr>
          <w:rtl w:val="true"/>
        </w:rPr>
        <w:t xml:space="preserve">, </w:t>
      </w:r>
      <w:r>
        <w:rPr>
          <w:rtl w:val="true"/>
        </w:rPr>
        <w:t xml:space="preserve">וזאת בהיקף עצום ורב של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, </w:t>
      </w:r>
      <w:r>
        <w:rPr>
          <w:rtl w:val="true"/>
        </w:rPr>
        <w:t>שלא נתפס על</w:t>
      </w:r>
      <w:r>
        <w:rPr>
          <w:rtl w:val="true"/>
        </w:rPr>
        <w:t>-</w:t>
      </w:r>
      <w:r>
        <w:rPr>
          <w:rtl w:val="true"/>
        </w:rPr>
        <w:t>ידי רשויות האכיפה</w:t>
      </w:r>
      <w:r>
        <w:rPr>
          <w:rtl w:val="true"/>
        </w:rPr>
        <w:t xml:space="preserve">, </w:t>
      </w:r>
      <w:r>
        <w:rPr>
          <w:rtl w:val="true"/>
        </w:rPr>
        <w:t>והופץ בפועל בתחומי ישראל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חומרה יתרה ראה בית המשפט בכך שרמי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בתקופה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הרלוונטית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ורגיש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והאבטחה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וניצל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להעברת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המזוודות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שבפועל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קוקאין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מהשטח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האווירי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בנתב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בפרשה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נזקפה לחובתו של רמי העובדה שמבין כל המעורבים בעסקה</w:t>
      </w:r>
      <w:r>
        <w:rPr>
          <w:rtl w:val="true"/>
        </w:rPr>
        <w:t xml:space="preserve">, </w:t>
      </w:r>
      <w:r>
        <w:rPr>
          <w:rtl w:val="true"/>
        </w:rPr>
        <w:t xml:space="preserve">הוא היה זה שבחר את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המועדים שבהם יובאו הסמים לישראל</w:t>
      </w:r>
      <w:r>
        <w:rPr>
          <w:rtl w:val="true"/>
        </w:rPr>
        <w:t xml:space="preserve">, </w:t>
      </w:r>
      <w:r>
        <w:rPr>
          <w:rtl w:val="true"/>
        </w:rPr>
        <w:t>ומכאן ניתן להסיק</w:t>
      </w:r>
      <w:r>
        <w:rPr>
          <w:rtl w:val="true"/>
        </w:rPr>
        <w:t xml:space="preserve">, </w:t>
      </w:r>
      <w:r>
        <w:rPr>
          <w:rtl w:val="true"/>
        </w:rPr>
        <w:t>כי חלקו בתכנון העבירות היה אקטיבי ומשמעותי</w:t>
      </w:r>
      <w:r>
        <w:rPr>
          <w:rtl w:val="true"/>
        </w:rPr>
        <w:t xml:space="preserve">. </w:t>
      </w:r>
      <w:r>
        <w:rPr>
          <w:rtl w:val="true"/>
        </w:rPr>
        <w:t>לא זו אף זו</w:t>
      </w:r>
      <w:r>
        <w:rPr>
          <w:rtl w:val="true"/>
        </w:rPr>
        <w:t xml:space="preserve">: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>כי אפשר גם ללמוד מכך שאין ניתן לראות את פעילותו העבריינית של רמי כמעידה 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tl w:val="true"/>
        </w:rPr>
        <w:t xml:space="preserve">, </w:t>
      </w:r>
      <w:r>
        <w:rPr>
          <w:rtl w:val="true"/>
        </w:rPr>
        <w:t>אלא זו פעילות מחושבת</w:t>
      </w:r>
      <w:r>
        <w:rPr>
          <w:rtl w:val="true"/>
        </w:rPr>
        <w:t xml:space="preserve">, </w:t>
      </w:r>
      <w:r>
        <w:rPr>
          <w:rtl w:val="true"/>
        </w:rPr>
        <w:t>שהתנהלה במשך חודשים רבים</w:t>
      </w:r>
      <w:r>
        <w:rPr>
          <w:rtl w:val="true"/>
        </w:rPr>
        <w:t xml:space="preserve">. </w:t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>שב בית המשפט המחוזי והדגיש את העובדה שרמי ניצל לרעה את תפקידו הבכיר לצורך 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בציינו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להפריז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בעוצמת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העורמה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והתעוזה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שנדרשו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הורשע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ביחס ליסוד הנפשי של רמי </w:t>
      </w:r>
      <w:r>
        <w:rPr>
          <w:rtl w:val="true"/>
        </w:rPr>
        <w:t>–</w:t>
      </w:r>
      <w:r>
        <w:rPr>
          <w:rtl w:val="true"/>
        </w:rPr>
        <w:t xml:space="preserve"> עצימת עיניים </w:t>
      </w:r>
      <w:r>
        <w:rPr>
          <w:rtl w:val="true"/>
        </w:rPr>
        <w:t>–</w:t>
      </w:r>
      <w:r>
        <w:rPr>
          <w:rtl w:val="true"/>
        </w:rPr>
        <w:t xml:space="preserve"> דחה בית המשפט המחוזי את עמדת המדינה</w:t>
      </w:r>
      <w:r>
        <w:rPr>
          <w:rtl w:val="true"/>
        </w:rPr>
        <w:t xml:space="preserve">, </w:t>
      </w:r>
      <w:r>
        <w:rPr>
          <w:rtl w:val="true"/>
        </w:rPr>
        <w:t>שסברה כי עצימת עיניו של רמי אִפשרה אמנם הברחת סמים</w:t>
      </w:r>
      <w:r>
        <w:rPr>
          <w:rtl w:val="true"/>
        </w:rPr>
        <w:t xml:space="preserve">, </w:t>
      </w:r>
      <w:r>
        <w:rPr>
          <w:rtl w:val="true"/>
        </w:rPr>
        <w:t>אך באותה מידה יכולה היתה להביא גם להברחת נשק</w:t>
      </w:r>
      <w:r>
        <w:rPr>
          <w:rtl w:val="true"/>
        </w:rPr>
        <w:t xml:space="preserve">. </w:t>
      </w:r>
      <w:r>
        <w:rPr>
          <w:rtl w:val="true"/>
        </w:rPr>
        <w:t>עמדת המדינה בהקשר זה היתה</w:t>
      </w:r>
      <w:r>
        <w:rPr>
          <w:rtl w:val="true"/>
        </w:rPr>
        <w:t xml:space="preserve">, </w:t>
      </w:r>
      <w:r>
        <w:rPr>
          <w:rtl w:val="true"/>
        </w:rPr>
        <w:t>כי עצימת העיניים מצד רמי הריהי שיקול לחומרה</w:t>
      </w:r>
      <w:r>
        <w:rPr>
          <w:rtl w:val="true"/>
        </w:rPr>
        <w:t xml:space="preserve">, </w:t>
      </w:r>
      <w:r>
        <w:rPr>
          <w:rtl w:val="true"/>
        </w:rPr>
        <w:t>בפרט נוכח תפקידו של רמי</w:t>
      </w:r>
      <w:r>
        <w:rPr>
          <w:rtl w:val="true"/>
        </w:rPr>
        <w:t xml:space="preserve">, </w:t>
      </w:r>
      <w:r>
        <w:rPr>
          <w:rtl w:val="true"/>
        </w:rPr>
        <w:t>המטיל עליו חובה מוגברת לבדוק את תוכן המזוודות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בית המשפט המחוזי דחה גם את עמדתו של רמי</w:t>
      </w:r>
      <w:r>
        <w:rPr>
          <w:rtl w:val="true"/>
        </w:rPr>
        <w:t xml:space="preserve">, </w:t>
      </w:r>
      <w:r>
        <w:rPr>
          <w:rtl w:val="true"/>
        </w:rPr>
        <w:t>ולא סבר שעצימת העיניים מהווה שיקול ממשי לקולא</w:t>
      </w:r>
      <w:r>
        <w:rPr>
          <w:rtl w:val="true"/>
        </w:rPr>
        <w:t xml:space="preserve">. </w:t>
      </w:r>
      <w:r>
        <w:rPr>
          <w:rtl w:val="true"/>
        </w:rPr>
        <w:t>בהתחשב בכל אלה</w:t>
      </w:r>
      <w:r>
        <w:rPr>
          <w:rtl w:val="true"/>
        </w:rPr>
        <w:t xml:space="preserve">, </w:t>
      </w:r>
      <w:r>
        <w:rPr>
          <w:rtl w:val="true"/>
        </w:rPr>
        <w:t>ולאחר שסקר את הפסיקה הרלבנטית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מתחם ענישה בטווח שבין </w:t>
      </w:r>
      <w:r>
        <w:rPr/>
        <w:t>20-12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בשלב הבא</w:t>
      </w:r>
      <w:r>
        <w:rPr>
          <w:rtl w:val="true"/>
        </w:rPr>
        <w:t xml:space="preserve">, </w:t>
      </w:r>
      <w:r>
        <w:rPr>
          <w:rtl w:val="true"/>
        </w:rPr>
        <w:t xml:space="preserve">דחה </w:t>
      </w:r>
      <w:r>
        <w:rPr>
          <w:rtl w:val="true"/>
        </w:rPr>
        <w:t xml:space="preserve">בית המשפט המחוזי </w:t>
      </w:r>
      <w:r>
        <w:rPr>
          <w:rtl w:val="true"/>
        </w:rPr>
        <w:t>את הבקשה לחרוג לקולא ממתחם העונש</w:t>
      </w:r>
      <w:r>
        <w:rPr>
          <w:rtl w:val="true"/>
        </w:rPr>
        <w:t xml:space="preserve">, </w:t>
      </w:r>
      <w:r>
        <w:rPr>
          <w:rtl w:val="true"/>
        </w:rPr>
        <w:t>בקבעו כי אין מקום לחרוג ממתחם העונש ההולם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בבואו לגזור את העונש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בתוך המתחם שנקבע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הוסיף ו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שקל בית המשפט המחוזי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שיקולים</w:t>
      </w:r>
      <w:r>
        <w:rPr>
          <w:rtl w:val="true"/>
        </w:rPr>
        <w:t xml:space="preserve"> נוספים </w:t>
      </w:r>
      <w:r>
        <w:rPr>
          <w:rtl w:val="true"/>
        </w:rPr>
        <w:t>–</w:t>
      </w:r>
      <w:r>
        <w:rPr>
          <w:rtl w:val="true"/>
        </w:rPr>
        <w:t xml:space="preserve"> לחומרה ולקולא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הוזכר הצורך בהרתעת הרבים מפני ביצוע עבירות סמים</w:t>
      </w:r>
      <w:r>
        <w:rPr>
          <w:rtl w:val="true"/>
        </w:rPr>
        <w:t xml:space="preserve">, </w:t>
      </w:r>
      <w:r>
        <w:rPr>
          <w:rtl w:val="true"/>
        </w:rPr>
        <w:t>כמשקל נגד לפיתוי הגדול לבצען</w:t>
      </w:r>
      <w:r>
        <w:rPr>
          <w:rtl w:val="true"/>
        </w:rPr>
        <w:t xml:space="preserve">, </w:t>
      </w:r>
      <w:r>
        <w:rPr>
          <w:rtl w:val="true"/>
        </w:rPr>
        <w:t>מחמת קלות הביצוע</w:t>
      </w:r>
      <w:r>
        <w:rPr>
          <w:rtl w:val="true"/>
        </w:rPr>
        <w:t xml:space="preserve">, </w:t>
      </w:r>
      <w:r>
        <w:rPr>
          <w:rtl w:val="true"/>
        </w:rPr>
        <w:t>והמהירות שבה ניתן להרוויח סכומי</w:t>
      </w:r>
      <w:r>
        <w:rPr>
          <w:rtl w:val="true"/>
        </w:rPr>
        <w:t>-</w:t>
      </w:r>
      <w:r>
        <w:rPr>
          <w:rtl w:val="true"/>
        </w:rPr>
        <w:t>כסף גדולים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בית המשפט ציין כי יש לייחס משקל לכך שרמי הודה והביע חרטה ובושה</w:t>
      </w:r>
      <w:r>
        <w:rPr>
          <w:rtl w:val="true"/>
        </w:rPr>
        <w:t xml:space="preserve">, </w:t>
      </w:r>
      <w:r>
        <w:rPr>
          <w:rtl w:val="true"/>
        </w:rPr>
        <w:t>ואף נטל אחריות על מעשיו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</w:t>
      </w:r>
      <w:r>
        <w:rPr>
          <w:rtl w:val="true"/>
        </w:rPr>
        <w:t xml:space="preserve">יִחס </w:t>
      </w:r>
      <w:r>
        <w:rPr>
          <w:rtl w:val="true"/>
        </w:rPr>
        <w:t xml:space="preserve">משקל </w:t>
      </w:r>
      <w:r>
        <w:rPr>
          <w:rtl w:val="true"/>
        </w:rPr>
        <w:t>לעובדה שרמי נעדר עבר פלילי</w:t>
      </w:r>
      <w:r>
        <w:rPr>
          <w:rtl w:val="true"/>
        </w:rPr>
        <w:t xml:space="preserve">, </w:t>
      </w:r>
      <w:r>
        <w:rPr>
          <w:rtl w:val="true"/>
        </w:rPr>
        <w:t>ושעובר לביצוע העבירות חי חיים נורמטיביים</w:t>
      </w:r>
      <w:r>
        <w:rPr>
          <w:rtl w:val="true"/>
        </w:rPr>
        <w:t xml:space="preserve">, </w:t>
      </w:r>
      <w:r>
        <w:rPr>
          <w:rtl w:val="true"/>
        </w:rPr>
        <w:t>ואף פעל לתרום לקהילה</w:t>
      </w:r>
      <w:r>
        <w:rPr>
          <w:rtl w:val="true"/>
        </w:rPr>
        <w:t xml:space="preserve">, </w:t>
      </w:r>
      <w:r>
        <w:rPr>
          <w:rtl w:val="true"/>
        </w:rPr>
        <w:t>כפי שהעידו עדי אופי מטעמו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המחוזי שקל לזכותו של רמי את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התקופה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הממושכת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שהה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הנאשם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במעצר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כשנתיים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וחצי</w:t>
      </w:r>
      <w:r>
        <w:rPr>
          <w:rFonts w:cs="Miriam"/>
          <w:b/>
          <w:spacing w:val="0"/>
          <w:szCs w:val="24"/>
          <w:rtl w:val="true"/>
        </w:rPr>
        <w:t xml:space="preserve">; </w:t>
      </w:r>
      <w:r>
        <w:rPr>
          <w:rFonts w:cs="Miriam"/>
          <w:b/>
          <w:b/>
          <w:spacing w:val="0"/>
          <w:szCs w:val="24"/>
          <w:rtl w:val="true"/>
        </w:rPr>
        <w:t>וכידוע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תנאי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המעצר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אינם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קלים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בוודאי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עבור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אדם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נורמטיבי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במיוחד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כך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בתקופה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הרלוונטית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שבה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הוגבלו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הביקורים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בעקבות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משבר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נגיף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הקורונה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והתייחס לתסקיר החיובי של שירות המבחן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התסקיר</w:t>
      </w:r>
      <w:r>
        <w:rPr>
          <w:rtl w:val="true"/>
        </w:rPr>
        <w:t xml:space="preserve">), </w:t>
      </w:r>
      <w:r>
        <w:rPr>
          <w:rtl w:val="true"/>
        </w:rPr>
        <w:t>שכלל המלצה להימנע מהטלת עונש מאסר שירוצה מאחורי סורג ובריח</w:t>
      </w:r>
      <w:r>
        <w:rPr>
          <w:rtl w:val="true"/>
        </w:rPr>
        <w:t xml:space="preserve">. </w:t>
      </w:r>
      <w:r>
        <w:rPr>
          <w:rtl w:val="true"/>
        </w:rPr>
        <w:t>על יסוד כל אלה</w:t>
      </w:r>
      <w:r>
        <w:rPr>
          <w:rtl w:val="true"/>
        </w:rPr>
        <w:t xml:space="preserve">, </w:t>
      </w:r>
      <w:r>
        <w:rPr>
          <w:rtl w:val="true"/>
        </w:rPr>
        <w:t>נקבע כי העונש שיש להשית על רמי מצוי ברף התחתון של מתחם העונש ההולם</w:t>
      </w:r>
      <w:r>
        <w:rPr>
          <w:rtl w:val="true"/>
        </w:rPr>
        <w:t xml:space="preserve">, </w:t>
      </w:r>
      <w:r>
        <w:rPr>
          <w:rtl w:val="true"/>
        </w:rPr>
        <w:t>ולא באמצע המתחם כפי שביקשה המדינה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 xml:space="preserve">הוטל על רמי עונש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 xml:space="preserve">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shd w:fill="FFFFFF" w:val="clear"/>
          <w:rtl w:val="true"/>
        </w:rPr>
        <w:t>רמי</w:t>
      </w:r>
      <w:r>
        <w:rPr>
          <w:shd w:fill="FFFFFF" w:val="clear"/>
          <w:rtl w:val="true"/>
        </w:rPr>
        <w:t xml:space="preserve"> הגיש ערעור על הכרעת הדין ועל גזר הדין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אך בדיון </w:t>
      </w:r>
      <w:r>
        <w:rPr>
          <w:shd w:fill="FFFFFF" w:val="clear"/>
          <w:rtl w:val="true"/>
        </w:rPr>
        <w:t>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פה שקיימנו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ביום </w:t>
      </w:r>
      <w:r>
        <w:rPr>
          <w:shd w:fill="FFFFFF" w:val="clear"/>
        </w:rPr>
        <w:t>20.3.2023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חזר 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בעקבות הערותינו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מערעור</w:t>
      </w:r>
      <w:r>
        <w:rPr>
          <w:shd w:fill="FFFFFF" w:val="clear"/>
          <w:rtl w:val="true"/>
        </w:rPr>
        <w:t>י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טענתו העיקרית של </w:t>
      </w:r>
      <w:r>
        <w:rPr>
          <w:shd w:fill="FFFFFF" w:val="clear"/>
          <w:rtl w:val="true"/>
        </w:rPr>
        <w:t>רמי ביחס לגזר הדין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היתה</w:t>
      </w:r>
      <w:r>
        <w:rPr>
          <w:shd w:fill="FFFFFF" w:val="clear"/>
          <w:rtl w:val="true"/>
        </w:rPr>
        <w:t xml:space="preserve"> כי בית המשפט המחוזי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החמיר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עימו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מאד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</w:t>
      </w:r>
      <w:r>
        <w:rPr>
          <w:shd w:fill="FFFFFF" w:val="clear"/>
          <w:rtl w:val="true"/>
        </w:rPr>
        <w:t xml:space="preserve">לא </w:t>
      </w:r>
      <w:r>
        <w:rPr>
          <w:shd w:fill="FFFFFF" w:val="clear"/>
          <w:rtl w:val="true"/>
        </w:rPr>
        <w:t>יִחס</w:t>
      </w:r>
      <w:r>
        <w:rPr>
          <w:shd w:fill="FFFFFF" w:val="clear"/>
          <w:rtl w:val="true"/>
        </w:rPr>
        <w:t xml:space="preserve"> משקל מספיק </w:t>
      </w:r>
      <w:r>
        <w:rPr>
          <w:shd w:fill="FFFFFF" w:val="clear"/>
          <w:rtl w:val="true"/>
        </w:rPr>
        <w:t>לנסיבותיו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כפי שהן משתקפות בתסקיר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וכמו כן שגה כשלא ראה לאמץ את המלצת שירות המבחן בתסקיר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שלא להשית עליו עונש מאסר בפועל</w:t>
      </w:r>
      <w:r>
        <w:rPr>
          <w:shd w:fill="FFFFFF" w:val="clear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רמי הוסיף וציין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shd w:fill="FFFFFF" w:val="clear"/>
          <w:rtl w:val="true"/>
        </w:rPr>
        <w:t>ל</w:t>
      </w:r>
      <w:r>
        <w:rPr>
          <w:shd w:fill="FFFFFF" w:val="clear"/>
          <w:rtl w:val="true"/>
        </w:rPr>
        <w:t>דעתו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עניינו יחודי וחריג משאר הנאשמים בפרשה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משום שלא היה שותף מעורב בתוכנית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לעניין זה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דגיש </w:t>
      </w:r>
      <w:r>
        <w:rPr>
          <w:shd w:fill="FFFFFF" w:val="clear"/>
          <w:rtl w:val="true"/>
        </w:rPr>
        <w:t>רמי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כי </w:t>
      </w:r>
      <w:r>
        <w:rPr>
          <w:shd w:fill="FFFFFF" w:val="clear"/>
          <w:rtl w:val="true"/>
        </w:rPr>
        <w:t xml:space="preserve">גם </w:t>
      </w:r>
      <w:r>
        <w:rPr>
          <w:rtl w:val="true"/>
        </w:rPr>
        <w:t>עד המדינה הודה בחקירותיו</w:t>
      </w:r>
      <w:r>
        <w:rPr>
          <w:rtl w:val="true"/>
        </w:rPr>
        <w:t xml:space="preserve">, </w:t>
      </w:r>
      <w:r>
        <w:rPr>
          <w:rtl w:val="true"/>
        </w:rPr>
        <w:t>כי מעולם לא אמר לרמי שמדובר בסמים</w:t>
      </w:r>
      <w:r>
        <w:rPr>
          <w:rtl w:val="true"/>
        </w:rPr>
        <w:t xml:space="preserve">, </w:t>
      </w:r>
      <w:r>
        <w:rPr>
          <w:rtl w:val="true"/>
        </w:rPr>
        <w:t>וכי טענתו היתה שבמזוודות מצויים מטילי זהב מוברחים</w:t>
      </w:r>
      <w:r>
        <w:rPr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לדבריו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בניגוד לכל שאר השותפים בביצוע העבירה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הוא היחיד שלא ידע ידיעה ממשית כי מדובר בסמים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לפיכך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ראוי עונשו שיהיה</w:t>
      </w:r>
      <w:r>
        <w:rPr>
          <w:rtl w:val="true"/>
        </w:rPr>
        <w:t xml:space="preserve"> קל יותר</w:t>
      </w:r>
      <w:r>
        <w:rPr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לכך </w:t>
      </w:r>
      <w:r>
        <w:rPr>
          <w:shd w:fill="FFFFFF" w:val="clear"/>
          <w:rtl w:val="true"/>
        </w:rPr>
        <w:t xml:space="preserve">מוסיף </w:t>
      </w:r>
      <w:r>
        <w:rPr>
          <w:shd w:fill="FFFFFF" w:val="clear"/>
          <w:rtl w:val="true"/>
        </w:rPr>
        <w:t>רמי</w:t>
      </w:r>
      <w:r>
        <w:rPr>
          <w:shd w:fill="FFFFFF" w:val="clear"/>
          <w:rtl w:val="true"/>
        </w:rPr>
        <w:t xml:space="preserve"> וטוען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העונש שהושת עליו מנוגד לעקרון השוויון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בפרט כאשר משווים את העונש החמור שהוטל עליו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לעונשים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הקלים יותר שהוטלו על מרבית הנאשמים בפרשה</w:t>
      </w:r>
      <w:r>
        <w:rPr>
          <w:rtl w:val="true"/>
        </w:rPr>
        <w:t xml:space="preserve">, </w:t>
      </w:r>
      <w:r>
        <w:rPr>
          <w:rtl w:val="true"/>
        </w:rPr>
        <w:t>אף שחלקם בתוכנית הפלילית היה משמעותי יותר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מנגד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המדינה סבורה כי העונש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שהוטל על רמי 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מקל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מאוד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שלא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בצדק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ביחס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לחומרה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המיוחדת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הטמונה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במעשיו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וכי נפלו טעויות בגזר הדין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הן לעניין קביעת מתחם הענישה ההולם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הן לעניין העמדת העונש ברף התחתון בתוך המתחם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בנוסף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המדינה שבה וטוענת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עצימת עיניו של רמי היא נסיבה מחמירה</w:t>
      </w:r>
      <w:r>
        <w:rPr>
          <w:shd w:fill="FFFFFF" w:val="clear"/>
          <w:rtl w:val="true"/>
        </w:rPr>
        <w:t xml:space="preserve">, 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שכן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העיניים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שנעצמו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מרצון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בדיוק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אותן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עיניים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שאמורות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להשגיח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שלא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תתבצע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פעילות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עבריינית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או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עוינת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באמצעות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הטיסות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זאת ועוד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המדינה טוענת כי בפסק הדין לא ניתן משקל מספיק להפרת האמון החמורה מצד רמי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עוד הוסיפה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אף שבית המשפט המחוזי הפנה לפסק הדין ב</w:t>
      </w:r>
      <w:hyperlink r:id="rId17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10254/09</w:t>
        </w:r>
      </w:hyperlink>
      <w:r>
        <w:rPr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דהן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3</w:t>
      </w:r>
      <w:r>
        <w:rPr>
          <w:shd w:fill="FFFFFF" w:val="clear"/>
        </w:rPr>
        <w:t>.</w:t>
      </w:r>
      <w:r>
        <w:rPr>
          <w:shd w:fill="FFFFFF" w:val="clear"/>
        </w:rPr>
        <w:t>5</w:t>
      </w:r>
      <w:r>
        <w:rPr>
          <w:shd w:fill="FFFFFF" w:val="clear"/>
        </w:rPr>
        <w:t>.2012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עניין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דהן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 xml:space="preserve">שבו נדחה ערעור הנאשם על חומרת עונשו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12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שנות מאסר בגין הרשעתו בייבוא קוקאין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התמקד בית המשפט המחוזי יתר על המידה במכנה המשותף שבין הפרשות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בעובדה שגם שם הנאשם מעל באמון שניתן 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וניצל את תפקידו כעובד דואר לצורך יבוא סם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ואולם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לדעת המדינה</w:t>
      </w:r>
      <w:r>
        <w:rPr>
          <w:shd w:fill="FFFFFF" w:val="clear"/>
          <w:rtl w:val="true"/>
        </w:rPr>
        <w:t xml:space="preserve">: 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ברי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לכל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כי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המעילה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spacing w:val="0"/>
          <w:szCs w:val="24"/>
          <w:shd w:fill="FFFFFF" w:val="clear"/>
          <w:rtl w:val="true"/>
        </w:rPr>
        <w:t>[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רמי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]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והיקפה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חמורות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שבעתיים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מעמדו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הבכיר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והרגיש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יצירת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סיכון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ביטחוני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החזרתיות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והן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הכמות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האדירה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הסם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שייבא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spacing w:val="0"/>
          <w:szCs w:val="24"/>
          <w:shd w:fill="FFFFFF" w:val="clear"/>
          <w:rtl w:val="true"/>
        </w:rPr>
        <w:t>[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רמי</w:t>
      </w:r>
      <w:r>
        <w:rPr>
          <w:rFonts w:cs="Miriam"/>
          <w:b/>
          <w:spacing w:val="0"/>
          <w:szCs w:val="24"/>
          <w:shd w:fill="FFFFFF" w:val="clear"/>
          <w:rtl w:val="true"/>
        </w:rPr>
        <w:t xml:space="preserve">]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אשר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הופצה</w:t>
      </w:r>
      <w:r>
        <w:rPr>
          <w:rFonts w:eastAsia="Garamond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בישראל</w:t>
      </w:r>
      <w:r>
        <w:rPr>
          <w:rFonts w:cs="Miriam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המדינה מבקשת אפוא להסיק מהחומרה היתרה העולה מההשוואה בין עניין </w:t>
      </w:r>
      <w:r>
        <w:rPr>
          <w:rFonts w:cs="Miriam"/>
          <w:b/>
          <w:b/>
          <w:spacing w:val="0"/>
          <w:szCs w:val="24"/>
          <w:shd w:fill="FFFFFF" w:val="clear"/>
          <w:rtl w:val="true"/>
        </w:rPr>
        <w:t>דהן</w:t>
      </w:r>
      <w:r>
        <w:rPr>
          <w:shd w:fill="FFFFFF" w:val="clear"/>
          <w:rtl w:val="true"/>
        </w:rPr>
        <w:t xml:space="preserve"> לענייננו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אנו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יש להחמיר בעונשו של רמי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מסקנה זו מתחזקת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לעמדת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מכך שרמי פגע בערכים מוגנים נוספים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מעבר לאלה שנפגעו מחמת פעילותם של יתר המעורבים בפרשה</w:t>
      </w:r>
      <w:r>
        <w:rPr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לצורך הדגשת חומרתם היתרה של מעשיו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מציינת המדינה כי רמי הוא היחיד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בכל שרשרת יבוא הסמים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שלא היה לו תחליף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כמו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בהתייחס </w:t>
      </w:r>
      <w:r>
        <w:rPr>
          <w:shd w:fill="FFFFFF" w:val="clear"/>
          <w:rtl w:val="true"/>
        </w:rPr>
        <w:t>לבקשתה לקבוע כי הרף התחתון במתחם העונש ההולם גבוה מזה שנקבע 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ידי בית המשפט המחוזי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מעלה המדינה טענות גם נגד ההחלטה להעמיד את העונש בתחתית המתחם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ולא באמצעיתו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מחמת שני טעמים עיקריים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הראשון נוגע לצורך בהרתעת הרבים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השני נוגע לכך שבחלוף מספר שבועות ממועד גזר הדין הגיש רמי בקשה לחזור בו מהודאתו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משכך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נטען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אין להתחשב בהודאתו הראשונית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ובאחריות שכביכול נטל על מעשיו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  <w:shd w:fill="FFFFFF" w:val="clear"/>
        </w:rPr>
      </w:pP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shd w:fill="FFFFFF" w:val="clear"/>
          <w:rtl w:val="true"/>
        </w:rPr>
        <w:t>טרם הכרעה בערעור לגופו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אבקש לחזור על מושכלות ראשונים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בפרשה אחרת ציינתי</w:t>
      </w:r>
      <w:r>
        <w:rPr>
          <w:shd w:fill="FFFFFF" w:val="clear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כלל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נקוט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בידינו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הלכה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פסוקה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ברגיל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ומשנה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דין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מוטעים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פסולים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הנחו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הדיונית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מופרז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קיצוני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לקולא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לחומרה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מתערבת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התיקון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הנחוץ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(</w:t>
      </w:r>
      <w:hyperlink r:id="rId18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8445/11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לחוות דעתי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31.12.2012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הנה כי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הלכה יסודית ומושרשת זו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היא נקודת המוצא לדיון בערעור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דברים אלה יפים במיוחד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כשאנו משווים לנגד עינינו את העובדה כי רמי חזר בו בסופו של דבר מערעורו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ונותר על כנו רק ערעור המדינה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ובזכרנו את הכלל הידוע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הקובע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ז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מדרכה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למצות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הדין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Century" w:ascii="Century" w:hAnsi="Century"/>
          <w:shd w:fill="FFFFFF" w:val="clear"/>
          <w:rtl w:val="true"/>
        </w:rPr>
        <w:t>(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</w:rPr>
          <w:t>816/10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גולד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hd w:fill="FFFFFF" w:val="clear"/>
        </w:rPr>
        <w:t>109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cs="Century" w:ascii="Century" w:hAnsi="Century"/>
          <w:shd w:fill="FFFFFF" w:val="clear"/>
        </w:rPr>
        <w:t>3</w:t>
      </w:r>
      <w:r>
        <w:rPr>
          <w:rFonts w:cs="Century" w:ascii="Century" w:hAnsi="Century"/>
          <w:shd w:fill="FFFFFF" w:val="clear"/>
        </w:rPr>
        <w:t>.</w:t>
      </w:r>
      <w:r>
        <w:rPr>
          <w:rFonts w:cs="Century" w:ascii="Century" w:hAnsi="Century"/>
          <w:shd w:fill="FFFFFF" w:val="clear"/>
        </w:rPr>
        <w:t>9</w:t>
      </w:r>
      <w:r>
        <w:rPr>
          <w:rFonts w:cs="Century" w:ascii="Century" w:hAnsi="Century"/>
          <w:shd w:fill="FFFFFF" w:val="clear"/>
        </w:rPr>
        <w:t>.2012</w:t>
      </w:r>
      <w:r>
        <w:rPr>
          <w:rFonts w:cs="Century" w:ascii="Century" w:hAnsi="Century"/>
          <w:shd w:fill="FFFFFF" w:val="clear"/>
          <w:rtl w:val="true"/>
        </w:rPr>
        <w:t>)</w:t>
      </w:r>
      <w:r>
        <w:rPr>
          <w:rFonts w:cs="Century" w:ascii="Century" w:hAnsi="Century"/>
          <w:shd w:fill="FFFFFF" w:val="clear"/>
          <w:rtl w:val="true"/>
        </w:rPr>
        <w:t>;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shd w:fill="FFFFFF" w:val="clear"/>
          </w:rPr>
          <w:t>766/21</w:t>
        </w:r>
      </w:hyperlink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רביעה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hd w:fill="FFFFFF" w:val="clear"/>
        </w:rPr>
        <w:t>39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rFonts w:cs="Century" w:ascii="Century" w:hAnsi="Century"/>
          <w:shd w:fill="FFFFFF" w:val="clear"/>
          <w:rtl w:val="true"/>
        </w:rPr>
        <w:t>(</w:t>
      </w:r>
      <w:r>
        <w:rPr>
          <w:rFonts w:cs="Century" w:ascii="Century" w:hAnsi="Century"/>
          <w:shd w:fill="FFFFFF" w:val="clear"/>
        </w:rPr>
        <w:t>23.</w:t>
      </w:r>
      <w:r>
        <w:rPr>
          <w:rFonts w:cs="Century" w:ascii="Century" w:hAnsi="Century"/>
          <w:shd w:fill="FFFFFF" w:val="clear"/>
        </w:rPr>
        <w:t>2</w:t>
      </w:r>
      <w:r>
        <w:rPr>
          <w:rFonts w:cs="Century" w:ascii="Century" w:hAnsi="Century"/>
          <w:shd w:fill="FFFFFF" w:val="clear"/>
        </w:rPr>
        <w:t>.2023</w:t>
      </w:r>
      <w:r>
        <w:rPr>
          <w:rFonts w:cs="Century" w:ascii="Century" w:hAnsi="Century"/>
          <w:shd w:fill="FFFFFF" w:val="clear"/>
          <w:rtl w:val="true"/>
        </w:rPr>
        <w:t>)</w:t>
      </w:r>
      <w:r>
        <w:rPr>
          <w:rFonts w:cs="Century" w:ascii="Century" w:hAnsi="Century"/>
          <w:shd w:fill="FFFFFF" w:val="clear"/>
          <w:rtl w:val="true"/>
        </w:rPr>
        <w:t>;</w:t>
      </w:r>
      <w:r>
        <w:rPr>
          <w:rFonts w:cs="Century" w:ascii="Century" w:hAnsi="Century"/>
          <w:shd w:fill="FFFFFF" w:val="clear"/>
          <w:rtl w:val="true"/>
        </w:rPr>
        <w:t xml:space="preserve">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1466/20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 דיני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22.</w:t>
      </w:r>
      <w:r>
        <w:rPr>
          <w:rFonts w:cs="Century" w:ascii="Century" w:hAnsi="Century"/>
        </w:rPr>
        <w:t>7</w:t>
      </w:r>
      <w:r>
        <w:rPr>
          <w:rFonts w:cs="Century" w:ascii="Century" w:hAnsi="Century"/>
        </w:rPr>
        <w:t>.2020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hd w:fill="FFFFFF" w:val="clear"/>
        </w:rPr>
      </w:pPr>
      <w:r>
        <w:rPr>
          <w:shd w:fill="FFFFFF" w:val="clear"/>
          <w:rtl w:val="true"/>
        </w:rPr>
        <w:t>למקרא גזר הדין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לא מצאתי כי בית המשפט </w:t>
      </w:r>
      <w:r>
        <w:rPr>
          <w:shd w:fill="FFFFFF" w:val="clear"/>
          <w:rtl w:val="true"/>
        </w:rPr>
        <w:t xml:space="preserve">המחוזי </w:t>
      </w:r>
      <w:r>
        <w:rPr>
          <w:shd w:fill="FFFFFF" w:val="clear"/>
          <w:rtl w:val="true"/>
        </w:rPr>
        <w:t>שקל שיקולים מוטעים או פסולים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ואיני סבור כי לא נתן דעתו על עניינים העולים בערעור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גזר הדין –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הריהו </w:t>
      </w:r>
      <w:r>
        <w:rPr>
          <w:shd w:fill="FFFFFF" w:val="clear"/>
          <w:rtl w:val="true"/>
        </w:rPr>
        <w:t>מפורט ו</w:t>
      </w:r>
      <w:r>
        <w:rPr>
          <w:shd w:fill="FFFFFF" w:val="clear"/>
          <w:rtl w:val="true"/>
        </w:rPr>
        <w:t>שקו</w:t>
      </w:r>
      <w:r>
        <w:rPr>
          <w:shd w:fill="FFFFFF" w:val="clear"/>
          <w:rtl w:val="true"/>
        </w:rPr>
        <w:t>ל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לא אכחד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יתכן ש</w:t>
      </w:r>
      <w:r>
        <w:rPr>
          <w:shd w:fill="FFFFFF" w:val="clear"/>
          <w:rtl w:val="true"/>
        </w:rPr>
        <w:t>אילו נדרשתי לגזור את דינו</w:t>
      </w:r>
      <w:r>
        <w:rPr>
          <w:shd w:fill="FFFFFF" w:val="clear"/>
          <w:rtl w:val="true"/>
        </w:rPr>
        <w:t xml:space="preserve"> של רמי</w:t>
      </w:r>
      <w:r>
        <w:rPr>
          <w:shd w:fill="FFFFFF" w:val="clear"/>
          <w:rtl w:val="true"/>
        </w:rPr>
        <w:t xml:space="preserve"> מבראשית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העונש היה חמור </w:t>
      </w:r>
      <w:r>
        <w:rPr>
          <w:shd w:fill="FFFFFF" w:val="clear"/>
          <w:rtl w:val="true"/>
        </w:rPr>
        <w:t>יותר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 לא במידה שיש בה כדי להצדיק התערבות כעת מצדה של ערכאת הערעור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hd w:fill="FFFFFF" w:val="clear"/>
        </w:rPr>
      </w:pPr>
      <w:r>
        <w:rPr>
          <w:rFonts w:cs="Century" w:ascii="Century" w:hAnsi="Century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אכן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כטענת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בית המשפט המחוזי בחר שלא לאמץ את התסקיר שהגיש שירות המבחן לגביו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הכולל המלצה להימנע מהטלת עונש מאסר שירוצה מאחורי סורג ובריח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כידוע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המלצת שירות המבחן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המלצה היא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שמה נאה לה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והיא נאה לשמה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ואין בית המשפט מחויב לה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 למשל</w:t>
      </w:r>
      <w:r>
        <w:rPr>
          <w:shd w:fill="FFFFFF" w:val="clear"/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1222/22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נאצר</w:t>
      </w:r>
      <w:r>
        <w:rPr>
          <w:shd w:fill="FFFFFF" w:val="clear"/>
          <w:rtl w:val="true"/>
        </w:rPr>
        <w:t>,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14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23.</w:t>
      </w:r>
      <w:r>
        <w:rPr>
          <w:shd w:fill="FFFFFF" w:val="clear"/>
        </w:rPr>
        <w:t>6</w:t>
      </w:r>
      <w:r>
        <w:rPr>
          <w:shd w:fill="FFFFFF" w:val="clear"/>
        </w:rPr>
        <w:t>.2022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בית המשפט אינו שוקל שיקולי שיקום בלבד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עליו לאזן בין תכליות הענישה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וכלל השיקולים הצריכים לעניין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בשים לב למצוות המחוקק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אשר קבע כי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העיקרון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המנחה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עליו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(</w:t>
      </w:r>
      <w:hyperlink r:id="rId23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40</w:t>
        </w:r>
        <w:r>
          <w:rPr>
            <w:rStyle w:val="Hyperlink"/>
            <w:shd w:fill="FFFFFF" w:val="clear"/>
            <w:rtl w:val="true"/>
          </w:rPr>
          <w:t>ב</w:t>
        </w:r>
      </w:hyperlink>
      <w:r>
        <w:rPr>
          <w:shd w:fill="FFFFFF" w:val="clear"/>
          <w:rtl w:val="true"/>
        </w:rPr>
        <w:t xml:space="preserve"> ל</w:t>
      </w:r>
      <w:hyperlink r:id="rId24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תשל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ז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1977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להלן</w:t>
      </w:r>
      <w:r>
        <w:rPr>
          <w:shd w:fill="FFFFFF" w:val="clear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העונשין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בית המשפט לא אימץ את המלצת התסקיר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 לצד זאת התחשב באמור בו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ובשיקולי טיפול ושיקום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ובחר להקל עם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בין היתר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בשוותו לנגד עיניו את כל אלה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גם טענתו של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בגזר הדין אין כל התייחסות לכך שמעולם לא נאמר לו שמדובר בסמים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ושנטען בפניו שמדובר בזהב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אינה נכונה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בגזר הדין ניתנה התייחסות ספציפית גם לפרט זה</w:t>
      </w:r>
      <w:r>
        <w:rPr>
          <w:shd w:fill="FFFFFF" w:val="clear"/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יהא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צודק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והולם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עתרה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המדינה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אפשר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להטילו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שידע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בפועל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שמדובר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בייבוא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סמים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קשים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מן האמור עולה אפוא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</w:t>
      </w:r>
      <w:r>
        <w:rPr>
          <w:shd w:fill="FFFFFF" w:val="clear"/>
          <w:rtl w:val="true"/>
        </w:rPr>
        <w:t xml:space="preserve">בית המשפט המחוזי קשוּב </w:t>
      </w:r>
      <w:r>
        <w:rPr>
          <w:shd w:fill="FFFFFF" w:val="clear"/>
          <w:rtl w:val="true"/>
        </w:rPr>
        <w:t xml:space="preserve">היה </w:t>
      </w:r>
      <w:r>
        <w:rPr>
          <w:shd w:fill="FFFFFF" w:val="clear"/>
          <w:rtl w:val="true"/>
        </w:rPr>
        <w:t>ל</w:t>
      </w:r>
      <w:r>
        <w:rPr>
          <w:shd w:fill="FFFFFF" w:val="clear"/>
          <w:rtl w:val="true"/>
        </w:rPr>
        <w:t>שיקולים לקולא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ואיני סבור שניתן להקל עם רמי יותר מכפי שהקל עמו בית המשפט המחוזי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כאמור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בעקבות הערותינו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חזר בו המערער מערעורו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יחד עם 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טענותיו לגבי העונש נשקלו גם במענה לערעור המדינה שביקשה להחמיר בעונשו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הגם שמצאתי טעם בטיעונים שהועלו על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ידי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לעמדתי העונש שהוטל על רמי הוא עונש כבד דיו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ובשים לב לנקודת המוצא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אין להחמיר בעונש מעבר לכך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אפרט קמעא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על חומרתן היתרה של עבירות יבוא סמים מסוכנים עמד בית המשפט בפסקי דין רבים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שמהם עולה כי בעבירות אלה מתחייבת ענישה מחמירה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על כך אין חולק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ציינתי בעבר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פ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גיעתם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הסמים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המסוכנים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ונרחבת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ביחידים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ובציבור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ושומה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ככל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הניתן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בנגע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הסמים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סם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הקוקאין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המסוכנים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שבסמים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המערערים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ייבאו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כמות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גדולה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מחמירה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וכואבת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הכרח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יגו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נה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hyperlink r:id="rId25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4008/11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גוארדיה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rFonts w:cs="Century" w:ascii="Century" w:hAnsi="Century"/>
          <w:shd w:fill="FFFFFF" w:val="clear"/>
          <w:rtl w:val="true"/>
        </w:rPr>
        <w:t xml:space="preserve">, </w:t>
      </w:r>
      <w:r>
        <w:rPr>
          <w:rFonts w:ascii="Century" w:hAnsi="Century" w:cs="Century"/>
          <w:shd w:fill="FFFFFF" w:val="clear"/>
          <w:rtl w:val="true"/>
        </w:rPr>
        <w:t xml:space="preserve">פסקה </w:t>
      </w:r>
      <w:r>
        <w:rPr>
          <w:rFonts w:cs="Century" w:ascii="Century" w:hAnsi="Century"/>
          <w:shd w:fill="FFFFFF" w:val="clear"/>
        </w:rPr>
        <w:t>5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6</w:t>
      </w:r>
      <w:r>
        <w:rPr>
          <w:shd w:fill="FFFFFF" w:val="clear"/>
        </w:rPr>
        <w:t>.</w:t>
      </w:r>
      <w:r>
        <w:rPr>
          <w:shd w:fill="FFFFFF" w:val="clear"/>
        </w:rPr>
        <w:t>3</w:t>
      </w:r>
      <w:r>
        <w:rPr>
          <w:shd w:fill="FFFFFF" w:val="clear"/>
        </w:rPr>
        <w:t>.2012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כאז כן עתה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סבורני שיש לנקוט יד קשה נגד עברייני הסמים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אך לצד זאת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אני סבור כי עונשו של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כפי שנגזר בבית המשפט המחוזי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עולה בקנה אחד עם מדיניות ענישה זו</w:t>
      </w:r>
      <w:r>
        <w:rPr>
          <w:shd w:fill="FFFFFF" w:val="clear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shd w:fill="FFFFFF" w:val="clear"/>
          <w:rtl w:val="true"/>
        </w:rPr>
        <w:t>המדינה טענה באריכות לגבי עצימת העיניים של רמי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לדעתה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במקרה זה מדובר בנסיבה מחמירה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שמצדיקה הכבדת הענישה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אכן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מי שאמון על שלום הציבור ובטחונו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ותפקידו מחייב עיניים פקוחות וערניות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פשוטו כמשמעו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לא יכול להסתתר מאחורי טענה לעצימת עיניים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הכלל הוא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רואים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שחשד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טיב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ההתנהגות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אפשרות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קיום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הנסיבות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להם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נמנע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מלבררם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hyperlink r:id="rId26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20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ג</w:t>
        </w:r>
        <w:r>
          <w:rPr>
            <w:rStyle w:val="Hyperlink"/>
            <w:shd w:fill="FFFFFF" w:val="clear"/>
            <w:rtl w:val="true"/>
          </w:rPr>
          <w:t>)(</w:t>
        </w:r>
        <w:r>
          <w:rPr>
            <w:rStyle w:val="Hyperlink"/>
            <w:shd w:fill="FFFFFF" w:val="clear"/>
          </w:rPr>
          <w:t>1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Century"/>
          <w:shd w:fill="FFFFFF" w:val="clear"/>
          <w:rtl w:val="true"/>
        </w:rPr>
        <w:t>ל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); </w:t>
      </w:r>
      <w:r>
        <w:rPr>
          <w:shd w:fill="FFFFFF" w:val="clear"/>
          <w:rtl w:val="true"/>
        </w:rPr>
        <w:t>הֶוֵי אומר</w:t>
      </w:r>
      <w:r>
        <w:rPr>
          <w:shd w:fill="FFFFFF" w:val="clear"/>
          <w:rtl w:val="true"/>
        </w:rPr>
        <w:t>: '</w:t>
      </w:r>
      <w:r>
        <w:rPr>
          <w:shd w:fill="FFFFFF" w:val="clear"/>
          <w:rtl w:val="true"/>
        </w:rPr>
        <w:t>עצימת עיניים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 xml:space="preserve">שקולה למודעות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ש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ז פלר </w:t>
      </w:r>
      <w:hyperlink r:id="rId2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>יסודות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>בדיני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shd w:fill="FFFFFF" w:val="clear"/>
            <w:rtl w:val="true"/>
          </w:rPr>
          <w:t>עונשין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כרך 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cs="Century" w:ascii="Century" w:hAnsi="Century"/>
          <w:sz w:val="22"/>
          <w:shd w:fill="FFFFFF" w:val="clear"/>
        </w:rPr>
        <w:t>519</w:t>
      </w:r>
      <w:r>
        <w:rPr>
          <w:rFonts w:cs="Century" w:ascii="Century" w:hAnsi="Century"/>
          <w:sz w:val="22"/>
          <w:shd w:fill="FFFFFF" w:val="clear"/>
          <w:rtl w:val="true"/>
        </w:rPr>
        <w:t xml:space="preserve"> (</w:t>
      </w:r>
      <w:r>
        <w:rPr>
          <w:rFonts w:cs="Century" w:ascii="Century" w:hAnsi="Century"/>
          <w:sz w:val="22"/>
          <w:shd w:fill="FFFFFF" w:val="clear"/>
        </w:rPr>
        <w:t>1984</w:t>
      </w:r>
      <w:r>
        <w:rPr>
          <w:rFonts w:cs="Century" w:ascii="Century" w:hAnsi="Century"/>
          <w:sz w:val="22"/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117/00</w:t>
        </w:r>
      </w:hyperlink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ד </w:t>
      </w:r>
      <w:r>
        <w:rPr>
          <w:shd w:fill="FFFFFF" w:val="clear"/>
          <w:rtl w:val="true"/>
        </w:rPr>
        <w:t>נד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</w:t>
      </w:r>
      <w:r>
        <w:rPr>
          <w:shd w:fill="FFFFFF" w:val="clear"/>
          <w:rtl w:val="true"/>
        </w:rPr>
        <w:t xml:space="preserve">) </w:t>
      </w:r>
      <w:r>
        <w:rPr>
          <w:shd w:fill="FFFFFF" w:val="clear"/>
        </w:rPr>
        <w:t>408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427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2000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מכאן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שנסיבה זו אינה מקימה חומרה פחותה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בהתאם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בית המשפט המחוזי סבר שעצימת העיניים איננה נסיבה מקלה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ואף אני סבור כי אין לנטות חסד לעוצמים את עיניהם מראוֹת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8915/18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מועזיז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11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לפסק דיני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24.</w:t>
      </w:r>
      <w:r>
        <w:rPr>
          <w:shd w:fill="FFFFFF" w:val="clear"/>
        </w:rPr>
        <w:t>9</w:t>
      </w:r>
      <w:r>
        <w:rPr>
          <w:shd w:fill="FFFFFF" w:val="clear"/>
        </w:rPr>
        <w:t>.2019</w:t>
      </w:r>
      <w:r>
        <w:rPr>
          <w:shd w:fill="FFFFFF" w:val="clear"/>
          <w:rtl w:val="true"/>
        </w:rPr>
        <w:t>)</w:t>
      </w:r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671/19</w:t>
        </w:r>
      </w:hyperlink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אבוטבול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ישראל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פסקה </w:t>
      </w:r>
      <w:r>
        <w:rPr>
          <w:shd w:fill="FFFFFF" w:val="clear"/>
        </w:rPr>
        <w:t>10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לפסק דיני</w:t>
      </w:r>
      <w:r>
        <w:rPr>
          <w:shd w:fill="FFFFFF" w:val="clear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shd w:fill="FFFFFF" w:val="clear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shd w:fill="FFFFFF" w:val="clear"/>
          <w:rtl w:val="true"/>
        </w:rPr>
        <w:t xml:space="preserve">] </w:t>
      </w:r>
      <w:r>
        <w:rPr>
          <w:shd w:fill="FFFFFF" w:val="clear"/>
          <w:rtl w:val="true"/>
        </w:rPr>
        <w:t>(</w:t>
      </w:r>
      <w:r>
        <w:rPr>
          <w:shd w:fill="FFFFFF" w:val="clear"/>
        </w:rPr>
        <w:t>7</w:t>
      </w:r>
      <w:r>
        <w:rPr>
          <w:shd w:fill="FFFFFF" w:val="clear"/>
        </w:rPr>
        <w:t>.10.2019</w:t>
      </w:r>
      <w:r>
        <w:rPr>
          <w:shd w:fill="FFFFFF" w:val="clear"/>
          <w:rtl w:val="true"/>
        </w:rPr>
        <w:t>)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ברם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נשאלת השאלה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האם עצימת עיניו של רמי אינה עולה כדי נסיבה מחמירה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מעבר להיותה שקולה למודעות</w:t>
      </w:r>
      <w:r>
        <w:rPr>
          <w:shd w:fill="FFFFFF" w:val="clear"/>
          <w:rtl w:val="true"/>
        </w:rPr>
        <w:t xml:space="preserve">? </w:t>
      </w:r>
      <w:r>
        <w:rPr>
          <w:shd w:fill="FFFFFF" w:val="clear"/>
          <w:rtl w:val="true"/>
        </w:rPr>
        <w:t>האם העובדה שרמי לא ידע בוודאות כי מדובר בסם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וממילא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יכול היה להימצא במזוודות דבר</w:t>
      </w:r>
      <w:r>
        <w:rPr>
          <w:shd w:fill="FFFFFF" w:val="clear"/>
          <w:rtl w:val="true"/>
        </w:rPr>
        <w:t>-</w:t>
      </w:r>
      <w:r>
        <w:rPr>
          <w:shd w:fill="FFFFFF" w:val="clear"/>
          <w:rtl w:val="true"/>
        </w:rPr>
        <w:t>מה מסוכן עוד יותר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מקימה לגביו חומרה יתרה</w:t>
      </w:r>
      <w:r>
        <w:rPr>
          <w:shd w:fill="FFFFFF" w:val="clear"/>
          <w:rtl w:val="true"/>
        </w:rPr>
        <w:t xml:space="preserve">? </w:t>
      </w:r>
      <w:r>
        <w:rPr>
          <w:shd w:fill="FFFFFF" w:val="clear"/>
          <w:rtl w:val="true"/>
        </w:rPr>
        <w:t>אני סבור שיש להשיב על שאלות אלה בשלילה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עצימת עיניו של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כוללת אמנם </w:t>
      </w:r>
      <w:r>
        <w:rPr>
          <w:shd w:fill="FFFFFF" w:val="clear"/>
          <w:rtl w:val="true"/>
        </w:rPr>
        <w:t>צדדים לחומר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אך לצד זאת ניתן למצוא בה גם </w:t>
      </w:r>
      <w:r>
        <w:rPr>
          <w:shd w:fill="FFFFFF" w:val="clear"/>
          <w:rtl w:val="true"/>
        </w:rPr>
        <w:t>צדדים לקולא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 xml:space="preserve">בחשבון הכולל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אין בידי לקבל את טענת המדינה שבשל עצימת עיניו של רמי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יש להחמיר בעונשו</w:t>
      </w:r>
      <w:r>
        <w:rPr>
          <w:shd w:fill="FFFFFF" w:val="clear"/>
          <w:rtl w:val="true"/>
        </w:rPr>
        <w:t>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אסביר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ראשית</w:t>
      </w:r>
      <w:r>
        <w:rPr>
          <w:shd w:fill="FFFFFF" w:val="clear"/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עצימת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עיניים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פירושה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כמקובל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חשד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קיום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פלונית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והימנעות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מנקיטת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צעדים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לברר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קיימת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מציאות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טיבה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הליכה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לקראת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לעבור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u w:val="single"/>
          <w:shd w:fill="FFFFFF" w:val="clear"/>
          <w:rtl w:val="true"/>
        </w:rPr>
        <w:t>העבירה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  <w:rtl w:val="true"/>
        </w:rPr>
        <w:t xml:space="preserve">ההדגשה הוּספה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נ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  <w:rtl w:val="true"/>
        </w:rPr>
        <w:t>ס</w:t>
      </w:r>
      <w:r>
        <w:rPr>
          <w:shd w:fill="FFFFFF" w:val="clear"/>
          <w:rtl w:val="true"/>
        </w:rPr>
        <w:t>') 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 xml:space="preserve">דברי הסבר להצעת </w:t>
      </w:r>
      <w:hyperlink r:id="rId32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תיקון מס</w:t>
      </w:r>
      <w:r>
        <w:rPr>
          <w:shd w:fill="FFFFFF" w:val="clear"/>
          <w:rtl w:val="true"/>
        </w:rPr>
        <w:t xml:space="preserve">' </w:t>
      </w:r>
      <w:r>
        <w:rPr>
          <w:shd w:fill="FFFFFF" w:val="clear"/>
        </w:rPr>
        <w:t>39</w:t>
      </w:r>
      <w:r>
        <w:rPr>
          <w:shd w:fill="FFFFFF" w:val="clear"/>
          <w:rtl w:val="true"/>
        </w:rPr>
        <w:t>) (</w:t>
      </w:r>
      <w:r>
        <w:rPr>
          <w:shd w:fill="FFFFFF" w:val="clear"/>
          <w:rtl w:val="true"/>
        </w:rPr>
        <w:t>חלק מקדמי וחלק כללי</w:t>
      </w:r>
      <w:r>
        <w:rPr>
          <w:shd w:fill="FFFFFF" w:val="clear"/>
          <w:rtl w:val="true"/>
        </w:rPr>
        <w:t xml:space="preserve">), </w:t>
      </w:r>
      <w:r>
        <w:rPr>
          <w:shd w:fill="FFFFFF" w:val="clear"/>
          <w:rtl w:val="true"/>
        </w:rPr>
        <w:t>התשנ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>ד</w:t>
      </w:r>
      <w:r>
        <w:rPr>
          <w:shd w:fill="FFFFFF" w:val="clear"/>
          <w:rtl w:val="true"/>
        </w:rPr>
        <w:t>-</w:t>
      </w:r>
      <w:r>
        <w:rPr>
          <w:shd w:fill="FFFFFF" w:val="clear"/>
        </w:rPr>
        <w:t>1994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</w:t>
      </w:r>
      <w:r>
        <w:rPr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ח </w:t>
      </w:r>
      <w:r>
        <w:rPr>
          <w:shd w:fill="FFFFFF" w:val="clear"/>
        </w:rPr>
        <w:t>2098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115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125</w:t>
      </w:r>
      <w:r>
        <w:rPr>
          <w:shd w:fill="FFFFFF" w:val="clear"/>
          <w:rtl w:val="true"/>
        </w:rPr>
        <w:t xml:space="preserve">). </w:t>
      </w:r>
      <w:r>
        <w:rPr>
          <w:shd w:fill="FFFFFF" w:val="clear"/>
          <w:rtl w:val="true"/>
        </w:rPr>
        <w:t>ודוק</w:t>
      </w:r>
      <w:r>
        <w:rPr>
          <w:shd w:fill="FFFFFF" w:val="clear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העבירה</w:t>
      </w:r>
      <w:r>
        <w:rPr>
          <w:shd w:fill="FFFFFF" w:val="clear"/>
          <w:rtl w:val="true"/>
        </w:rPr>
        <w:t xml:space="preserve"> מושא ענייננו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הלא היא עבירת יבוא סם מסוכן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כתב האישום עוסק בייבוא סם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ואינו עוסק בעבירות של יבוא נשק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 xml:space="preserve">: </w:t>
      </w:r>
      <w:hyperlink r:id="rId33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144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ב</w:t>
        </w:r>
        <w:r>
          <w:rPr>
            <w:rStyle w:val="Hyperlink"/>
            <w:shd w:fill="FFFFFF" w:val="clear"/>
          </w:rPr>
          <w:t>2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); </w:t>
      </w:r>
      <w:r>
        <w:rPr>
          <w:shd w:fill="FFFFFF" w:val="clear"/>
          <w:rtl w:val="true"/>
        </w:rPr>
        <w:t>ממילא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לא נבחנו שאלות רבות שניתן היה לעורר בהקשר זה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לדוגמה</w:t>
      </w:r>
      <w:r>
        <w:rPr>
          <w:shd w:fill="FFFFFF" w:val="clear"/>
          <w:rtl w:val="true"/>
        </w:rPr>
        <w:t xml:space="preserve">: </w:t>
      </w:r>
      <w:r>
        <w:rPr>
          <w:shd w:fill="FFFFFF" w:val="clear"/>
          <w:rtl w:val="true"/>
        </w:rPr>
        <w:t>אם ניתן היה להבריח נשק באותה מתכונת שבה הוברחו הסמים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אם בפועל רמי חשד בקיומה של אפשרות כזו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>אם גם ביחס לאפשרות זו רמי עצם את עיניו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ועוד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שאלות אלו לא נדונו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ודאי לא הוכחו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והמדינה לא הציגה כל אסמכתה שיש בה כדי לחזק את עמדתה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במצב דברים זה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איני סבור כי מוצדק להחמיר עם רמי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יתרה מזו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הכלל בדבר </w:t>
      </w:r>
      <w:r>
        <w:rPr>
          <w:shd w:fill="FFFFFF" w:val="clear"/>
          <w:rtl w:val="true"/>
        </w:rPr>
        <w:t>'</w:t>
      </w:r>
      <w:r>
        <w:rPr>
          <w:shd w:fill="FFFFFF" w:val="clear"/>
          <w:rtl w:val="true"/>
        </w:rPr>
        <w:t>עצימת עיניים</w:t>
      </w:r>
      <w:r>
        <w:rPr>
          <w:shd w:fill="FFFFFF" w:val="clear"/>
          <w:rtl w:val="true"/>
        </w:rPr>
        <w:t xml:space="preserve">', </w:t>
      </w:r>
      <w:r>
        <w:rPr>
          <w:shd w:fill="FFFFFF" w:val="clear"/>
          <w:rtl w:val="true"/>
        </w:rPr>
        <w:t xml:space="preserve">נועד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להנמיך</w:t>
      </w:r>
      <w:r>
        <w:rPr>
          <w:shd w:fill="FFFFFF" w:val="clear"/>
          <w:rtl w:val="true"/>
        </w:rPr>
        <w:t xml:space="preserve"> את הרף התחתון לכניסה לגדרי האחריות הפלילית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כך שיכלול גם מצבים שאין בהם ידיעה של ממש </w:t>
      </w:r>
      <w:r>
        <w:rPr>
          <w:shd w:fill="FFFFFF" w:val="clear"/>
          <w:rtl w:val="true"/>
        </w:rPr>
        <w:t>(</w:t>
      </w:r>
      <w:r>
        <w:rPr>
          <w:shd w:fill="FFFFFF" w:val="clear"/>
          <w:rtl w:val="true"/>
        </w:rPr>
        <w:t>ראו</w:t>
      </w:r>
      <w:r>
        <w:rPr>
          <w:shd w:fill="FFFFFF" w:val="clear"/>
          <w:rtl w:val="true"/>
        </w:rPr>
        <w:t>:</w:t>
      </w:r>
      <w:r>
        <w:rPr>
          <w:rtl w:val="true"/>
        </w:rPr>
        <w:t xml:space="preserve"> </w:t>
      </w:r>
      <w:r>
        <w:rPr>
          <w:shd w:fill="FFFFFF" w:val="clear"/>
          <w:rtl w:val="true"/>
        </w:rPr>
        <w:t xml:space="preserve">רות </w:t>
      </w:r>
      <w:hyperlink r:id="rId35">
        <w:r>
          <w:rPr>
            <w:rStyle w:val="Hyperlink"/>
            <w:color w:val="0000FF"/>
            <w:u w:val="single"/>
            <w:shd w:fill="FFFFFF" w:val="clear"/>
            <w:rtl w:val="true"/>
          </w:rPr>
          <w:t>קנאי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האומנם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תמיד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דין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אחד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</w:hyperlink>
      <w:r>
        <w:rPr>
          <w:shd w:fill="FFFFFF" w:val="clear"/>
          <w:rtl w:val="true"/>
        </w:rPr>
        <w:t xml:space="preserve"> לחושד וליודע</w:t>
      </w:r>
      <w:r>
        <w:rPr>
          <w:shd w:fill="FFFFFF" w:val="clear"/>
          <w:rtl w:val="true"/>
        </w:rPr>
        <w:t xml:space="preserve">?"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מחקרי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משפט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 xml:space="preserve">יב </w:t>
      </w:r>
      <w:r>
        <w:rPr>
          <w:shd w:fill="FFFFFF" w:val="clear"/>
        </w:rPr>
        <w:t>433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</w:rPr>
        <w:t>440-439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1995</w:t>
      </w:r>
      <w:r>
        <w:rPr>
          <w:shd w:fill="FFFFFF" w:val="clear"/>
          <w:rtl w:val="true"/>
        </w:rPr>
        <w:t xml:space="preserve">); </w:t>
      </w:r>
      <w:r>
        <w:rPr>
          <w:shd w:fill="FFFFFF" w:val="clear"/>
          <w:rtl w:val="true"/>
        </w:rPr>
        <w:t xml:space="preserve">גיל </w:t>
      </w:r>
      <w:hyperlink r:id="rId36">
        <w:r>
          <w:rPr>
            <w:rStyle w:val="Hyperlink"/>
            <w:color w:val="0000FF"/>
            <w:u w:val="single"/>
            <w:shd w:fill="FFFFFF" w:val="clear"/>
            <w:rtl w:val="true"/>
          </w:rPr>
          <w:t>עשת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הטמעת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תיקון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39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לחוק</w:t>
        </w:r>
      </w:hyperlink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בפסיקה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בישראל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</w:rPr>
        <w:t>183-182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</w:rPr>
        <w:t>2011</w:t>
      </w:r>
      <w:r>
        <w:rPr>
          <w:shd w:fill="FFFFFF" w:val="clear"/>
          <w:rtl w:val="true"/>
        </w:rPr>
        <w:t xml:space="preserve">)). </w:t>
      </w:r>
      <w:r>
        <w:rPr>
          <w:shd w:fill="FFFFFF" w:val="clear"/>
          <w:rtl w:val="true"/>
        </w:rPr>
        <w:t>מכאן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שיש קושי בטענת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כי יש לראות את עצימת העיניים כנסיבה מחמירה ביחס למודעות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טענת המדינה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אינה תואמת את מטרת הסעיף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ודומה כי היא מנסה </w:t>
      </w:r>
      <w:r>
        <w:rPr>
          <w:shd w:fill="FFFFFF" w:val="clear"/>
          <w:rtl w:val="true"/>
        </w:rPr>
        <w:t>לאחוז בחבל משני קצותיו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בחינת 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תופש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חבל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בתרין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ראשין</w:t>
      </w:r>
      <w:r>
        <w:rPr>
          <w:rFonts w:cs="Miriam" w:ascii="Century" w:hAnsi="Century"/>
          <w:b/>
          <w:spacing w:val="0"/>
          <w:sz w:val="22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 (</w:t>
      </w:r>
      <w:r>
        <w:rPr>
          <w:shd w:fill="FFFFFF" w:val="clear"/>
          <w:rtl w:val="true"/>
        </w:rPr>
        <w:t>בראשית רבה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פרשה לט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פסקה ו</w:t>
      </w:r>
      <w:r>
        <w:rPr>
          <w:shd w:fill="FFFFFF" w:val="clear"/>
          <w:rtl w:val="true"/>
        </w:rPr>
        <w:t>).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המדינה מייחסת לרמי מוּדעות להימצאותם של סמים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בהתאם </w:t>
      </w:r>
      <w:hyperlink r:id="rId37">
        <w:r>
          <w:rPr>
            <w:rStyle w:val="Hyperlink"/>
            <w:shd w:fill="FFFFFF" w:val="clear"/>
            <w:rtl w:val="true"/>
          </w:rPr>
          <w:t>לסעיף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20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ג</w:t>
        </w:r>
        <w:r>
          <w:rPr>
            <w:rStyle w:val="Hyperlink"/>
            <w:shd w:fill="FFFFFF" w:val="clear"/>
            <w:rtl w:val="true"/>
          </w:rPr>
          <w:t>)(</w:t>
        </w:r>
        <w:r>
          <w:rPr>
            <w:rStyle w:val="Hyperlink"/>
            <w:shd w:fill="FFFFFF" w:val="clear"/>
          </w:rPr>
          <w:t>1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הקובע כי יראו אדם שעצם עיניים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מודע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ובעת ובעונה אחת היא מבקשת שנתייחס אליו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כמי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shd w:fill="FFFFFF" w:val="clear"/>
          <w:rtl w:val="true"/>
        </w:rPr>
        <w:t>מודע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בשל העובדה שעצם עיניו מלבדוק את תוכן המזוודות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ועל בסיס זה נחמיר עמו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דהיינו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לצורך הרשעה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רואים אותו כמי שהיה מודע</w:t>
      </w:r>
      <w:r>
        <w:rPr>
          <w:shd w:fill="FFFFFF" w:val="clear"/>
          <w:rtl w:val="true"/>
        </w:rPr>
        <w:t xml:space="preserve">; </w:t>
      </w:r>
      <w:r>
        <w:rPr>
          <w:shd w:fill="FFFFFF" w:val="clear"/>
          <w:rtl w:val="true"/>
        </w:rPr>
        <w:t xml:space="preserve">לצורך החמרה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רואים אותו כמי שלא היה מודע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במאמר מוסגר אציין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כי לא נעלמה מעינַי האפשרות לקרוא את </w:t>
      </w:r>
      <w:hyperlink r:id="rId39">
        <w:r>
          <w:rPr>
            <w:rStyle w:val="Hyperlink"/>
            <w:shd w:fill="FFFFFF" w:val="clear"/>
            <w:rtl w:val="true"/>
          </w:rPr>
          <w:t>סעיף</w:t>
        </w:r>
        <w:r>
          <w:rPr>
            <w:rStyle w:val="Hyperlink"/>
            <w:shd w:fill="FFFFFF" w:val="clear"/>
            <w:rtl w:val="true"/>
          </w:rPr>
          <w:t xml:space="preserve"> </w:t>
        </w:r>
        <w:r>
          <w:rPr>
            <w:rStyle w:val="Hyperlink"/>
            <w:shd w:fill="FFFFFF" w:val="clear"/>
          </w:rPr>
          <w:t>20</w:t>
        </w:r>
        <w:r>
          <w:rPr>
            <w:rStyle w:val="Hyperlink"/>
            <w:shd w:fill="FFFFFF" w:val="clear"/>
            <w:rtl w:val="true"/>
          </w:rPr>
          <w:t>(</w:t>
        </w:r>
        <w:r>
          <w:rPr>
            <w:rStyle w:val="Hyperlink"/>
            <w:shd w:fill="FFFFFF" w:val="clear"/>
            <w:rtl w:val="true"/>
          </w:rPr>
          <w:t>ג</w:t>
        </w:r>
        <w:r>
          <w:rPr>
            <w:rStyle w:val="Hyperlink"/>
            <w:shd w:fill="FFFFFF" w:val="clear"/>
            <w:rtl w:val="true"/>
          </w:rPr>
          <w:t>)(</w:t>
        </w:r>
        <w:r>
          <w:rPr>
            <w:rStyle w:val="Hyperlink"/>
            <w:shd w:fill="FFFFFF" w:val="clear"/>
          </w:rPr>
          <w:t>1</w:t>
        </w:r>
        <w:r>
          <w:rPr>
            <w:rStyle w:val="Hyperlink"/>
            <w:shd w:fill="FFFFFF" w:val="clear"/>
            <w:rtl w:val="true"/>
          </w:rPr>
          <w:t>)</w:t>
        </w:r>
      </w:hyperlink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shd w:fill="FFFFFF" w:val="clear"/>
            <w:rtl w:val="true"/>
          </w:rPr>
          <w:t>חוק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העונשין</w:t>
        </w:r>
      </w:hyperlink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באופן מצמצם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 xml:space="preserve">שיתפרש כך שייראו אדם שחשד ונמנע מלברר </w:t>
      </w:r>
      <w:r>
        <w:rPr>
          <w:rFonts w:ascii="Century" w:hAnsi="Century" w:cs="Century"/>
          <w:sz w:val="22"/>
          <w:sz w:val="22"/>
          <w:shd w:fill="FFFFFF" w:val="clear"/>
          <w:rtl w:val="true"/>
        </w:rPr>
        <w:t>כמי שהיה מודע</w:t>
      </w:r>
      <w:r>
        <w:rPr>
          <w:shd w:fill="FFFFFF" w:val="clear"/>
          <w:rtl w:val="true"/>
        </w:rPr>
        <w:t xml:space="preserve"> </w:t>
      </w:r>
      <w:r>
        <w:rPr>
          <w:shd w:fill="FFFFFF" w:val="clear"/>
          <w:rtl w:val="true"/>
        </w:rPr>
        <w:t>–</w:t>
      </w:r>
      <w:r>
        <w:rPr>
          <w:shd w:fill="FFFFFF" w:val="clear"/>
          <w:rtl w:val="true"/>
        </w:rPr>
        <w:t xml:space="preserve"> רק לעניין האפשרות להעמידו לדין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זו פרשנות אפשרית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ואני מותיר פתח לשקול פרשנות מעין זו בעתיד</w:t>
      </w:r>
      <w:r>
        <w:rPr>
          <w:shd w:fill="FFFFFF" w:val="clear"/>
          <w:rtl w:val="true"/>
        </w:rPr>
        <w:t xml:space="preserve">. </w:t>
      </w:r>
      <w:r>
        <w:rPr>
          <w:shd w:fill="FFFFFF" w:val="clear"/>
          <w:rtl w:val="true"/>
        </w:rPr>
        <w:t>ואולם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בשים לב למטרתה המקורית של הדוקטרינה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כנזכר לעיל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אינני סבור שיש לאמץ פרשנות מצמצמת זו</w:t>
      </w:r>
      <w:r>
        <w:rPr>
          <w:shd w:fill="FFFFFF" w:val="clear"/>
          <w:rtl w:val="true"/>
        </w:rPr>
        <w:t xml:space="preserve">, </w:t>
      </w:r>
      <w:r>
        <w:rPr>
          <w:shd w:fill="FFFFFF" w:val="clear"/>
          <w:rtl w:val="true"/>
        </w:rPr>
        <w:t>ולהפנותה נגד רמי</w:t>
      </w:r>
      <w:r>
        <w:rPr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shd w:fill="FFFFFF" w:val="clear"/>
        </w:rPr>
      </w:pP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לסיום נקודה זו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דומה כי בין אם רמי היה עוצם עיניים 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(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כפי שאכן אירע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),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בין אם היה פועל במודעות מלאה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המדינה היתה טוענת כי מתקיימות בעניינו נסיבות מחמירות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אם רמי עצם עיניו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משמעות הדבר היא מעילה בתפקידו לפקח על ביטחון התעופה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;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לצד זאת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אם היה רמי פוגע בביטחון ובשלום הציבור מתוך מודעות מלאה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דומה כי גם במצב דברים זה היתה המדינה מציינת כי כאשר אדם המופקד על ביטחון הציבור פוגע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ביודעין ובעיניים פקוחות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בערכים עליהם הוא מופקד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אזי מדובר בנסיבות בעלות חומרה יתרה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המצדיקות החמרה בענישה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מחמת דריסתו ברגל גסה את הערכים המוגנים שעליהם צוּוה לשמור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אם אמת נכון הדבר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ודומני שכך היתה עושה המדינה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מה לי הכא ומה לי התם 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 w:cs="FrankRuehl"/>
          <w:color w:val="000000"/>
          <w:sz w:val="28"/>
          <w:sz w:val="28"/>
          <w:shd w:fill="FFFFFF" w:val="clear"/>
          <w:rtl w:val="true"/>
        </w:rPr>
        <w:t xml:space="preserve"> נראה כי תמיד קמה הצדקה להחמיר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. </w:t>
      </w:r>
    </w:p>
    <w:p>
      <w:pPr>
        <w:pStyle w:val="Ruller41"/>
        <w:ind w:end="0"/>
        <w:jc w:val="both"/>
        <w:rPr>
          <w:shd w:fill="FFFFFF" w:val="clear"/>
        </w:rPr>
      </w:pPr>
      <w:r>
        <w:rPr>
          <w:shd w:fill="FFFFFF" w:val="clear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טענה נוספת שהעלתה המדינה</w:t>
      </w:r>
      <w:r>
        <w:rPr>
          <w:rtl w:val="true"/>
        </w:rPr>
        <w:t xml:space="preserve">, </w:t>
      </w:r>
      <w:r>
        <w:rPr>
          <w:rtl w:val="true"/>
        </w:rPr>
        <w:t>נוגעת להיקף הערכים המוגנים שנפגעו</w:t>
      </w:r>
      <w:r>
        <w:rPr>
          <w:rtl w:val="true"/>
        </w:rPr>
        <w:t xml:space="preserve">. </w:t>
      </w:r>
      <w:r>
        <w:rPr>
          <w:rtl w:val="true"/>
        </w:rPr>
        <w:t>אין ספק כי רמי פגע בשורה של ערכים מוגנים</w:t>
      </w:r>
      <w:r>
        <w:rPr>
          <w:rtl w:val="true"/>
        </w:rPr>
        <w:t xml:space="preserve">, </w:t>
      </w:r>
      <w:r>
        <w:rPr>
          <w:rtl w:val="true"/>
        </w:rPr>
        <w:t>יותר משאר שותפיו לביצוע העבירות</w:t>
      </w:r>
      <w:r>
        <w:rPr>
          <w:rtl w:val="true"/>
        </w:rPr>
        <w:t xml:space="preserve">. </w:t>
      </w:r>
      <w:r>
        <w:rPr>
          <w:rtl w:val="true"/>
        </w:rPr>
        <w:t>לא בכדי</w:t>
      </w:r>
      <w:r>
        <w:rPr>
          <w:rtl w:val="true"/>
        </w:rPr>
        <w:t xml:space="preserve">, </w:t>
      </w:r>
      <w:r>
        <w:rPr>
          <w:rtl w:val="true"/>
        </w:rPr>
        <w:t>כאשר השווה בית המשפט המחוזי בין רמי לבין יתר הנאשמים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צוין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הדמיון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החלקי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הבדלים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חשובים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הבכיר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והמעילה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החמורה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תפקיד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בהתחשב בכך</w:t>
      </w:r>
      <w:r>
        <w:rPr>
          <w:rtl w:val="true"/>
        </w:rPr>
        <w:t xml:space="preserve">, </w:t>
      </w:r>
      <w:r>
        <w:rPr>
          <w:rtl w:val="true"/>
        </w:rPr>
        <w:t>סבר בית המשפט המחוזי כי במדרג חומרת המעשים</w:t>
      </w:r>
      <w:r>
        <w:rPr>
          <w:rtl w:val="true"/>
        </w:rPr>
        <w:t xml:space="preserve">, </w:t>
      </w:r>
      <w:r>
        <w:rPr>
          <w:rtl w:val="true"/>
        </w:rPr>
        <w:t>עניינו של רמי חמור מעניינם של מרבית הנאשמים האחרים</w:t>
      </w:r>
      <w:r>
        <w:rPr>
          <w:rtl w:val="true"/>
        </w:rPr>
        <w:t xml:space="preserve">, </w:t>
      </w:r>
      <w:r>
        <w:rPr>
          <w:rtl w:val="true"/>
        </w:rPr>
        <w:t xml:space="preserve">וכי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שיהא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פחות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 xml:space="preserve">המדינה הדגישה בטענותיה את העובדה שרמי פגע בערכים רבים יותר מנאשם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בכך שניצל את מעמדו</w:t>
      </w:r>
      <w:r>
        <w:rPr>
          <w:rtl w:val="true"/>
        </w:rPr>
        <w:t xml:space="preserve">, </w:t>
      </w:r>
      <w:r>
        <w:rPr>
          <w:rtl w:val="true"/>
        </w:rPr>
        <w:t>וכן את העובדה כי רמי הורשע ב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מקרים של יבוא</w:t>
      </w:r>
      <w:r>
        <w:rPr>
          <w:rtl w:val="true"/>
        </w:rPr>
        <w:t xml:space="preserve">, </w:t>
      </w:r>
      <w:r>
        <w:rPr>
          <w:rtl w:val="true"/>
        </w:rPr>
        <w:t>ולא שניים בלבד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 xml:space="preserve">בהשוואה זו בין רמי לנאשם </w:t>
      </w:r>
      <w:r>
        <w:rPr/>
        <w:t>7</w:t>
      </w:r>
      <w:r>
        <w:rPr>
          <w:rtl w:val="true"/>
        </w:rPr>
        <w:t xml:space="preserve">, </w:t>
      </w:r>
      <w:r>
        <w:rPr>
          <w:rtl w:val="true"/>
        </w:rPr>
        <w:t>עומדת לחובתו של האחרון העובדה שהיה דומיננטי יותר בביצוע העבירות מרמי</w:t>
      </w:r>
      <w:r>
        <w:rPr>
          <w:rtl w:val="true"/>
        </w:rPr>
        <w:t xml:space="preserve">; </w:t>
      </w:r>
      <w:r>
        <w:rPr>
          <w:rtl w:val="true"/>
        </w:rPr>
        <w:t>עומדת גם ידיעתו שמדובר במזוודות קוקאין</w:t>
      </w:r>
      <w:r>
        <w:rPr>
          <w:rtl w:val="true"/>
        </w:rPr>
        <w:t xml:space="preserve">, </w:t>
      </w:r>
      <w:r>
        <w:rPr>
          <w:rtl w:val="true"/>
        </w:rPr>
        <w:t xml:space="preserve">וכן עומד לו לרועץ עברו הפלילי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דומה אפוא</w:t>
      </w:r>
      <w:r>
        <w:rPr>
          <w:rtl w:val="true"/>
        </w:rPr>
        <w:t xml:space="preserve">, </w:t>
      </w:r>
      <w:r>
        <w:rPr>
          <w:rtl w:val="true"/>
        </w:rPr>
        <w:t>כי השוואה ביניהם בהחלט מגלה פנים לכאן ולכאן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אינני סבור שבית המשפט המחוזי גילה פנים שלא כהלכה</w:t>
      </w:r>
      <w:r>
        <w:rPr>
          <w:rtl w:val="true"/>
        </w:rPr>
        <w:t xml:space="preserve">. </w:t>
      </w:r>
      <w:r>
        <w:rPr>
          <w:rtl w:val="true"/>
        </w:rPr>
        <w:t>על רקע התייחסותו המפורשת של בית המשפט המחוזי לסוגיה זו</w:t>
      </w:r>
      <w:r>
        <w:rPr>
          <w:rtl w:val="true"/>
        </w:rPr>
        <w:t xml:space="preserve">, </w:t>
      </w:r>
      <w:r>
        <w:rPr>
          <w:rtl w:val="true"/>
        </w:rPr>
        <w:t>ועל יסוד ההשוואה שנערכה בין הנאשמים</w:t>
      </w:r>
      <w:r>
        <w:rPr>
          <w:rtl w:val="true"/>
        </w:rPr>
        <w:t xml:space="preserve">, </w:t>
      </w:r>
      <w:r>
        <w:rPr>
          <w:rtl w:val="true"/>
        </w:rPr>
        <w:t>הקביעה כי עונשו של רמי צריך שיהא קרוב</w:t>
      </w:r>
      <w:r>
        <w:rPr>
          <w:rtl w:val="true"/>
        </w:rPr>
        <w:t xml:space="preserve">, </w:t>
      </w:r>
      <w:r>
        <w:rPr>
          <w:rtl w:val="true"/>
        </w:rPr>
        <w:t xml:space="preserve">אך מעט פחות חמור מעונשו של נאשם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הגיונה עמה</w:t>
      </w:r>
      <w:r>
        <w:rPr>
          <w:rtl w:val="true"/>
        </w:rPr>
        <w:t xml:space="preserve">, </w:t>
      </w:r>
      <w:r>
        <w:rPr>
          <w:rtl w:val="true"/>
        </w:rPr>
        <w:t>ולא מצאתי טעם טוב להתערב 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בית המשפט המחוזי הדגיש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אלמלא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החרטה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והודאתו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ממוקם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המתחם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בעוד שבתסקיר שירות המבחן המעודכן צוין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חרטה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בתפקידו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וחונך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ובפער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לדבריו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שהובאו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במסגרת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תסקירנו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שהוגש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קמא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צמצם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רמי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מעורבותו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בביצוע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העבירות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כמו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כן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ביטא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שאיפתו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עניינו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יוחזר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לבית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קמא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שיוכל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לנהל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מתחילתו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להוכיח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חפותו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 xml:space="preserve">ההדגשה הוּספה </w:t>
      </w:r>
      <w:r>
        <w:rPr>
          <w:rtl w:val="true"/>
        </w:rPr>
        <w:t>–</w:t>
      </w:r>
      <w:r>
        <w:rPr>
          <w:rtl w:val="true"/>
        </w:rPr>
        <w:t xml:space="preserve"> נ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 xml:space="preserve">').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משעה שרמי החליט שלא לעמוד על ערעורו</w:t>
      </w:r>
      <w:r>
        <w:rPr>
          <w:rtl w:val="true"/>
        </w:rPr>
        <w:t xml:space="preserve">, </w:t>
      </w:r>
      <w:r>
        <w:rPr>
          <w:rtl w:val="true"/>
        </w:rPr>
        <w:t>נכון יהיה שלא לזקוף לחובתו</w:t>
      </w:r>
      <w:r>
        <w:rPr>
          <w:rtl w:val="true"/>
        </w:rPr>
        <w:t xml:space="preserve">, </w:t>
      </w:r>
      <w:r>
        <w:rPr>
          <w:rtl w:val="true"/>
        </w:rPr>
        <w:t>שינוי שחל בגישתו לאחר מתן פסק הדין בבית המשפט המחוזי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הפרשה שלפנינו חריגה בחומרתה</w:t>
      </w:r>
      <w:r>
        <w:rPr>
          <w:rtl w:val="true"/>
        </w:rPr>
        <w:t xml:space="preserve">; </w:t>
      </w:r>
      <w:r>
        <w:rPr>
          <w:rtl w:val="true"/>
        </w:rPr>
        <w:t>כמות הסמים שהופצו במסגרתה</w:t>
      </w:r>
      <w:r>
        <w:rPr>
          <w:rtl w:val="true"/>
        </w:rPr>
        <w:t xml:space="preserve">, </w:t>
      </w:r>
      <w:r>
        <w:rPr>
          <w:rtl w:val="true"/>
        </w:rPr>
        <w:t>רבה ומשמעותית ביותר</w:t>
      </w:r>
      <w:r>
        <w:rPr>
          <w:rtl w:val="true"/>
        </w:rPr>
        <w:t xml:space="preserve">. </w:t>
      </w:r>
      <w:r>
        <w:rPr>
          <w:rtl w:val="true"/>
        </w:rPr>
        <w:t>בהתחשב בכך</w:t>
      </w:r>
      <w:r>
        <w:rPr>
          <w:rtl w:val="true"/>
        </w:rPr>
        <w:t xml:space="preserve">, </w:t>
      </w:r>
      <w:r>
        <w:rPr>
          <w:rtl w:val="true"/>
        </w:rPr>
        <w:t>קשה להשוות את הפרשה שלפנינו</w:t>
      </w:r>
      <w:r>
        <w:rPr>
          <w:rtl w:val="true"/>
        </w:rPr>
        <w:t xml:space="preserve">, </w:t>
      </w:r>
      <w:r>
        <w:rPr>
          <w:rtl w:val="true"/>
        </w:rPr>
        <w:t>לפרשות סמים אחרות</w:t>
      </w:r>
      <w:r>
        <w:rPr>
          <w:rtl w:val="true"/>
        </w:rPr>
        <w:t xml:space="preserve">, </w:t>
      </w:r>
      <w:r>
        <w:rPr>
          <w:rtl w:val="true"/>
        </w:rPr>
        <w:t>שעליהן ניתנה הדעת בעבר</w:t>
      </w:r>
      <w:r>
        <w:rPr>
          <w:rtl w:val="true"/>
        </w:rPr>
        <w:t xml:space="preserve">, </w:t>
      </w:r>
      <w:r>
        <w:rPr>
          <w:rtl w:val="true"/>
        </w:rPr>
        <w:t>בגזרי דין אחרים</w:t>
      </w:r>
      <w:r>
        <w:rPr>
          <w:rtl w:val="true"/>
        </w:rPr>
        <w:t xml:space="preserve">. </w:t>
      </w:r>
      <w:r>
        <w:rPr>
          <w:rtl w:val="true"/>
        </w:rPr>
        <w:t>ועדיין</w:t>
      </w:r>
      <w:r>
        <w:rPr>
          <w:rtl w:val="true"/>
        </w:rPr>
        <w:t xml:space="preserve">, </w:t>
      </w:r>
      <w:r>
        <w:rPr>
          <w:rtl w:val="true"/>
        </w:rPr>
        <w:t xml:space="preserve">את טענת המדינה </w:t>
      </w:r>
      <w:r>
        <w:rPr>
          <w:rtl w:val="true"/>
        </w:rPr>
        <w:t>–</w:t>
      </w:r>
      <w:r>
        <w:rPr>
          <w:rtl w:val="true"/>
        </w:rPr>
        <w:t xml:space="preserve"> כי חומרתה של המעילה שביצע רמי גדולה מזו שבעניין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 xml:space="preserve">, </w:t>
      </w:r>
      <w:r>
        <w:rPr>
          <w:rtl w:val="true"/>
        </w:rPr>
        <w:t>ועל כן</w:t>
      </w:r>
      <w:r>
        <w:rPr>
          <w:rtl w:val="true"/>
        </w:rPr>
        <w:t xml:space="preserve">, </w:t>
      </w:r>
      <w:r>
        <w:rPr>
          <w:rtl w:val="true"/>
        </w:rPr>
        <w:t>בשים לב לענישה בפרשה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 xml:space="preserve">ראוי להחמיר עמו יותר </w:t>
      </w:r>
      <w:r>
        <w:rPr>
          <w:rtl w:val="true"/>
        </w:rPr>
        <w:t>–</w:t>
      </w:r>
      <w:r>
        <w:rPr>
          <w:rtl w:val="true"/>
        </w:rPr>
        <w:t xml:space="preserve"> אין בידי לקבל</w:t>
      </w:r>
      <w:r>
        <w:rPr>
          <w:rtl w:val="true"/>
        </w:rPr>
        <w:t xml:space="preserve">. </w:t>
      </w:r>
      <w:r>
        <w:rPr>
          <w:rtl w:val="true"/>
        </w:rPr>
        <w:t xml:space="preserve">בפסק דין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נדחה</w:t>
      </w:r>
      <w:r>
        <w:rPr>
          <w:rtl w:val="true"/>
        </w:rPr>
        <w:t xml:space="preserve"> ערעור על חומרת העונש</w:t>
      </w:r>
      <w:r>
        <w:rPr>
          <w:rtl w:val="true"/>
        </w:rPr>
        <w:t xml:space="preserve">, </w:t>
      </w:r>
      <w:r>
        <w:rPr>
          <w:rtl w:val="true"/>
        </w:rPr>
        <w:t>ולא ניתן ללמוד ממנו כי ראוי ש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נקבל</w:t>
      </w:r>
      <w:r>
        <w:rPr>
          <w:rtl w:val="true"/>
        </w:rPr>
        <w:t xml:space="preserve"> ערעור המחמיר עם רמי</w:t>
      </w:r>
      <w:r>
        <w:rPr>
          <w:rtl w:val="true"/>
        </w:rPr>
        <w:t xml:space="preserve">, </w:t>
      </w:r>
      <w:r>
        <w:rPr>
          <w:rtl w:val="true"/>
        </w:rPr>
        <w:t>משום שאין הנדון דומה לראיה</w:t>
      </w:r>
      <w:r>
        <w:rPr>
          <w:rtl w:val="true"/>
        </w:rPr>
        <w:t xml:space="preserve">. </w:t>
      </w:r>
      <w:r>
        <w:rPr>
          <w:rtl w:val="true"/>
        </w:rPr>
        <w:t xml:space="preserve">גם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 xml:space="preserve"> צוינה ההלכה שלפיה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shd w:fill="FFFFFF" w:val="clear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תתערב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ערכאת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shd w:fill="FFFFFF" w:val="clea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shd w:fill="FFFFFF" w:val="clear"/>
          <w:rtl w:val="true"/>
        </w:rPr>
        <w:t>הדיונית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ואיני מביע את דעתי בעניין</w:t>
      </w:r>
      <w:r>
        <w:rPr>
          <w:rtl w:val="true"/>
        </w:rPr>
        <w:t xml:space="preserve">, </w:t>
      </w:r>
      <w:r>
        <w:rPr>
          <w:rtl w:val="true"/>
        </w:rPr>
        <w:t xml:space="preserve">כי בית המשפט המחוזי החמיר עם הנאשם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דהן</w:t>
      </w:r>
      <w:r>
        <w:rPr>
          <w:rtl w:val="true"/>
        </w:rPr>
        <w:t xml:space="preserve"> מעט יתר על המידה</w:t>
      </w:r>
      <w:r>
        <w:rPr>
          <w:rtl w:val="true"/>
        </w:rPr>
        <w:t xml:space="preserve">, </w:t>
      </w:r>
      <w:r>
        <w:rPr>
          <w:rtl w:val="true"/>
        </w:rPr>
        <w:t>כפי שיתכן שבית המשפט המחוזי הקל עם רמי מעט יתר על המידה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כשם שערכאת הערעור בחרה באותו עניין שלא להתערב לקולא</w:t>
      </w:r>
      <w:r>
        <w:rPr>
          <w:rtl w:val="true"/>
        </w:rPr>
        <w:t xml:space="preserve">, </w:t>
      </w:r>
      <w:r>
        <w:rPr>
          <w:rtl w:val="true"/>
        </w:rPr>
        <w:t>כך דעתי היא שאל לנו להתערב בערעור דנן לחומרה</w:t>
      </w:r>
      <w:r>
        <w:rPr>
          <w:rtl w:val="true"/>
        </w:rPr>
        <w:t xml:space="preserve">. </w:t>
      </w:r>
      <w:r>
        <w:rPr>
          <w:rtl w:val="true"/>
        </w:rPr>
        <w:t>לאחר שבחנתי עונשים שניתנו במקרים אחרים</w:t>
      </w:r>
      <w:r>
        <w:rPr>
          <w:rtl w:val="true"/>
        </w:rPr>
        <w:t xml:space="preserve">, </w:t>
      </w:r>
      <w:r>
        <w:rPr>
          <w:rtl w:val="true"/>
        </w:rPr>
        <w:t>תוך שאני ער להבדלים בחומרת הנסיבות</w:t>
      </w:r>
      <w:r>
        <w:rPr>
          <w:rtl w:val="true"/>
        </w:rPr>
        <w:t xml:space="preserve">, </w:t>
      </w:r>
      <w:r>
        <w:rPr>
          <w:rtl w:val="true"/>
        </w:rPr>
        <w:t xml:space="preserve">איני סבור 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נכשלה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קיצונית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המוטלים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דומות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גרינברג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3.2.1998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7212/14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</w:t>
      </w:r>
      <w:r>
        <w:rPr/>
        <w:t>1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מיד עם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פרוץ הפרשה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לאחר ה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חקירות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בשלב המעצר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ובעקבות העדויות בעת ניהול ה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משפט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נהרסו חייו המקצועיים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והאישיים של רמי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אמנם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מחד גיסא</w:t>
      </w:r>
      <w:r>
        <w:rPr>
          <w:rFonts w:cs="FrankRuehl" w:ascii="FrankRuehl" w:hAnsi="FrankRuehl"/>
          <w:color w:val="000000"/>
          <w:sz w:val="28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דווקא </w:t>
      </w:r>
      <w:r>
        <w:rPr>
          <w:rFonts w:ascii="FrankRuehl" w:hAnsi="FrankRuehl"/>
          <w:color w:val="000000"/>
          <w:sz w:val="28"/>
          <w:sz w:val="28"/>
          <w:rtl w:val="true"/>
        </w:rPr>
        <w:t>התפקיד הבכיר והרגיש ש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בו </w:t>
      </w:r>
      <w:r>
        <w:rPr>
          <w:rFonts w:ascii="FrankRuehl" w:hAnsi="FrankRuehl"/>
          <w:color w:val="000000"/>
          <w:sz w:val="28"/>
          <w:sz w:val="28"/>
          <w:rtl w:val="true"/>
        </w:rPr>
        <w:t>כיהן רמי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הביאוֹ לנצל את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מעמדו </w:t>
      </w:r>
      <w:r>
        <w:rPr>
          <w:rFonts w:ascii="FrankRuehl" w:hAnsi="FrankRuehl"/>
          <w:color w:val="000000"/>
          <w:sz w:val="28"/>
          <w:sz w:val="28"/>
          <w:rtl w:val="true"/>
        </w:rPr>
        <w:t>ותפקידו לצורך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ביצוע העבירות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ובכך </w:t>
      </w:r>
      <w:r>
        <w:rPr>
          <w:rFonts w:ascii="FrankRuehl" w:hAnsi="FrankRuehl"/>
          <w:color w:val="000000"/>
          <w:sz w:val="28"/>
          <w:sz w:val="28"/>
          <w:rtl w:val="true"/>
        </w:rPr>
        <w:t>טמונות גם הנסיבות המחמירות מבחינת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ראו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4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3372/11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409</w:t>
      </w:r>
      <w:r>
        <w:rPr>
          <w:rFonts w:cs="Century" w:ascii="Century" w:hAnsi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10.11.2011</w:t>
      </w:r>
      <w:r>
        <w:rPr>
          <w:rFonts w:cs="Century" w:ascii="Century" w:hAnsi="Century"/>
          <w:rtl w:val="true"/>
        </w:rPr>
        <w:t>)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rtl w:val="true"/>
        </w:rPr>
        <w:t>ואולם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מאידך גיסא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אין להתעלם מנפילתו של רמי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מאיגרא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עמיקתא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בבלי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חגיגה 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rtl w:val="true"/>
        </w:rPr>
        <w:t>).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המפלה הקשה שספג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ו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תרומתו לחברה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עובר לביצוע העבירות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נוסף על יתר הנסיבות שציין בית המשפט המחוזי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,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ראויות להיזקף לזכותו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ולקבל את המשקל הראוי להן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במכלול הנסיבות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אני סבור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כי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נגזר על רמי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עונש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הולם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השוכן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לבטח במתחם אי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-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ההתערבות של ערכאת הערעור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אציע אפוא לחברַי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 xml:space="preserve">כי נורה על דחיית </w:t>
      </w:r>
      <w:r>
        <w:rPr>
          <w:rFonts w:ascii="FrankRuehl" w:hAnsi="FrankRuehl"/>
          <w:color w:val="000000"/>
          <w:sz w:val="28"/>
          <w:sz w:val="28"/>
          <w:shd w:fill="FFFFFF" w:val="clear"/>
          <w:rtl w:val="true"/>
        </w:rPr>
        <w:t>הערעור</w:t>
      </w: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FrankRuehl" w:hAnsi="FrankRuehl" w:cs="FrankRuehl"/>
          <w:color w:val="000000"/>
          <w:sz w:val="28"/>
          <w:shd w:fill="FFFFFF" w:val="clear"/>
        </w:rPr>
      </w:pPr>
      <w:r>
        <w:rPr>
          <w:rFonts w:cs="FrankRuehl" w:ascii="FrankRuehl" w:hAnsi="FrankRuehl"/>
          <w:color w:val="000000"/>
          <w:sz w:val="28"/>
          <w:shd w:fill="FFFFFF" w:val="clear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ind w:end="0"/>
        <w:jc w:val="start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BODYVERDICT"/>
        <w:ind w:end="0"/>
        <w:jc w:val="start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כבוב</w:t>
      </w:r>
      <w:r>
        <w:rPr>
          <w:rtl w:val="true"/>
        </w:rPr>
        <w:t>: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25" w:name="Nitan"/>
      <w:r>
        <w:rPr>
          <w:rFonts w:eastAsia="Arial TUR" w:cs="Arial TUR" w:ascii="Arial TUR" w:hAnsi="Arial TUR"/>
          <w:rtl w:val="true"/>
        </w:rPr>
        <w:t xml:space="preserve"> </w:t>
      </w:r>
      <w:r>
        <w:rPr>
          <w:rFonts w:ascii="Arial TUR" w:hAnsi="Arial TUR" w:cs="Arial TUR"/>
          <w:rtl w:val="true"/>
        </w:rPr>
        <w:t>ניתן היום</w:t>
      </w:r>
      <w:r>
        <w:rPr>
          <w:rFonts w:cs="Arial TUR" w:ascii="Arial TUR" w:hAnsi="Arial TUR"/>
          <w:rtl w:val="true"/>
        </w:rPr>
        <w:t>, ‏</w:t>
      </w:r>
      <w:r>
        <w:rPr>
          <w:rFonts w:ascii="Arial TUR" w:hAnsi="Arial TUR" w:cs="Arial TUR"/>
          <w:rtl w:val="true"/>
        </w:rPr>
        <w:t>י</w:t>
      </w: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rtl w:val="true"/>
        </w:rPr>
        <w:t>ג בניסן התשפ</w:t>
      </w:r>
      <w:r>
        <w:rPr>
          <w:rFonts w:cs="Arial TUR" w:ascii="Arial TUR" w:hAnsi="Arial TUR"/>
          <w:rtl w:val="true"/>
        </w:rPr>
        <w:t>"</w:t>
      </w:r>
      <w:r>
        <w:rPr>
          <w:rFonts w:ascii="Arial TUR" w:hAnsi="Arial TUR" w:cs="Arial TUR"/>
          <w:rtl w:val="true"/>
        </w:rPr>
        <w:t xml:space="preserve">ג </w:t>
      </w:r>
      <w:r>
        <w:rPr>
          <w:rFonts w:cs="Arial TUR" w:ascii="Arial TUR" w:hAnsi="Arial TUR"/>
          <w:rtl w:val="true"/>
        </w:rPr>
        <w:t>(‏</w:t>
      </w:r>
      <w:r>
        <w:rPr>
          <w:rFonts w:cs="Arial TUR" w:ascii="Arial TUR" w:hAnsi="Arial TUR"/>
        </w:rPr>
        <w:t>4.4.2023</w:t>
      </w:r>
      <w:r>
        <w:rPr>
          <w:rFonts w:cs="Arial TUR" w:ascii="Arial TUR" w:hAnsi="Arial TUR"/>
          <w:rtl w:val="true"/>
        </w:rPr>
        <w:t xml:space="preserve">). </w:t>
      </w:r>
      <w:bookmarkEnd w:id="25"/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22058360</w:t>
      </w:r>
      <w:r>
        <w:rPr>
          <w:sz w:val="16"/>
          <w:rtl w:val="true"/>
        </w:rPr>
        <w:t>_</w:t>
      </w:r>
      <w:r>
        <w:rPr>
          <w:sz w:val="16"/>
        </w:rPr>
        <w:t>O09.docx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יס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54678313-5836/22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5836/22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רמי יוגב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cs="David"/>
    </w:rPr>
  </w:style>
  <w:style w:type="character" w:styleId="CommentSubjectChar">
    <w:name w:val="Comment Subject Char"/>
    <w:qFormat/>
    <w:rPr>
      <w:rFonts w:cs="David"/>
      <w:b/>
      <w:bCs/>
    </w:rPr>
  </w:style>
  <w:style w:type="character" w:styleId="BalloonTextChar">
    <w:name w:val="Balloon Text Char"/>
    <w:qFormat/>
    <w:rPr>
      <w:rFonts w:ascii="Tahoma" w:hAnsi="Tahoma" w:cs="Tahoma"/>
      <w:sz w:val="18"/>
      <w:szCs w:val="18"/>
    </w:rPr>
  </w:style>
  <w:style w:type="character" w:styleId="FooterChar">
    <w:name w:val="Footer Char"/>
    <w:qFormat/>
    <w:rPr>
      <w:rFonts w:cs="David"/>
      <w:szCs w:val="24"/>
    </w:rPr>
  </w:style>
  <w:style w:type="character" w:styleId="HeaderChar">
    <w:name w:val="Header Char"/>
    <w:qFormat/>
    <w:rPr>
      <w:rFonts w:cs="David"/>
      <w:szCs w:val="24"/>
    </w:rPr>
  </w:style>
  <w:style w:type="character" w:styleId="EndnoteTextChar">
    <w:name w:val="Endnote Text Char"/>
    <w:qFormat/>
    <w:rPr>
      <w:rFonts w:ascii="Century" w:hAnsi="Century" w:cs="FrankRuehl"/>
      <w:spacing w:val="10"/>
    </w:rPr>
  </w:style>
  <w:style w:type="character" w:styleId="EndnoteCharacters">
    <w:name w:val="Endnote Characters"/>
    <w:qFormat/>
    <w:rPr>
      <w:vertAlign w:val="superscript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term1">
    <w:name w:val="term_1"/>
    <w:basedOn w:val="DefaultParagraph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EndnoteText">
    <w:name w:val="endnote text"/>
    <w:basedOn w:val="Normal"/>
    <w:pPr/>
    <w:rPr>
      <w:rFonts w:ascii="Century" w:hAnsi="Century" w:cs="FrankRuehl"/>
      <w:spacing w:val="10"/>
      <w:szCs w:val="20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96584" TargetMode="External"/><Relationship Id="rId3" Type="http://schemas.openxmlformats.org/officeDocument/2006/relationships/hyperlink" Target="http://www.nevo.co.il/safrut/book/12063" TargetMode="External"/><Relationship Id="rId4" Type="http://schemas.openxmlformats.org/officeDocument/2006/relationships/hyperlink" Target="http://www.nevo.co.il/safrut/book/12063" TargetMode="External"/><Relationship Id="rId5" Type="http://schemas.openxmlformats.org/officeDocument/2006/relationships/hyperlink" Target="http://www.nevo.co.il/safrut/bookgroup/412" TargetMode="External"/><Relationship Id="rId6" Type="http://schemas.openxmlformats.org/officeDocument/2006/relationships/hyperlink" Target="http://www.nevo.co.il/safrut/bookgroup/1431" TargetMode="External"/><Relationship Id="rId7" Type="http://schemas.openxmlformats.org/officeDocument/2006/relationships/hyperlink" Target="http://www.nevo.co.il/safrut/bookgroup/1431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1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20.c.1" TargetMode="External"/><Relationship Id="rId12" Type="http://schemas.openxmlformats.org/officeDocument/2006/relationships/hyperlink" Target="http://www.nevo.co.il/law/70301/40b" TargetMode="External"/><Relationship Id="rId13" Type="http://schemas.openxmlformats.org/officeDocument/2006/relationships/hyperlink" Target="http://www.nevo.co.il/law/70301/144.b2" TargetMode="External"/><Relationship Id="rId14" Type="http://schemas.openxmlformats.org/officeDocument/2006/relationships/hyperlink" Target="http://www.nevo.co.il/case/25296584" TargetMode="External"/><Relationship Id="rId15" Type="http://schemas.openxmlformats.org/officeDocument/2006/relationships/hyperlink" Target="http://www.nevo.co.il/law/4216/13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case/5880710" TargetMode="External"/><Relationship Id="rId18" Type="http://schemas.openxmlformats.org/officeDocument/2006/relationships/hyperlink" Target="http://www.nevo.co.il/case/5607888" TargetMode="External"/><Relationship Id="rId19" Type="http://schemas.openxmlformats.org/officeDocument/2006/relationships/hyperlink" Target="http://www.nevo.co.il/case/5614465" TargetMode="External"/><Relationship Id="rId20" Type="http://schemas.openxmlformats.org/officeDocument/2006/relationships/hyperlink" Target="http://www.nevo.co.il/case/27375913" TargetMode="External"/><Relationship Id="rId21" Type="http://schemas.openxmlformats.org/officeDocument/2006/relationships/hyperlink" Target="http://www.nevo.co.il/case/26489415" TargetMode="External"/><Relationship Id="rId22" Type="http://schemas.openxmlformats.org/officeDocument/2006/relationships/hyperlink" Target="http://www.nevo.co.il/case/28326750" TargetMode="External"/><Relationship Id="rId23" Type="http://schemas.openxmlformats.org/officeDocument/2006/relationships/hyperlink" Target="http://www.nevo.co.il/law/70301/40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5931190" TargetMode="External"/><Relationship Id="rId26" Type="http://schemas.openxmlformats.org/officeDocument/2006/relationships/hyperlink" Target="http://www.nevo.co.il/law/70301/20.c.1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safrut/bookgroup/412" TargetMode="External"/><Relationship Id="rId29" Type="http://schemas.openxmlformats.org/officeDocument/2006/relationships/hyperlink" Target="http://www.nevo.co.il/case/5678502" TargetMode="External"/><Relationship Id="rId30" Type="http://schemas.openxmlformats.org/officeDocument/2006/relationships/hyperlink" Target="http://www.nevo.co.il/case/25241468" TargetMode="External"/><Relationship Id="rId31" Type="http://schemas.openxmlformats.org/officeDocument/2006/relationships/hyperlink" Target="http://www.nevo.co.il/case/25386231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.b2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safrut/book/12063" TargetMode="External"/><Relationship Id="rId36" Type="http://schemas.openxmlformats.org/officeDocument/2006/relationships/hyperlink" Target="http://www.nevo.co.il/safrut/bookgroup/1431" TargetMode="External"/><Relationship Id="rId37" Type="http://schemas.openxmlformats.org/officeDocument/2006/relationships/hyperlink" Target="http://www.nevo.co.il/law/70301/20.c.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0.c.1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5755866" TargetMode="External"/><Relationship Id="rId42" Type="http://schemas.openxmlformats.org/officeDocument/2006/relationships/hyperlink" Target="http://www.nevo.co.il/case/20911379" TargetMode="External"/><Relationship Id="rId43" Type="http://schemas.openxmlformats.org/officeDocument/2006/relationships/hyperlink" Target="http://www.nevo.co.il/case/5573732" TargetMode="External"/><Relationship Id="rId44" Type="http://schemas.openxmlformats.org/officeDocument/2006/relationships/hyperlink" Target="https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2023-04-13T02:46:00Z</dcterms:created>
  <dc:creator>h4</dc:creator>
  <dc:description/>
  <cp:keywords/>
  <dc:language>en-IL</dc:language>
  <cp:lastModifiedBy>h1</cp:lastModifiedBy>
  <cp:lastPrinted>2023-04-04T18:01:00Z</cp:lastPrinted>
  <dcterms:modified xsi:type="dcterms:W3CDTF">2023-04-13T02:46:00Z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רמי יוגב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412;1431</vt:lpwstr>
  </property>
  <property fmtid="{D5CDD505-2E9C-101B-9397-08002B2CF9AE}" pid="9" name="BOOKLISTTMP1">
    <vt:lpwstr>12063</vt:lpwstr>
  </property>
  <property fmtid="{D5CDD505-2E9C-101B-9397-08002B2CF9AE}" pid="10" name="CASESLISTTMP1">
    <vt:lpwstr>25296584:2;5880710;5607888;5614465;27375913;26489415;28326750;5931190;5678502;25241468;25386231;5755866;20911379;5573732</vt:lpwstr>
  </property>
  <property fmtid="{D5CDD505-2E9C-101B-9397-08002B2CF9AE}" pid="11" name="CITY">
    <vt:lpwstr/>
  </property>
  <property fmtid="{D5CDD505-2E9C-101B-9397-08002B2CF9AE}" pid="12" name="DATE">
    <vt:lpwstr>20230404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סולברג;א' שטיין;ח' כבוב</vt:lpwstr>
  </property>
  <property fmtid="{D5CDD505-2E9C-101B-9397-08002B2CF9AE}" pid="16" name="LAWLISTTMP1">
    <vt:lpwstr>4216/013</vt:lpwstr>
  </property>
  <property fmtid="{D5CDD505-2E9C-101B-9397-08002B2CF9AE}" pid="17" name="LAWLISTTMP2">
    <vt:lpwstr>70301/040b;020.c.1:3;144.b2</vt:lpwstr>
  </property>
  <property fmtid="{D5CDD505-2E9C-101B-9397-08002B2CF9AE}" pid="18" name="LAWYER">
    <vt:lpwstr>ארז בן ארויה;גיא רוסו;ירדן זאבי;עמית שלוס;ניר יסלוביץ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בתי-משפט</vt:lpwstr>
  </property>
  <property fmtid="{D5CDD505-2E9C-101B-9397-08002B2CF9AE}" pid="33" name="NOSE14">
    <vt:lpwstr>עונשין</vt:lpwstr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77;77;14;77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מחשבה פלילית</vt:lpwstr>
  </property>
  <property fmtid="{D5CDD505-2E9C-101B-9397-08002B2CF9AE}" pid="43" name="NOSE23">
    <vt:lpwstr>ערעור</vt:lpwstr>
  </property>
  <property fmtid="{D5CDD505-2E9C-101B-9397-08002B2CF9AE}" pid="44" name="NOSE24">
    <vt:lpwstr>ענישה</vt:lpwstr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1446;1436;333;1446</vt:lpwstr>
  </property>
  <property fmtid="{D5CDD505-2E9C-101B-9397-08002B2CF9AE}" pid="51" name="NOSE31">
    <vt:lpwstr>מדיניות ענישה: עבירות סמים</vt:lpwstr>
  </property>
  <property fmtid="{D5CDD505-2E9C-101B-9397-08002B2CF9AE}" pid="52" name="NOSE310">
    <vt:lpwstr/>
  </property>
  <property fmtid="{D5CDD505-2E9C-101B-9397-08002B2CF9AE}" pid="53" name="NOSE32">
    <vt:lpwstr>עצימת עיניים</vt:lpwstr>
  </property>
  <property fmtid="{D5CDD505-2E9C-101B-9397-08002B2CF9AE}" pid="54" name="NOSE33">
    <vt:lpwstr>התערבות במידת העונש</vt:lpwstr>
  </property>
  <property fmtid="{D5CDD505-2E9C-101B-9397-08002B2CF9AE}" pid="55" name="NOSE34">
    <vt:lpwstr>מדיניות ענישה: שיקולים לחומרה</vt:lpwstr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8991;8722;2708;8995</vt:lpwstr>
  </property>
  <property fmtid="{D5CDD505-2E9C-101B-9397-08002B2CF9AE}" pid="62" name="PADIDATE">
    <vt:lpwstr>20230410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עפ;עפ</vt:lpwstr>
  </property>
  <property fmtid="{D5CDD505-2E9C-101B-9397-08002B2CF9AE}" pid="67" name="PROCNUM">
    <vt:lpwstr>5836;5946</vt:lpwstr>
  </property>
  <property fmtid="{D5CDD505-2E9C-101B-9397-08002B2CF9AE}" pid="68" name="PROCYEAR">
    <vt:lpwstr>22;22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410120230404</vt:lpwstr>
  </property>
  <property fmtid="{D5CDD505-2E9C-101B-9397-08002B2CF9AE}" pid="72" name="TYPE_N_DATE">
    <vt:lpwstr>41020230404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