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5851/19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8"/>
          <w:szCs w:val="22"/>
        </w:rPr>
      </w:pPr>
      <w:r>
        <w:rPr>
          <w:rFonts w:cs="Miriam"/>
          <w:b/>
          <w:bCs/>
          <w:sz w:val="18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אהוד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אלירן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נחמן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עמנואל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יפה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50968-06-14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10.7.2019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בדימוס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דרורי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בטבת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ף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  <w:bookmarkStart w:id="4" w:name="_GoBack"/>
            <w:bookmarkEnd w:id="4"/>
          </w:p>
        </w:tc>
      </w:tr>
    </w:tbl>
    <w:p>
      <w:pPr>
        <w:pStyle w:val="Ruller31"/>
        <w:ind w:end="0"/>
        <w:jc w:val="start"/>
        <w:rPr>
          <w:rFonts w:cs="David"/>
          <w:spacing w:val="0"/>
          <w:sz w:val="18"/>
          <w:szCs w:val="22"/>
        </w:rPr>
      </w:pPr>
      <w:r>
        <w:rPr>
          <w:rFonts w:cs="David"/>
          <w:spacing w:val="0"/>
          <w:sz w:val="18"/>
          <w:szCs w:val="22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5"/>
        <w:gridCol w:w="5100"/>
      </w:tblGrid>
      <w:tr>
        <w:trPr/>
        <w:tc>
          <w:tcPr>
            <w:tcW w:w="3185" w:type="dxa"/>
            <w:tcBorders/>
          </w:tcPr>
          <w:p>
            <w:pPr>
              <w:pStyle w:val="ruller311"/>
              <w:ind w:end="0"/>
              <w:jc w:val="start"/>
              <w:rPr>
                <w:szCs w:val="28"/>
              </w:rPr>
            </w:pPr>
            <w:bookmarkStart w:id="5" w:name="FirstLawyer"/>
            <w:bookmarkStart w:id="6" w:name="lawyers_b_title"/>
            <w:bookmarkEnd w:id="5"/>
            <w:bookmarkEnd w:id="6"/>
            <w:r>
              <w:rPr>
                <w:szCs w:val="28"/>
                <w:rtl w:val="true"/>
              </w:rPr>
              <w:t>בשם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המשיב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</w:rPr>
              <w:t>1</w:t>
            </w:r>
            <w:r>
              <w:rPr>
                <w:szCs w:val="28"/>
                <w:rtl w:val="true"/>
              </w:rPr>
              <w:t>:</w:t>
            </w:r>
          </w:p>
        </w:tc>
        <w:tc>
          <w:tcPr>
            <w:tcW w:w="5100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2"/>
                <w:szCs w:val="28"/>
              </w:rPr>
            </w:pPr>
            <w:r>
              <w:rPr>
                <w:rFonts w:cs="David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David"/>
                <w:sz w:val="22"/>
                <w:szCs w:val="28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ד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דוד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הלוי</w:t>
            </w:r>
            <w:r>
              <w:rPr>
                <w:rFonts w:cs="David"/>
                <w:sz w:val="22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David"/>
                <w:sz w:val="22"/>
                <w:szCs w:val="28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ד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מיכאל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עירוני</w:t>
            </w:r>
          </w:p>
        </w:tc>
      </w:tr>
    </w:tbl>
    <w:p>
      <w:pPr>
        <w:pStyle w:val="BODYPROTOCOL"/>
        <w:ind w:end="0"/>
        <w:jc w:val="both"/>
        <w:rPr>
          <w:rFonts w:cs="David"/>
          <w:spacing w:val="0"/>
          <w:sz w:val="18"/>
          <w:szCs w:val="22"/>
        </w:rPr>
      </w:pPr>
      <w:r>
        <w:rPr>
          <w:rFonts w:cs="David"/>
          <w:spacing w:val="0"/>
          <w:sz w:val="18"/>
          <w:szCs w:val="22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5"/>
        <w:gridCol w:w="5100"/>
      </w:tblGrid>
      <w:tr>
        <w:trPr/>
        <w:tc>
          <w:tcPr>
            <w:tcW w:w="3185" w:type="dxa"/>
            <w:tcBorders/>
          </w:tcPr>
          <w:p>
            <w:pPr>
              <w:pStyle w:val="ruller311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בשם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המשיב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</w:rPr>
              <w:t>2</w:t>
            </w:r>
            <w:r>
              <w:rPr>
                <w:szCs w:val="28"/>
                <w:rtl w:val="true"/>
              </w:rPr>
              <w:t>:</w:t>
            </w:r>
          </w:p>
        </w:tc>
        <w:tc>
          <w:tcPr>
            <w:tcW w:w="5100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2"/>
                <w:szCs w:val="28"/>
              </w:rPr>
            </w:pPr>
            <w:r>
              <w:rPr>
                <w:rFonts w:cs="David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David"/>
                <w:sz w:val="22"/>
                <w:szCs w:val="28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ד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תומר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ריז</w:t>
            </w:r>
            <w:r>
              <w:rPr>
                <w:rFonts w:cs="David"/>
                <w:sz w:val="22"/>
                <w:szCs w:val="28"/>
                <w:rtl w:val="true"/>
              </w:rPr>
              <w:t>'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ינשולי</w:t>
            </w:r>
            <w:r>
              <w:rPr>
                <w:rFonts w:cs="David"/>
                <w:sz w:val="22"/>
                <w:szCs w:val="28"/>
                <w:rtl w:val="true"/>
              </w:rPr>
              <w:tab/>
            </w:r>
          </w:p>
        </w:tc>
      </w:tr>
    </w:tbl>
    <w:p>
      <w:pPr>
        <w:pStyle w:val="BODYPROTOCOL"/>
        <w:ind w:end="0"/>
        <w:jc w:val="both"/>
        <w:rPr>
          <w:rFonts w:cs="David"/>
          <w:spacing w:val="0"/>
          <w:sz w:val="18"/>
          <w:szCs w:val="22"/>
        </w:rPr>
      </w:pPr>
      <w:r>
        <w:rPr>
          <w:rFonts w:cs="David"/>
          <w:spacing w:val="0"/>
          <w:sz w:val="18"/>
          <w:szCs w:val="22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5"/>
        <w:gridCol w:w="5100"/>
      </w:tblGrid>
      <w:tr>
        <w:trPr/>
        <w:tc>
          <w:tcPr>
            <w:tcW w:w="3185" w:type="dxa"/>
            <w:tcBorders/>
          </w:tcPr>
          <w:p>
            <w:pPr>
              <w:pStyle w:val="ruller311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בשם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המשיב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</w:rPr>
              <w:t>3</w:t>
            </w:r>
            <w:r>
              <w:rPr>
                <w:szCs w:val="28"/>
                <w:rtl w:val="true"/>
              </w:rPr>
              <w:t>:</w:t>
            </w:r>
          </w:p>
        </w:tc>
        <w:tc>
          <w:tcPr>
            <w:tcW w:w="5100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2"/>
                <w:szCs w:val="28"/>
              </w:rPr>
            </w:pPr>
            <w:r>
              <w:rPr>
                <w:rFonts w:cs="David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David"/>
                <w:sz w:val="22"/>
                <w:szCs w:val="28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ד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ישי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שרון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awTable"/>
      <w:bookmarkEnd w:id="7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149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36"/>
          <w:szCs w:val="44"/>
        </w:rPr>
      </w:pPr>
      <w:r>
        <w:rPr>
          <w:rFonts w:cs="FrankRuehl" w:ascii="FrankRuehl" w:hAnsi="FrankRuehl"/>
          <w:sz w:val="36"/>
          <w:szCs w:val="4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0" w:name="ABSTRACT_START"/>
      <w:bookmarkEnd w:id="10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להאשמה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להנמקות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שזוכה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("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")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מוחלט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כחצי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הגישו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ובעלויות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מבוטלות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ולפרטיות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שזוכה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להאשמה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כלומר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רשלנות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סבירות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שמלכתחילה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מלכתחילה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ועמום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סגורה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וקטגוריות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המתפרשת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עניינים</w:t>
      </w:r>
      <w:r>
        <w:rPr>
          <w:rFonts w:cs="FrankRuehl"/>
          <w:sz w:val="24"/>
          <w:szCs w:val="26"/>
          <w:rtl w:val="true"/>
        </w:rPr>
        <w:t>: 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>; (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>; (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שזוכה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קטגוריות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התפתחו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וביניהם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והתביעה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80</w:t>
        </w:r>
      </w:hyperlink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בהחלטתו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מגבילים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שנאספו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סבירות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80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להנמקות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להתברר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בדיעבד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כשגוי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התפתחויות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בפתיחת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מלכתחילה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קפדנית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ומקצועית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מוליך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נתגלתה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רשלנות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80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הנמקתו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הגנבים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והחמירה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[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שכספו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נגנב</w:t>
      </w:r>
      <w:r>
        <w:rPr>
          <w:rFonts w:cs="FrankRuehl"/>
          <w:sz w:val="24"/>
          <w:szCs w:val="26"/>
          <w:rtl w:val="true"/>
        </w:rPr>
        <w:t xml:space="preserve">]".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הנמקתו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("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הפיצוצייה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הכסף</w:t>
      </w:r>
      <w:r>
        <w:rPr>
          <w:rFonts w:cs="FrankRuehl"/>
          <w:sz w:val="24"/>
          <w:szCs w:val="26"/>
          <w:rtl w:val="true"/>
        </w:rPr>
        <w:t xml:space="preserve">")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נגנב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שסייעו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בהדגישו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ומוחלט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מלהסתייג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שנכללה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החינוכי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הגנבים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בפסיקתנו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שפתרון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זלזול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מחובתו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Writer_Name"/>
      <w:bookmarkStart w:id="17" w:name="Writer_Name"/>
      <w:bookmarkEnd w:id="17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1"/>
        <w:ind w:end="0"/>
        <w:jc w:val="both"/>
        <w:rPr/>
      </w:pPr>
      <w:r>
        <w:rPr>
          <w:rFonts w:eastAsia="Calibri" w:cs="FrankRuehl" w:ascii="FrankRuehl" w:hAnsi="FrankRuehl"/>
          <w:sz w:val="28"/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>')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דרורי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50968-06-14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10.7.2019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" w:hAnsi="FrankRuehl" w:eastAsia="Calibri" w:cs="FrankRuehl"/>
          <w:sz w:val="28"/>
        </w:rPr>
      </w:pPr>
      <w:r>
        <w:rPr>
          <w:rFonts w:eastAsia="Calibri"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eastAsia="Calibri" w:cs="Miriam"/>
          <w:b/>
          <w:spacing w:val="0"/>
          <w:szCs w:val="24"/>
        </w:rPr>
      </w:pP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לערעור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נגד המשיבים </w:t>
      </w:r>
      <w:r>
        <w:rPr>
          <w:rtl w:val="true"/>
        </w:rPr>
        <w:t>(</w:t>
      </w:r>
      <w:r>
        <w:rPr>
          <w:rtl w:val="true"/>
        </w:rPr>
        <w:t xml:space="preserve">נאשמים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בכתב האישום</w:t>
      </w:r>
      <w:r>
        <w:rPr>
          <w:rtl w:val="true"/>
        </w:rPr>
        <w:t xml:space="preserve">) </w:t>
      </w:r>
      <w:r>
        <w:rPr>
          <w:rtl w:val="true"/>
        </w:rPr>
        <w:t xml:space="preserve">ונאשם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יעקב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המשיבים ויעקב יכונו יחדיו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tl w:val="true"/>
        </w:rPr>
        <w:t xml:space="preserve">) </w:t>
      </w:r>
      <w:r>
        <w:rPr>
          <w:rtl w:val="true"/>
        </w:rPr>
        <w:t>הוגש כתב אישום שייחס להם ביצוע עבירה של סחיטה באיומים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שבבעלותו פיצוצייה</w:t>
      </w:r>
      <w:r>
        <w:rPr>
          <w:rtl w:val="true"/>
        </w:rPr>
        <w:t xml:space="preserve">, </w:t>
      </w:r>
      <w:r>
        <w:rPr>
          <w:rtl w:val="true"/>
        </w:rPr>
        <w:t xml:space="preserve">סיפק ביום </w:t>
      </w:r>
      <w:r>
        <w:rPr/>
        <w:t>12.6.2014</w:t>
      </w:r>
      <w:r>
        <w:rPr>
          <w:rtl w:val="true"/>
        </w:rPr>
        <w:t xml:space="preserve"> </w:t>
      </w:r>
      <w:r>
        <w:rPr>
          <w:rtl w:val="true"/>
        </w:rPr>
        <w:t>לארבעה צעירים</w:t>
      </w:r>
      <w:r>
        <w:rPr>
          <w:rtl w:val="true"/>
        </w:rPr>
        <w:t xml:space="preserve">, </w:t>
      </w:r>
      <w:r>
        <w:rPr>
          <w:rtl w:val="true"/>
        </w:rPr>
        <w:t xml:space="preserve">ביניהם אדם בשם מתן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tl w:val="true"/>
        </w:rPr>
        <w:t xml:space="preserve">), </w:t>
      </w:r>
      <w:r>
        <w:rPr>
          <w:rtl w:val="true"/>
        </w:rPr>
        <w:t>שתייה חריפה שהוזמנה לביתו של אחד מהם</w:t>
      </w:r>
      <w:r>
        <w:rPr>
          <w:rtl w:val="true"/>
        </w:rPr>
        <w:t xml:space="preserve">. </w:t>
      </w:r>
      <w:r>
        <w:rPr>
          <w:rtl w:val="true"/>
        </w:rPr>
        <w:t>לאחר שיצא מן הבית</w:t>
      </w:r>
      <w:r>
        <w:rPr>
          <w:rtl w:val="true"/>
        </w:rPr>
        <w:t xml:space="preserve">, </w:t>
      </w:r>
      <w:r>
        <w:rPr>
          <w:rtl w:val="true"/>
        </w:rPr>
        <w:t xml:space="preserve">הסתבר למשיב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ששכח במקום שקית ובה 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במזומן</w:t>
      </w:r>
      <w:r>
        <w:rPr>
          <w:rtl w:val="true"/>
        </w:rPr>
        <w:t xml:space="preserve">. </w:t>
      </w:r>
      <w:r>
        <w:rPr>
          <w:rtl w:val="true"/>
        </w:rPr>
        <w:t xml:space="preserve">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שב למקום במטרה ליטול את כספו</w:t>
      </w:r>
      <w:r>
        <w:rPr>
          <w:rtl w:val="true"/>
        </w:rPr>
        <w:t xml:space="preserve">, </w:t>
      </w:r>
      <w:r>
        <w:rPr>
          <w:rtl w:val="true"/>
        </w:rPr>
        <w:t>אך הארבעה הכחישו כל קשר לכסף האבוד</w:t>
      </w:r>
      <w:r>
        <w:rPr>
          <w:rtl w:val="true"/>
        </w:rPr>
        <w:t xml:space="preserve">. </w:t>
      </w:r>
      <w:r>
        <w:rPr>
          <w:rtl w:val="true"/>
        </w:rPr>
        <w:t>לאחר שפניות נוספות מטעמו לא נענו</w:t>
      </w:r>
      <w:r>
        <w:rPr>
          <w:rtl w:val="true"/>
        </w:rPr>
        <w:t xml:space="preserve">, </w:t>
      </w:r>
      <w:r>
        <w:rPr>
          <w:rtl w:val="true"/>
        </w:rPr>
        <w:t xml:space="preserve">פנה 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לנאשמים בבקשה כי יסייעו לו בהשבת כספו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16.6.2014</w:t>
      </w:r>
      <w:r>
        <w:rPr>
          <w:rtl w:val="true"/>
        </w:rPr>
        <w:t xml:space="preserve"> </w:t>
      </w:r>
      <w:r>
        <w:rPr>
          <w:rtl w:val="true"/>
        </w:rPr>
        <w:t>הגיעו הנאשמים כולם למשרד שליחויות בו הועסק מתן</w:t>
      </w:r>
      <w:r>
        <w:rPr>
          <w:rtl w:val="true"/>
        </w:rPr>
        <w:t xml:space="preserve">, </w:t>
      </w:r>
      <w:r>
        <w:rPr>
          <w:rtl w:val="true"/>
        </w:rPr>
        <w:t>והמתינו עד להגעתו למקום</w:t>
      </w:r>
      <w:r>
        <w:rPr>
          <w:rtl w:val="true"/>
        </w:rPr>
        <w:t xml:space="preserve">. </w:t>
      </w:r>
      <w:r>
        <w:rPr>
          <w:rtl w:val="true"/>
        </w:rPr>
        <w:t>בהגיעו</w:t>
      </w:r>
      <w:r>
        <w:rPr>
          <w:rtl w:val="true"/>
        </w:rPr>
        <w:t xml:space="preserve">, </w:t>
      </w:r>
      <w:r>
        <w:rPr>
          <w:rtl w:val="true"/>
        </w:rPr>
        <w:t xml:space="preserve">לחץ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ידו של מתן והורה לו לשבת</w:t>
      </w:r>
      <w:r>
        <w:rPr>
          <w:rtl w:val="true"/>
        </w:rPr>
        <w:t xml:space="preserve">. </w:t>
      </w:r>
      <w:r>
        <w:rPr>
          <w:rtl w:val="true"/>
        </w:rPr>
        <w:t xml:space="preserve">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נעמד למול מתן ואילו משיב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ויעקב נעמדו משני צדדיו</w:t>
      </w:r>
      <w:r>
        <w:rPr>
          <w:rtl w:val="true"/>
        </w:rPr>
        <w:t xml:space="preserve">. </w:t>
      </w:r>
      <w:r>
        <w:rPr>
          <w:rtl w:val="true"/>
        </w:rPr>
        <w:t xml:space="preserve">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ויעקב החלו לשאול את מתן היכן כספו של 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ובשלב מסוים התיר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למתן להתקשר לאביו ותוך כדי השיחה נטל את הטלפון מידיו של מתן ואמר לאביו </w:t>
      </w:r>
      <w:r>
        <w:rPr>
          <w:rtl w:val="true"/>
        </w:rPr>
        <w:t>"</w:t>
      </w:r>
      <w:r>
        <w:rPr>
          <w:rtl w:val="true"/>
        </w:rPr>
        <w:t>אתה רוצה את הילד שלך</w:t>
      </w:r>
      <w:r>
        <w:rPr>
          <w:rtl w:val="true"/>
        </w:rPr>
        <w:t xml:space="preserve">? [...] </w:t>
      </w:r>
      <w:r>
        <w:rPr>
          <w:rtl w:val="true"/>
        </w:rPr>
        <w:t>אני לוקח עכשיו את הילד שלך</w:t>
      </w:r>
      <w:r>
        <w:rPr>
          <w:rtl w:val="true"/>
        </w:rPr>
        <w:t xml:space="preserve">". </w:t>
      </w:r>
      <w:r>
        <w:rPr>
          <w:rtl w:val="true"/>
        </w:rPr>
        <w:t xml:space="preserve">לאחר תום השיחה ליוו הנאשמים את מתן לרכבו של 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כאשר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אוחז בידו של מתן ויתר הנאשמים מקיפים אותם</w:t>
      </w:r>
      <w:r>
        <w:rPr>
          <w:rtl w:val="true"/>
        </w:rPr>
        <w:t xml:space="preserve">. </w:t>
      </w:r>
      <w:r>
        <w:rPr>
          <w:rtl w:val="true"/>
        </w:rPr>
        <w:t>לאחר שנכנסו לרכב</w:t>
      </w:r>
      <w:r>
        <w:rPr>
          <w:rtl w:val="true"/>
        </w:rPr>
        <w:t xml:space="preserve">, </w:t>
      </w:r>
      <w:r>
        <w:rPr>
          <w:rtl w:val="true"/>
        </w:rPr>
        <w:t>הוּשב מתן במושב האחורי</w:t>
      </w:r>
      <w:r>
        <w:rPr>
          <w:rtl w:val="true"/>
        </w:rPr>
        <w:t>-</w:t>
      </w:r>
      <w:r>
        <w:rPr>
          <w:rtl w:val="true"/>
        </w:rPr>
        <w:t xml:space="preserve">אמצעי כאשר משיב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ויעקב יושבים משני צדדיו</w:t>
      </w:r>
      <w:r>
        <w:rPr>
          <w:rtl w:val="true"/>
        </w:rPr>
        <w:t xml:space="preserve">. </w:t>
      </w:r>
      <w:r>
        <w:rPr>
          <w:rtl w:val="true"/>
        </w:rPr>
        <w:t>הנאשמים נסעו עם מתן לביתו שם פגש אותם אביו</w:t>
      </w:r>
      <w:r>
        <w:rPr>
          <w:rtl w:val="true"/>
        </w:rPr>
        <w:t xml:space="preserve">, </w:t>
      </w:r>
      <w:r>
        <w:rPr>
          <w:rtl w:val="true"/>
        </w:rPr>
        <w:t xml:space="preserve">ובמעמד זה נמסר למשיב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סכום שנע בין </w:t>
      </w:r>
      <w:r>
        <w:rPr/>
        <w:t>13,000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  <w:r>
        <w:rPr>
          <w:rtl w:val="true"/>
        </w:rPr>
        <w:t>הארבעה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בד בבד עם הגשת כתב האישום ביום </w:t>
      </w:r>
      <w:r>
        <w:rPr/>
        <w:t>25.6.2014</w:t>
      </w:r>
      <w:r>
        <w:rPr>
          <w:rtl w:val="true"/>
        </w:rPr>
        <w:t xml:space="preserve">, </w:t>
      </w:r>
      <w:r>
        <w:rPr>
          <w:rtl w:val="true"/>
        </w:rPr>
        <w:t>עתרה המערערת להורות על מעצרם של הנאשמים עד תום ההליכים המשפטיים נגדם</w:t>
      </w:r>
      <w:r>
        <w:rPr>
          <w:rtl w:val="true"/>
        </w:rPr>
        <w:t xml:space="preserve">. </w:t>
      </w:r>
      <w:r>
        <w:rPr>
          <w:rtl w:val="true"/>
        </w:rPr>
        <w:t xml:space="preserve">בהחלטתו מיום </w:t>
      </w:r>
      <w:r>
        <w:rPr/>
        <w:t>3.7.2014</w:t>
      </w:r>
      <w:r>
        <w:rPr>
          <w:rtl w:val="true"/>
        </w:rPr>
        <w:t xml:space="preserve"> </w:t>
      </w:r>
      <w:r>
        <w:rPr>
          <w:rtl w:val="true"/>
        </w:rPr>
        <w:t xml:space="preserve">קבע בית המשפט המחוזי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51028-06-14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</w:t>
      </w:r>
      <w:r>
        <w:rPr>
          <w:rtl w:val="true"/>
        </w:rPr>
        <w:t xml:space="preserve">) </w:t>
      </w:r>
      <w:r>
        <w:rPr>
          <w:rtl w:val="true"/>
        </w:rPr>
        <w:t>כי ישנן ראיות לכאורה לכך שהנאשמים ביצעו את המיוחס להם בכתב האישום</w:t>
      </w:r>
      <w:r>
        <w:rPr>
          <w:rtl w:val="true"/>
        </w:rPr>
        <w:t xml:space="preserve">, </w:t>
      </w:r>
      <w:r>
        <w:rPr>
          <w:rtl w:val="true"/>
        </w:rPr>
        <w:t>הגם שעוצמת הראיות אינה מן הגבוהות</w:t>
      </w:r>
      <w:r>
        <w:rPr>
          <w:rtl w:val="true"/>
        </w:rPr>
        <w:t xml:space="preserve">, </w:t>
      </w:r>
      <w:r>
        <w:rPr>
          <w:rtl w:val="true"/>
        </w:rPr>
        <w:t>וכי יש לשקול שחרור המשיבים לחלופת מעצר</w:t>
      </w:r>
      <w:r>
        <w:rPr>
          <w:rtl w:val="true"/>
        </w:rPr>
        <w:t xml:space="preserve">. </w:t>
      </w:r>
      <w:r>
        <w:rPr>
          <w:rtl w:val="true"/>
        </w:rPr>
        <w:t xml:space="preserve">לגבי 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הורה בית המשפט על שחרורו למעצר בית בתנאים מגבילים</w:t>
      </w:r>
      <w:r>
        <w:rPr>
          <w:rtl w:val="true"/>
        </w:rPr>
        <w:t xml:space="preserve">, </w:t>
      </w:r>
      <w:r>
        <w:rPr>
          <w:rtl w:val="true"/>
        </w:rPr>
        <w:t>לאור רמת המסוכנות המופחתת הנשקפת ממנו</w:t>
      </w:r>
      <w:r>
        <w:rPr>
          <w:rtl w:val="true"/>
        </w:rPr>
        <w:t xml:space="preserve">. </w:t>
      </w:r>
      <w:r>
        <w:rPr>
          <w:rtl w:val="true"/>
        </w:rPr>
        <w:t xml:space="preserve">לגבי משיבים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הורה בית המשפט על הגשת תסקיר בעניינם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29.7.2014</w:t>
      </w:r>
      <w:r>
        <w:rPr>
          <w:rtl w:val="true"/>
        </w:rPr>
        <w:t xml:space="preserve"> </w:t>
      </w:r>
      <w:r>
        <w:rPr>
          <w:rtl w:val="true"/>
        </w:rPr>
        <w:t>הורה בית המשפט על שחרורם למעצר בית בתנאים מגבילים</w:t>
      </w:r>
      <w:r>
        <w:rPr>
          <w:rtl w:val="true"/>
        </w:rPr>
        <w:t xml:space="preserve">, </w:t>
      </w:r>
      <w:r>
        <w:rPr>
          <w:rtl w:val="true"/>
        </w:rPr>
        <w:t>חרף המלצת שירות המבחן שלא לשחררם לחלופת מעצר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hyperlink r:id="rId1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5272/14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הערר</w:t>
      </w:r>
      <w:r>
        <w:rPr>
          <w:rtl w:val="true"/>
        </w:rPr>
        <w:t xml:space="preserve">),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5.8.2014</w:t>
      </w:r>
      <w:r>
        <w:rPr>
          <w:rtl w:val="true"/>
        </w:rPr>
        <w:t xml:space="preserve"> </w:t>
      </w:r>
      <w:r>
        <w:rPr>
          <w:rtl w:val="true"/>
        </w:rPr>
        <w:t>הערר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זילברטל</w:t>
      </w:r>
      <w:r>
        <w:rPr>
          <w:rtl w:val="true"/>
        </w:rPr>
        <w:t xml:space="preserve">),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וכי ממכלול הדברים עולה כי קיימות די ראיות 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בעוצמה הנדרשת באותו שלב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להוכחת המיוחס לו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11.8.2014</w:t>
      </w:r>
      <w:r>
        <w:rPr>
          <w:rtl w:val="true"/>
        </w:rPr>
        <w:t xml:space="preserve"> </w:t>
      </w:r>
      <w:r>
        <w:rPr>
          <w:rtl w:val="true"/>
        </w:rPr>
        <w:t>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Ruehl" w:hAnsi="FrankRuehl" w:eastAsia="Calibri" w:cs="FrankRuehl"/>
          <w:sz w:val="28"/>
        </w:rPr>
      </w:pPr>
      <w:r>
        <w:rPr>
          <w:rtl w:val="true"/>
        </w:rPr>
        <w:tab/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משיבים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25.12.2014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משיבים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eastAsia="Calibri" w:cs="FrankRuehl"/>
          <w:sz w:val="28"/>
        </w:rPr>
      </w:pPr>
      <w:r>
        <w:rPr>
          <w:rFonts w:eastAsia="Calibri"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 xml:space="preserve">ביום </w:t>
      </w:r>
      <w:r>
        <w:rPr/>
        <w:t>6.10.2016</w:t>
      </w:r>
      <w:r>
        <w:rPr>
          <w:rtl w:val="true"/>
        </w:rPr>
        <w:t xml:space="preserve"> </w:t>
      </w:r>
      <w:r>
        <w:rPr>
          <w:rtl w:val="true"/>
        </w:rPr>
        <w:t>זיכה בית המשפט המחוזי את כל הנאשמים מן המיוחס להם בכתב האישום במסגרת הכרעת</w:t>
      </w:r>
      <w:r>
        <w:rPr>
          <w:rtl w:val="true"/>
        </w:rPr>
        <w:t>-</w:t>
      </w:r>
      <w:r>
        <w:rPr>
          <w:rtl w:val="true"/>
        </w:rPr>
        <w:t>דין תמציתית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23.5.2017</w:t>
      </w:r>
      <w:r>
        <w:rPr>
          <w:rtl w:val="true"/>
        </w:rPr>
        <w:t xml:space="preserve"> </w:t>
      </w:r>
      <w:r>
        <w:rPr>
          <w:rtl w:val="true"/>
        </w:rPr>
        <w:t>ניתנה הכרעת</w:t>
      </w:r>
      <w:r>
        <w:rPr>
          <w:rtl w:val="true"/>
        </w:rPr>
        <w:t>-</w:t>
      </w:r>
      <w:r>
        <w:rPr>
          <w:rtl w:val="true"/>
        </w:rPr>
        <w:t>דין מנומקת</w:t>
      </w:r>
      <w:r>
        <w:rPr>
          <w:rtl w:val="true"/>
        </w:rPr>
        <w:t xml:space="preserve">. </w:t>
      </w:r>
      <w:r>
        <w:rPr>
          <w:rtl w:val="true"/>
        </w:rPr>
        <w:t>בהכרעת הדין המנומקת</w:t>
      </w:r>
      <w:r>
        <w:rPr>
          <w:rtl w:val="true"/>
        </w:rPr>
        <w:t xml:space="preserve">, </w:t>
      </w:r>
      <w:r>
        <w:rPr>
          <w:rtl w:val="true"/>
        </w:rPr>
        <w:t xml:space="preserve">המשתרעת על פני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הזיכוי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מוחלט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סופי ולא מחמת הספק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וזאת על יסוד שלושה טעמים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מהטעם העובדתי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הוכחה האשמה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הטעם המשפטי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 אין לייחס לנאשמים עבירה פלילית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גם 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הגשת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כל שכן ניהול ההליך הפלילי בעניינם של הנאשמים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בתיק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עומדים בסתירה מהותית לעקרונות הצדק וההגינות</w:t>
      </w:r>
      <w:r>
        <w:rPr>
          <w:rFonts w:cs="Century" w:ascii="Century" w:hAnsi="Century"/>
          <w:rtl w:val="true"/>
        </w:rPr>
        <w:t>'"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לאחר שבחן את החומר הראייתי קבע בית המשפט כי לא עלה בידי המערערת להוכיח כי הנאשמים ביצעו את עבירת הסחיטה באיומים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בדרך של התנהגות ולא בטענות על דברים שנאמרו בשיחה הטלפונית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בחן את פרשנות</w:t>
      </w:r>
      <w:r>
        <w:rPr>
          <w:rtl w:val="true"/>
        </w:rPr>
        <w:t xml:space="preserve"> עבירת הסחיטה באיומים והזכות לעשיית דין עצמי בנסיבות העניין</w:t>
      </w:r>
      <w:r>
        <w:rPr>
          <w:rtl w:val="true"/>
        </w:rPr>
        <w:t xml:space="preserve">, </w:t>
      </w:r>
      <w:r>
        <w:rPr>
          <w:rtl w:val="true"/>
        </w:rPr>
        <w:t>בפרט על רקע גישת המשפט העברי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בהקשר זה נקבע כי יש להעניק בכורה לזכותו של משיב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הנגזל לקבל את רכושו באמצעות עשיית דין עצמי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נבחנה התקיימותה של הגנה מן הצדק 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ונקבע כי מלכתחילה לא היה מקום להגיש את 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בעניין זה צוין כבר במסגרת הכרעת הדין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מסקנה זו רלבנטית גם אם תוגש בקשה לפי סעיף </w:t>
      </w:r>
      <w:r>
        <w:rPr>
          <w:rFonts w:cs="Century" w:ascii="Century" w:hAnsi="Century"/>
        </w:rPr>
        <w:t>80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התייחס להליך הפלילי שנוהל נגד מתן וחבריו בציינו 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אם הייתי מרשיע את הנאשמים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כבקשת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הייתי חוטא חטא כפול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הגנבים יצאו מבית משפט השלום עם עונש 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שיאמרו מגוחך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ואילו הנאשמים שבתיק זה – אם הייתי מקבל את עמדת המדינה – היו מורשעים בעבירה שעונשה המירבי הוא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הכרעת הדין נחתמה בקביעה לפיה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 אדם סביר אם היה לו מקרה דומה היה עושה את אותו דבר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המסר החינוכי והציבורי הוא כי יש לאפשר למי שגזלו את כספו לנקוט בדרכים שנקטו הנאשמים כנגד הגנבים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כחצי שנה לאחר זיכויים בדין</w:t>
      </w:r>
      <w:r>
        <w:rPr>
          <w:rtl w:val="true"/>
        </w:rPr>
        <w:t xml:space="preserve">, </w:t>
      </w:r>
      <w:r>
        <w:rPr>
          <w:rtl w:val="true"/>
        </w:rPr>
        <w:t xml:space="preserve">הגישו המשיבים בקשות לחיוב המערערת בתשלום פיצויים 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בהחלטתו מיום </w:t>
      </w:r>
      <w:r>
        <w:rPr/>
        <w:t>10.7.2019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שכנגדה מופנה הערעור שלפנינו </w:t>
      </w:r>
      <w:r>
        <w:rPr>
          <w:rtl w:val="true"/>
        </w:rPr>
        <w:t>–</w:t>
      </w:r>
      <w:r>
        <w:rPr>
          <w:rtl w:val="true"/>
        </w:rPr>
        <w:t xml:space="preserve"> קיבל בית המשפט את בקשות המשיבים</w:t>
      </w:r>
      <w:r>
        <w:rPr>
          <w:rtl w:val="true"/>
        </w:rPr>
        <w:t xml:space="preserve">. </w:t>
      </w:r>
      <w:r>
        <w:rPr>
          <w:rtl w:val="true"/>
        </w:rPr>
        <w:t>בית המשפט דחה את טענת המערערת כי יש לסלק את הבקשות על הסף מחמת שיהוי בהגשתן</w:t>
      </w:r>
      <w:r>
        <w:rPr>
          <w:rtl w:val="true"/>
        </w:rPr>
        <w:t xml:space="preserve">, </w:t>
      </w:r>
      <w:r>
        <w:rPr>
          <w:rtl w:val="true"/>
        </w:rPr>
        <w:t xml:space="preserve">וקבע כי לא ניתן לקבל את גישתה לפיה פסיקת פיצוי לפי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היא חריג נדיר</w:t>
      </w:r>
      <w:r>
        <w:rPr>
          <w:rtl w:val="true"/>
        </w:rPr>
        <w:t xml:space="preserve">. </w:t>
      </w:r>
      <w:r>
        <w:rPr>
          <w:rtl w:val="true"/>
        </w:rPr>
        <w:t>בהמשך לאמור 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מתקיימות ביחס למשיבים שתי העילות </w:t>
      </w:r>
      <w:hyperlink r:id="rId27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: </w:t>
      </w:r>
      <w:r>
        <w:rPr>
          <w:rtl w:val="true"/>
        </w:rPr>
        <w:t>כי לא היה יסוד לאשמה</w:t>
      </w:r>
      <w:r>
        <w:rPr>
          <w:rtl w:val="true"/>
        </w:rPr>
        <w:t xml:space="preserve">; </w:t>
      </w:r>
      <w:r>
        <w:rPr>
          <w:rtl w:val="true"/>
        </w:rPr>
        <w:t>וכי ישנן נסיבות אחרות המצדיקות פסיקת פיצויים</w:t>
      </w:r>
      <w:r>
        <w:rPr>
          <w:rtl w:val="true"/>
        </w:rPr>
        <w:t xml:space="preserve">. </w:t>
      </w:r>
      <w:r>
        <w:rPr>
          <w:rtl w:val="true"/>
        </w:rPr>
        <w:t>באשר לעילה הראשונה נקבע</w:t>
      </w:r>
      <w:r>
        <w:rPr>
          <w:rtl w:val="true"/>
        </w:rPr>
        <w:t xml:space="preserve">, </w:t>
      </w:r>
      <w:r>
        <w:rPr>
          <w:rtl w:val="true"/>
        </w:rPr>
        <w:t>כי לא היה מקום להגשת כתב אישום כנגד המשיבים בנסיבות העניין</w:t>
      </w:r>
      <w:r>
        <w:rPr>
          <w:rtl w:val="true"/>
        </w:rPr>
        <w:t xml:space="preserve">. </w:t>
      </w:r>
      <w:r>
        <w:rPr>
          <w:rtl w:val="true"/>
        </w:rPr>
        <w:t>כתב האישום הוגש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 xml:space="preserve">על רקע רצונה של </w:t>
      </w:r>
      <w:r>
        <w:rPr>
          <w:rFonts w:ascii="Century" w:hAnsi="Century" w:cs="Century"/>
          <w:rtl w:val="true"/>
        </w:rPr>
        <w:t xml:space="preserve">המערערת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להעמיד לדין את 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rtl w:val="true"/>
        </w:rPr>
        <w:t xml:space="preserve">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כמי שכאמור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שמו הולך לפניו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ויש לו עבר 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וביחד עימו – בבחינת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אוי לרשע ואוי לשכנו</w:t>
      </w:r>
      <w:r>
        <w:rPr>
          <w:rFonts w:cs="Century" w:ascii="Century" w:hAnsi="Century"/>
          <w:rtl w:val="true"/>
        </w:rPr>
        <w:t xml:space="preserve">" – </w:t>
      </w:r>
      <w:r>
        <w:rPr>
          <w:rFonts w:ascii="Century" w:hAnsi="Century" w:cs="Century"/>
          <w:rtl w:val="true"/>
        </w:rPr>
        <w:t xml:space="preserve">הועמדו לדין בעל הפיצוציה שכספו נגנב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שאין חולק כי אין לו עבר פלילי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וכן שני נאשמים נוספים שנסעו מחנות המשלוחים לביתו של הגנב מתן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תובע סביר שהיה מתבונן בראיות ללא אותם רעשי רקע של המארב המשטרתי והרצון של המשטרה להעמיד לדין את הנאשם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מגיע למסקנה ברורה וחד משמעית כי אין מקום להגשת כתב אישום בתיק זה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 המשפט קבע כי העילה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שעניינה נסיבות אחרות המצדיקות פסיקת פיצויים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קמה נוכח זיכויים של המשיבים מטעמי הגנה מן הצדק אשר נעוצים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ענישה המגוחכת</w:t>
      </w:r>
      <w:r>
        <w:rPr>
          <w:rFonts w:cs="Century" w:ascii="Century" w:hAnsi="Century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שהשית בית משפט השלום על מתן וחבריו בגין גניבת הכסף ממשיב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הורה בית המשפט על פסיקת פיצויים לזכות המשיבים בסכומים שלהלן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61,791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לזכות משיב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241,379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לזכות 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58,836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לזכות משיב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 שלפנינו</w:t>
      </w:r>
      <w:r>
        <w:rPr>
          <w:rtl w:val="true"/>
        </w:rPr>
        <w:t xml:space="preserve">. </w:t>
      </w:r>
      <w:r>
        <w:rPr>
          <w:rtl w:val="true"/>
        </w:rPr>
        <w:t>המערערת סבורה כי לא היה מקום לפסיקת פיצויים לזכות המשיבים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מן הטעם שביסוד החלטתו של בית המשפט עומדת השקפה נורמטיבית שאין לקבלהּ</w:t>
      </w:r>
      <w:r>
        <w:rPr>
          <w:rtl w:val="true"/>
        </w:rPr>
        <w:t xml:space="preserve">, </w:t>
      </w:r>
      <w:r>
        <w:rPr>
          <w:rtl w:val="true"/>
        </w:rPr>
        <w:t>לפיה יש לאפשר לנגזל לפעול כפי שפעלו משיבים בנסיבות העניין</w:t>
      </w:r>
      <w:r>
        <w:rPr>
          <w:rtl w:val="true"/>
        </w:rPr>
        <w:t xml:space="preserve">. </w:t>
      </w:r>
      <w:r>
        <w:rPr>
          <w:rtl w:val="true"/>
        </w:rPr>
        <w:t>בהתאם לכך טוענת המערערת כי קביעתו של בית המשפט לפיה לא היה מקום להגשת כתב האישום אינה יכולה לעמוד</w:t>
      </w:r>
      <w:r>
        <w:rPr>
          <w:rtl w:val="true"/>
        </w:rPr>
        <w:t xml:space="preserve">, </w:t>
      </w:r>
      <w:r>
        <w:rPr>
          <w:rtl w:val="true"/>
        </w:rPr>
        <w:t xml:space="preserve">ולוּ ביחס למשיבים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שלא היו בעליו של הכסף הגזול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נטען כי קביעתו הנורמטיבית של בית המשפט באשר לעשיית דין עצמי של משיבים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כמוה כמתן היתר לאכיפת הדין באמצעות אלימות על</w:t>
      </w:r>
      <w:r>
        <w:rPr>
          <w:rtl w:val="true"/>
        </w:rPr>
        <w:t>-</w:t>
      </w:r>
      <w:r>
        <w:rPr>
          <w:rtl w:val="true"/>
        </w:rPr>
        <w:t>ידי אזרחים פרטיים</w:t>
      </w:r>
      <w:r>
        <w:rPr>
          <w:rtl w:val="true"/>
        </w:rPr>
        <w:t xml:space="preserve">. </w:t>
      </w:r>
      <w:r>
        <w:rPr>
          <w:rtl w:val="true"/>
        </w:rPr>
        <w:t>המערערת מוסיפה וטוענת כי בית המשפט שגה בכך שלא נתן משקל להחלטה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בערר בה נקבע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כי יש להורות על מעצרו של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 לתום ההליכים נוכח הימצאותן של ראיות לכאורה לביצוע עבירת הסחיטה באיומים</w:t>
      </w:r>
      <w:r>
        <w:rPr>
          <w:rtl w:val="true"/>
        </w:rPr>
        <w:t xml:space="preserve">. </w:t>
      </w:r>
      <w:r>
        <w:rPr>
          <w:rtl w:val="true"/>
        </w:rPr>
        <w:t>מהחלטה זו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עולה בבירור כי היה יסוד להגשתו של כתב האישום</w:t>
      </w:r>
      <w:r>
        <w:rPr>
          <w:rtl w:val="true"/>
        </w:rPr>
        <w:t xml:space="preserve">. </w:t>
      </w:r>
      <w:r>
        <w:rPr>
          <w:rtl w:val="true"/>
        </w:rPr>
        <w:t>המערערת טוענת כי אף לא היה מקום לזכות את המשיבים מטעמים של הגנה מן הצדק ולקבוע כי המערערת נהגה איפה ואיפה ביחסה למשיבים לעומת יחסה למתן וחבריו</w:t>
      </w:r>
      <w:r>
        <w:rPr>
          <w:rtl w:val="true"/>
        </w:rPr>
        <w:t xml:space="preserve">, </w:t>
      </w:r>
      <w:r>
        <w:rPr>
          <w:rtl w:val="true"/>
        </w:rPr>
        <w:t xml:space="preserve">ולכל הפחות כי השוואה זו נוגעת אך למשיב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 ליתר המשיבים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המערערת הטעימה כי פסיקת פיצויים בהתאם </w:t>
      </w:r>
      <w:hyperlink r:id="rId2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היא בגדר אכן חריג ולא כפי שקבע בית המשפט בהחלטתו</w:t>
      </w:r>
      <w:r>
        <w:rPr>
          <w:rtl w:val="true"/>
        </w:rPr>
        <w:t xml:space="preserve">. </w:t>
      </w:r>
      <w:r>
        <w:rPr>
          <w:rtl w:val="true"/>
        </w:rPr>
        <w:t>לבסוף מלינה המערערת על גובהם של הפיצויים שנפסקו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המשיבים מצדם </w:t>
      </w:r>
      <w:r>
        <w:rPr>
          <w:rFonts w:ascii="FrankRuehl" w:hAnsi="FrankRuehl" w:cs="FrankRuehl"/>
          <w:sz w:val="28"/>
          <w:sz w:val="28"/>
          <w:rtl w:val="true"/>
        </w:rPr>
        <w:t>מתנגד</w:t>
      </w:r>
      <w:r>
        <w:rPr>
          <w:rFonts w:ascii="FrankRuehl" w:hAnsi="FrankRuehl" w:cs="FrankRuehl"/>
          <w:sz w:val="28"/>
          <w:sz w:val="28"/>
          <w:rtl w:val="true"/>
        </w:rPr>
        <w:t>ים</w:t>
      </w:r>
      <w:r>
        <w:rPr>
          <w:rFonts w:ascii="FrankRuehl" w:hAnsi="FrankRuehl" w:cs="FrankRuehl"/>
          <w:sz w:val="28"/>
          <w:sz w:val="28"/>
          <w:rtl w:val="true"/>
        </w:rPr>
        <w:t xml:space="preserve"> ל</w:t>
      </w:r>
      <w:r>
        <w:rPr>
          <w:rFonts w:ascii="FrankRuehl" w:hAnsi="FrankRuehl" w:cs="FrankRuehl"/>
          <w:sz w:val="28"/>
          <w:sz w:val="28"/>
          <w:rtl w:val="true"/>
        </w:rPr>
        <w:t>קבלת הערעור וסומכים ידיהם</w:t>
      </w:r>
      <w:r>
        <w:rPr>
          <w:rFonts w:ascii="FrankRuehl" w:hAnsi="FrankRuehl" w:cs="FrankRuehl"/>
          <w:sz w:val="28"/>
          <w:sz w:val="28"/>
          <w:rtl w:val="true"/>
        </w:rPr>
        <w:t xml:space="preserve"> על החלטת</w:t>
      </w:r>
      <w:r>
        <w:rPr>
          <w:rFonts w:ascii="FrankRuehl" w:hAnsi="FrankRuehl" w:cs="FrankRuehl"/>
          <w:sz w:val="28"/>
          <w:sz w:val="28"/>
          <w:rtl w:val="true"/>
        </w:rPr>
        <w:t xml:space="preserve">ו של </w:t>
      </w:r>
      <w:r>
        <w:rPr>
          <w:rFonts w:ascii="FrankRuehl" w:hAnsi="FrankRuehl" w:cs="FrankRuehl"/>
          <w:sz w:val="28"/>
          <w:sz w:val="28"/>
          <w:rtl w:val="true"/>
        </w:rPr>
        <w:t>בית המשפט המחוזי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 xml:space="preserve">מדובר במקרה קלאסי המוביל לפסיקת פיצויים לפי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וזאת בשל עיוות הדין המשווע שבהגשת כתב האישום נגד המשיבים ובשים לב לפרקי הזמן שבהם שהו במעצר</w:t>
      </w:r>
      <w:r>
        <w:rPr>
          <w:rtl w:val="true"/>
        </w:rPr>
        <w:t xml:space="preserve">. </w:t>
      </w:r>
      <w:r>
        <w:rPr>
          <w:rtl w:val="true"/>
        </w:rPr>
        <w:t>המשיבים טוענים כי נימוקי הערעור מופנים למעשה נגד הכרעת הדין שבגדרה זוכו ואשר הפכה חלוטה משהמערערת לא השיגה עליה במועד</w:t>
      </w:r>
      <w:r>
        <w:rPr>
          <w:rtl w:val="true"/>
        </w:rPr>
        <w:t xml:space="preserve">, </w:t>
      </w:r>
      <w:r>
        <w:rPr>
          <w:rtl w:val="true"/>
        </w:rPr>
        <w:t>וכי אין מקום לאפשר זאת במסגרת ערעור זה על פסיקת הפיצויים למשיבים שנפגעו ממעשיה ומחדליה של המערערת</w:t>
      </w:r>
      <w:r>
        <w:rPr>
          <w:rtl w:val="true"/>
        </w:rPr>
        <w:t xml:space="preserve">. </w:t>
      </w:r>
      <w:r>
        <w:rPr>
          <w:rtl w:val="true"/>
        </w:rPr>
        <w:t>כן 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ערכאת הערעור אינה נוטה להתערב בהחלטות שעניינן פסיקת פיצויים לפי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בשולי הדברים יצוין כי במסגרת הדיון שהתקיים בפנינו ביום </w:t>
      </w:r>
      <w:r>
        <w:rPr/>
        <w:t>9.1.2020</w:t>
      </w:r>
      <w:r>
        <w:rPr>
          <w:rtl w:val="true"/>
        </w:rPr>
        <w:t xml:space="preserve">, </w:t>
      </w:r>
      <w:r>
        <w:rPr>
          <w:rtl w:val="true"/>
        </w:rPr>
        <w:t xml:space="preserve">קיבלה המערערת את המלצתנו והחליטה לחזור בה מן הערעור ככל שהוא הופנה כלפי משיב </w:t>
      </w:r>
      <w:r>
        <w:rPr/>
        <w:t>1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הדיון יתמקד רק בעניינם של משיבים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נתתי דעתי</w:t>
      </w:r>
      <w:r>
        <w:rPr>
          <w:rtl w:val="true"/>
        </w:rPr>
        <w:t xml:space="preserve"> </w:t>
      </w:r>
      <w:r>
        <w:rPr>
          <w:rtl w:val="true"/>
        </w:rPr>
        <w:t>לטענות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אֵלו שבכתב ואֵלו 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והגעתי לכלל מסקנה כי דין הערעור להתקבל</w:t>
      </w:r>
      <w:r>
        <w:rPr>
          <w:rtl w:val="true"/>
        </w:rPr>
        <w:t xml:space="preserve"> ו</w:t>
      </w:r>
      <w:r>
        <w:rPr>
          <w:rtl w:val="true"/>
        </w:rPr>
        <w:t>כך אציע לחברי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Style w:val="default"/>
          <w:rFonts w:ascii="Century" w:hAnsi="Century" w:cs="Century"/>
          <w:sz w:val="22"/>
        </w:rPr>
      </w:pPr>
      <w:r>
        <w:rPr>
          <w:rtl w:val="true"/>
        </w:rPr>
        <w:t>אין חולק על כך שהעמדה לדין כרוכה בעגמת נפש ובעלויות כספיות לא מבוטלות לנאשם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 עומד במוקד דיוננו</w:t>
      </w:r>
      <w:r>
        <w:rPr>
          <w:rtl w:val="true"/>
        </w:rPr>
        <w:t xml:space="preserve">, </w:t>
      </w:r>
      <w:r>
        <w:rPr>
          <w:rtl w:val="true"/>
        </w:rPr>
        <w:t>קובע כי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משפט שנפתח שלא דרך קובלנה וראה בית המשפט שלא היה יסוד להאשמה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שראה נסיבות אחרות המצדיקות זאת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רשאי הוא לצוות כי אוצר המדינה ישלם לנאשם הוצאות הגנתו ופיצוי על מעצרו או מאסרו בשל האשמה שממנה זוכה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או בשל אישום שבוטל לפי סעיף </w:t>
      </w:r>
      <w:r>
        <w:rPr>
          <w:rStyle w:val="default"/>
          <w:rFonts w:cs="Century" w:ascii="Century" w:hAnsi="Century"/>
        </w:rPr>
        <w:t>94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ל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[</w:t>
      </w:r>
      <w:r>
        <w:rPr>
          <w:rStyle w:val="default"/>
          <w:rFonts w:ascii="Century" w:hAnsi="Century" w:cs="Century"/>
          <w:rtl w:val="true"/>
        </w:rPr>
        <w:t>נוסח משולב</w:t>
      </w:r>
      <w:r>
        <w:rPr>
          <w:rStyle w:val="default"/>
          <w:rFonts w:cs="Century" w:ascii="Century" w:hAnsi="Century"/>
          <w:rtl w:val="true"/>
        </w:rPr>
        <w:t xml:space="preserve">], </w:t>
      </w:r>
      <w:r>
        <w:rPr>
          <w:rStyle w:val="default"/>
          <w:rFonts w:ascii="Century" w:hAnsi="Century" w:cs="Century"/>
          <w:rtl w:val="true"/>
        </w:rPr>
        <w:t>תשמ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ב–</w:t>
      </w:r>
      <w:r>
        <w:rPr>
          <w:rStyle w:val="default"/>
          <w:rFonts w:cs="Century" w:ascii="Century" w:hAnsi="Century"/>
        </w:rPr>
        <w:t>1982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בסכום שייראה לבית המשפט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במשפט שמנהל קובל רשאי בית המשפט להטיל על הקובל תשלום כאמור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Style w:val="default"/>
          <w:rFonts w:ascii="Arial TUR" w:hAnsi="Arial TUR" w:cs="Arial TUR"/>
          <w:sz w:val="22"/>
        </w:rPr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Times New Roman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זכות זו הקבועה בחוק מבקשת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לאזן בין זכויות היסוד של נאשם לחירות</w:t>
      </w:r>
      <w:r>
        <w:rPr>
          <w:rtl w:val="true"/>
        </w:rPr>
        <w:t xml:space="preserve">, </w:t>
      </w:r>
      <w:r>
        <w:rPr>
          <w:rtl w:val="true"/>
        </w:rPr>
        <w:t>לכבוד ולפרטיות שהוגבלו ונפגעו במעצר או במאסר עד שזוכה</w:t>
      </w:r>
      <w:r>
        <w:rPr>
          <w:rtl w:val="true"/>
        </w:rPr>
        <w:t xml:space="preserve">; </w:t>
      </w:r>
      <w:r>
        <w:rPr>
          <w:rtl w:val="true"/>
        </w:rPr>
        <w:t xml:space="preserve">ובין האינטרס הציבורי הקיים בהעמדתם של עבריינים לדין ובשימוש נאות בכספי ציבור </w:t>
      </w:r>
      <w:r>
        <w:rPr>
          <w:rtl w:val="true"/>
        </w:rPr>
        <w:t>(</w:t>
      </w:r>
      <w:hyperlink r:id="rId3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4466/98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דבש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נו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73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102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2003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דבש</w:t>
      </w:r>
      <w:r>
        <w:rPr>
          <w:rFonts w:cs="Times New Roman" w:ascii="Times New Roman" w:hAnsi="Times New Roman"/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10425/05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פדרמן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ברלינר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18.11.2007</w:t>
      </w:r>
      <w:r>
        <w:rPr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hyperlink r:id="rId4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7235/16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פסקאות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11.2.2018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7.11.2019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נקודת המוצא של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לחוק היא כי עצם הזיכוי בדין אינו מקנה לנאשם זכות לפיצויים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position w:val="4"/>
          <w:rtl w:val="true"/>
        </w:rPr>
        <w:t xml:space="preserve"> </w:t>
      </w:r>
      <w:r>
        <w:rPr>
          <w:rtl w:val="true"/>
        </w:rPr>
        <w:t>מנת שזו תקום נדרש קיומה של אחת משתי עילות חלופיות</w:t>
      </w:r>
      <w:r>
        <w:rPr>
          <w:rtl w:val="true"/>
        </w:rPr>
        <w:t xml:space="preserve">: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לא היה יסוד להאשמה</w:t>
      </w:r>
      <w:r>
        <w:rPr>
          <w:rtl w:val="true"/>
        </w:rPr>
        <w:t xml:space="preserve">" </w:t>
      </w:r>
      <w:r>
        <w:rPr>
          <w:rtl w:val="true"/>
        </w:rPr>
        <w:t xml:space="preserve">או כי נמצאו </w:t>
      </w:r>
      <w:r>
        <w:rPr>
          <w:rtl w:val="true"/>
        </w:rPr>
        <w:t>"</w:t>
      </w:r>
      <w:r>
        <w:rPr>
          <w:rtl w:val="true"/>
        </w:rPr>
        <w:t>נסיבות אחרות המצדיקות זאת</w:t>
      </w:r>
      <w:r>
        <w:rPr>
          <w:rtl w:val="true"/>
        </w:rPr>
        <w:t xml:space="preserve">". </w:t>
      </w:r>
      <w:r>
        <w:rPr>
          <w:rtl w:val="true"/>
        </w:rPr>
        <w:t xml:space="preserve">בהתקיים אחת משתי העילות האמורות יהיה בית המשפט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tl w:val="true"/>
        </w:rPr>
        <w:t xml:space="preserve">, </w:t>
      </w:r>
      <w:r>
        <w:rPr>
          <w:rtl w:val="true"/>
        </w:rPr>
        <w:t>אך לא חייב</w:t>
      </w:r>
      <w:r>
        <w:rPr>
          <w:rtl w:val="true"/>
        </w:rPr>
        <w:t xml:space="preserve">, </w:t>
      </w:r>
      <w:r>
        <w:rPr>
          <w:rtl w:val="true"/>
        </w:rPr>
        <w:t xml:space="preserve">להורות על פסיקת פיצוי לזכות המבקש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11024/02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מנצור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436</w:t>
      </w:r>
      <w:r>
        <w:rPr>
          <w:rtl w:val="true"/>
        </w:rPr>
        <w:t xml:space="preserve">, </w:t>
      </w:r>
      <w:r>
        <w:rPr/>
        <w:t>443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שתיאווי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6.4.2009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; </w:t>
      </w:r>
      <w:r>
        <w:rPr>
          <w:rtl w:val="true"/>
        </w:rPr>
        <w:t xml:space="preserve">בכל הנוגע לגלגוליו ולהתפתחותו של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 xml:space="preserve">בפסיקתו של בית משפט זה נקבע לא אחת כי פסיקת פיצוי לפי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הוא בגדר חריג</w:t>
      </w:r>
      <w:r>
        <w:rPr>
          <w:rtl w:val="true"/>
        </w:rPr>
        <w:t xml:space="preserve">, </w:t>
      </w:r>
      <w:r>
        <w:rPr>
          <w:rtl w:val="true"/>
        </w:rPr>
        <w:t>ופיצוי זה שמור לנסיבות מיוחדות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tl w:val="true"/>
        </w:rPr>
        <w:t>הדין בבירור לא בחר בגישה לפיה זיכוי מוביל בהכרח לקבלת פיצוי</w:t>
      </w:r>
      <w:r>
        <w:rPr>
          <w:rtl w:val="true"/>
        </w:rPr>
        <w:t>" 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הריסון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5.8.2019</w:t>
      </w:r>
      <w:r>
        <w:rPr>
          <w:rtl w:val="true"/>
        </w:rPr>
        <w:t xml:space="preserve">);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5097/10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לפסק</w:t>
      </w:r>
      <w:r>
        <w:rPr>
          <w:rFonts w:ascii="FrankRuehl" w:hAnsi="FrankRuehl" w:cs="FrankRuehl"/>
          <w:sz w:val="28"/>
          <w:sz w:val="28"/>
          <w:rtl w:val="true"/>
        </w:rPr>
        <w:t xml:space="preserve"> ד</w:t>
      </w:r>
      <w:r>
        <w:rPr>
          <w:rFonts w:ascii="FrankRuehl" w:hAnsi="FrankRuehl" w:cs="FrankRuehl"/>
          <w:sz w:val="28"/>
          <w:sz w:val="28"/>
          <w:rtl w:val="true"/>
        </w:rPr>
        <w:t xml:space="preserve">ינו של השופט </w:t>
      </w:r>
      <w:r>
        <w:rPr>
          <w:rFonts w:ascii="Miriam" w:hAnsi="Miriam" w:cs="Miriam"/>
          <w:szCs w:val="24"/>
          <w:rtl w:val="true"/>
        </w:rPr>
        <w:t>י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עמית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15.1.2013</w:t>
      </w:r>
      <w:r>
        <w:rPr>
          <w:rFonts w:cs="FrankRuehl" w:ascii="FrankRuehl" w:hAnsi="FrankRuehl"/>
          <w:sz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rtl w:val="true"/>
        </w:rPr>
        <w:t>להלן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; </w:t>
      </w:r>
      <w:hyperlink r:id="rId51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1325/19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5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19.1.2020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z w:val="22"/>
          <w:sz w:val="22"/>
          <w:rtl w:val="true"/>
        </w:rPr>
        <w:t>באשר ל</w:t>
      </w:r>
      <w:r>
        <w:rPr>
          <w:rtl w:val="true"/>
        </w:rPr>
        <w:t>עילה הראשונה</w:t>
      </w:r>
      <w:r>
        <w:rPr>
          <w:rtl w:val="true"/>
        </w:rPr>
        <w:t xml:space="preserve"> של </w:t>
      </w:r>
      <w:r>
        <w:rPr>
          <w:rtl w:val="true"/>
        </w:rPr>
        <w:t>"</w:t>
      </w:r>
      <w:r>
        <w:rPr>
          <w:rtl w:val="true"/>
        </w:rPr>
        <w:t>אין יסוד לאשמה</w:t>
      </w:r>
      <w:r>
        <w:rPr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 xml:space="preserve">נקבע כי יש לבחון באופן אובייקטיבי האם התשתית הראייתית שהונחה בפני התביעה הקימה </w:t>
      </w:r>
      <w:r>
        <w:rPr>
          <w:rtl w:val="true"/>
        </w:rPr>
        <w:t>"</w:t>
      </w:r>
      <w:r>
        <w:rPr>
          <w:rtl w:val="true"/>
        </w:rPr>
        <w:t>סיכוי סביר להרשעה</w:t>
      </w:r>
      <w:r>
        <w:rPr>
          <w:rtl w:val="true"/>
        </w:rPr>
        <w:t xml:space="preserve">", </w:t>
      </w:r>
      <w:r>
        <w:rPr>
          <w:rtl w:val="true"/>
        </w:rPr>
        <w:t>כלומר האם תובע סביר וזהיר היה מגיע למסקנה שיש מקום להגשת כתב אישום</w:t>
      </w:r>
      <w:r>
        <w:rPr>
          <w:rtl w:val="true"/>
        </w:rPr>
        <w:t xml:space="preserve">. </w:t>
      </w:r>
      <w:r>
        <w:rPr>
          <w:rtl w:val="true"/>
        </w:rPr>
        <w:t>הרף ש</w:t>
      </w:r>
      <w:r>
        <w:rPr>
          <w:rtl w:val="true"/>
        </w:rPr>
        <w:t>נקבע ב</w:t>
      </w:r>
      <w:r>
        <w:rPr>
          <w:rtl w:val="true"/>
        </w:rPr>
        <w:t xml:space="preserve">פסיקה </w:t>
      </w:r>
      <w:r>
        <w:rPr>
          <w:rtl w:val="true"/>
        </w:rPr>
        <w:t xml:space="preserve">ביחס </w:t>
      </w:r>
      <w:r>
        <w:rPr>
          <w:rtl w:val="true"/>
        </w:rPr>
        <w:t>למבחן זה הוא מחמיר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במובן זה </w:t>
      </w:r>
      <w:r>
        <w:rPr>
          <w:rtl w:val="true"/>
        </w:rPr>
        <w:t>ש</w:t>
      </w:r>
      <w:r>
        <w:rPr>
          <w:rtl w:val="true"/>
        </w:rPr>
        <w:t xml:space="preserve">יש צורך להוכיח </w:t>
      </w:r>
      <w:r>
        <w:rPr>
          <w:rtl w:val="true"/>
        </w:rPr>
        <w:t xml:space="preserve">כי </w:t>
      </w:r>
      <w:r>
        <w:rPr>
          <w:rtl w:val="true"/>
        </w:rPr>
        <w:t xml:space="preserve">מדובר במצבים חריגים במיוחד של </w:t>
      </w:r>
      <w:r>
        <w:rPr>
          <w:rtl w:val="true"/>
        </w:rPr>
        <w:t>זדון</w:t>
      </w:r>
      <w:r>
        <w:rPr>
          <w:rtl w:val="true"/>
        </w:rPr>
        <w:t xml:space="preserve">, </w:t>
      </w:r>
      <w:r>
        <w:rPr>
          <w:rtl w:val="true"/>
        </w:rPr>
        <w:t>חוסר תום לב</w:t>
      </w:r>
      <w:r>
        <w:rPr>
          <w:rtl w:val="true"/>
        </w:rPr>
        <w:t xml:space="preserve">, </w:t>
      </w:r>
      <w:r>
        <w:rPr>
          <w:rtl w:val="true"/>
        </w:rPr>
        <w:t>רשלנות חמורה או אי</w:t>
      </w:r>
      <w:r>
        <w:rPr>
          <w:rtl w:val="true"/>
        </w:rPr>
        <w:t>-</w:t>
      </w:r>
      <w:r>
        <w:rPr>
          <w:rtl w:val="true"/>
        </w:rPr>
        <w:t xml:space="preserve">סבירות מהותית ובולטת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בוגנים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 של השופט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ח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מלצר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העילה השנייה</w:t>
      </w:r>
      <w:r>
        <w:rPr>
          <w:rtl w:val="true"/>
        </w:rPr>
        <w:t xml:space="preserve">, </w:t>
      </w:r>
      <w:r>
        <w:rPr>
          <w:rtl w:val="true"/>
        </w:rPr>
        <w:t xml:space="preserve">שעניינה </w:t>
      </w:r>
      <w:r>
        <w:rPr>
          <w:rtl w:val="true"/>
        </w:rPr>
        <w:t>"</w:t>
      </w:r>
      <w:r>
        <w:rPr>
          <w:rtl w:val="true"/>
        </w:rPr>
        <w:t>נסיבות אחרות המצדיקות זאת</w:t>
      </w:r>
      <w:r>
        <w:rPr>
          <w:rtl w:val="true"/>
        </w:rPr>
        <w:t xml:space="preserve">", </w:t>
      </w:r>
      <w:r>
        <w:rPr>
          <w:rtl w:val="true"/>
        </w:rPr>
        <w:t>מתייחסת למצב שבו נגרם עוול לנאשם שזוכה</w:t>
      </w:r>
      <w:r>
        <w:rPr>
          <w:rtl w:val="true"/>
        </w:rPr>
        <w:t xml:space="preserve">, </w:t>
      </w:r>
      <w:r>
        <w:rPr>
          <w:rtl w:val="true"/>
        </w:rPr>
        <w:t xml:space="preserve">על אף שמלכתחילה היה יסוד להגשת כתב האישום נגדו </w:t>
      </w:r>
      <w:r>
        <w:rPr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8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לא אחת נקבע כי עילה זו נוסחה מלכתחילה באופן רחב ועמום</w:t>
      </w:r>
      <w:r>
        <w:rPr>
          <w:rtl w:val="true"/>
        </w:rPr>
        <w:t xml:space="preserve">, </w:t>
      </w:r>
      <w:r>
        <w:rPr>
          <w:rtl w:val="true"/>
        </w:rPr>
        <w:t xml:space="preserve">וזאת על מנת להקנות לבית המשפט שיקול דעת שאיננו תחום ברשימה סגורה של מקרים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7826/96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רייש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, </w:t>
      </w:r>
      <w:r>
        <w:rPr/>
        <w:t>497-496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כהן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נקבעו בפסיקה קווים מנחים וקטגוריות כלליות בכל הנוגע להיקפה של עילה זו</w:t>
      </w:r>
      <w:r>
        <w:rPr>
          <w:rtl w:val="true"/>
        </w:rPr>
        <w:t xml:space="preserve">, </w:t>
      </w:r>
      <w:r>
        <w:rPr>
          <w:rtl w:val="true"/>
        </w:rPr>
        <w:t>אשר מתפרשת על פני שלושה סוגים של עניינים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נסיבות הנוגעות להליך המשפטי עצמו</w:t>
      </w:r>
      <w:r>
        <w:rPr>
          <w:rtl w:val="true"/>
        </w:rPr>
        <w:t>;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טיב זיכויו של הנאשם</w:t>
      </w:r>
      <w:r>
        <w:rPr>
          <w:rtl w:val="true"/>
        </w:rPr>
        <w:t>;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נסיבות אישיות של הנאשם שזוכה – כגון פגיעה בבריאותו</w:t>
      </w:r>
      <w:r>
        <w:rPr>
          <w:rtl w:val="true"/>
        </w:rPr>
        <w:t xml:space="preserve">, </w:t>
      </w:r>
      <w:r>
        <w:rPr>
          <w:rtl w:val="true"/>
        </w:rPr>
        <w:t>בשמו הטוב</w:t>
      </w:r>
      <w:r>
        <w:rPr>
          <w:rtl w:val="true"/>
        </w:rPr>
        <w:t xml:space="preserve">, </w:t>
      </w:r>
      <w:r>
        <w:rPr>
          <w:rtl w:val="true"/>
        </w:rPr>
        <w:t xml:space="preserve">במשפחתו וכדומה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4492/01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עשור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734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דבש</w:t>
      </w:r>
      <w:r>
        <w:rPr>
          <w:rtl w:val="true"/>
        </w:rPr>
        <w:t>,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 xml:space="preserve">עמוד </w:t>
      </w:r>
      <w:r>
        <w:rPr/>
        <w:t>118</w:t>
      </w:r>
      <w:r>
        <w:rPr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כהן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לצד קטגוריות אלו התפתחו בפסיקה מבחני משנה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: </w:t>
      </w:r>
      <w:r>
        <w:rPr>
          <w:rtl w:val="true"/>
        </w:rPr>
        <w:t xml:space="preserve">התנהלות המשטרה והתביעה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האם התנהלו באופן זדוני או רשלני</w:t>
      </w:r>
      <w:r>
        <w:rPr>
          <w:rtl w:val="true"/>
        </w:rPr>
        <w:t xml:space="preserve">); </w:t>
      </w:r>
      <w:r>
        <w:rPr>
          <w:rtl w:val="true"/>
        </w:rPr>
        <w:t xml:space="preserve">התנהגות הנאשם בחקירתו או במהלך משפט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האם הנאשם שיקר או שמר על זכות השתיקה</w:t>
      </w:r>
      <w:r>
        <w:rPr>
          <w:rtl w:val="true"/>
        </w:rPr>
        <w:t xml:space="preserve">); </w:t>
      </w:r>
      <w:r>
        <w:rPr>
          <w:rtl w:val="true"/>
        </w:rPr>
        <w:t xml:space="preserve">סוג העבירה וחומרתה והעונש לו הנאשם היה צפוי אלמלא זוכה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1442/12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26.2.2013</w:t>
      </w:r>
      <w:r>
        <w:rPr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13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בפסיקה גם נודעה חשיבות לכך שהמותב שניהל את ההליך הפלילי ואשר מצוי בפרטי המקרה</w:t>
      </w:r>
      <w:r>
        <w:rPr>
          <w:rtl w:val="true"/>
        </w:rPr>
        <w:t xml:space="preserve">, </w:t>
      </w:r>
      <w:r>
        <w:rPr>
          <w:rtl w:val="true"/>
        </w:rPr>
        <w:t>יהיה זה שידון בבקשה לפסיקת הפיצויים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ערכאת הערעור תיטה שלא להתערב בהחלטת הערכאה הדיונית בכל הנוגע לפסיקת הפיצויים </w:t>
      </w:r>
      <w:r>
        <w:rPr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כהן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10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והאסמכתאות </w:t>
      </w:r>
      <w:r>
        <w:rPr>
          <w:rtl w:val="true"/>
        </w:rPr>
        <w:t>שם</w:t>
      </w:r>
      <w:r>
        <w:rPr>
          <w:rFonts w:cs="FrankRuehl" w:ascii="FrankRuehl" w:hAnsi="FrankRuehl"/>
          <w:sz w:val="28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סבורני כי </w:t>
      </w:r>
      <w:r>
        <w:rPr>
          <w:rtl w:val="true"/>
        </w:rPr>
        <w:t xml:space="preserve">המקרה דנן </w:t>
      </w:r>
      <w:r>
        <w:rPr>
          <w:rtl w:val="true"/>
        </w:rPr>
        <w:t>בא בגדרם של אותם מצבים חריגים המצדיקים את התערבותה של ערכאת הערעור</w:t>
      </w:r>
      <w:r>
        <w:rPr>
          <w:rtl w:val="true"/>
        </w:rPr>
        <w:t xml:space="preserve"> בהחלטה שעניינה פסיקת פיצויים לפי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ואבהיר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בהחלטתו מיום </w:t>
      </w:r>
      <w:r>
        <w:rPr/>
        <w:t>3.7.2014</w:t>
      </w:r>
      <w:r>
        <w:rPr>
          <w:rtl w:val="true"/>
        </w:rPr>
        <w:t xml:space="preserve"> </w:t>
      </w:r>
      <w:r>
        <w:rPr>
          <w:rtl w:val="true"/>
        </w:rPr>
        <w:t>בבקשת המערערת למעצר הנאשמים עד לתום ההליכים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מפורשות כי ישנן ראיות לכאורה לכך שהנאשמים</w:t>
      </w:r>
      <w:r>
        <w:rPr>
          <w:rtl w:val="true"/>
        </w:rPr>
        <w:t xml:space="preserve">, </w:t>
      </w:r>
      <w:r>
        <w:rPr>
          <w:rtl w:val="true"/>
        </w:rPr>
        <w:t xml:space="preserve">ובכללם משיבים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ביצעו את המיוחס להם בכתב האישום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tl w:val="true"/>
        </w:rPr>
        <w:t xml:space="preserve">). </w:t>
      </w:r>
      <w:r>
        <w:rPr>
          <w:rtl w:val="true"/>
        </w:rPr>
        <w:t xml:space="preserve">בשלב מאוחר יותר שיחרר בית המשפט את משיבים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למעצר בית בתנאים מגבילים</w:t>
      </w:r>
      <w:r>
        <w:rPr>
          <w:rtl w:val="true"/>
        </w:rPr>
        <w:t xml:space="preserve">, </w:t>
      </w:r>
      <w:r>
        <w:rPr>
          <w:rtl w:val="true"/>
        </w:rPr>
        <w:t xml:space="preserve">אך ערר שהוגש בעניינו של 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לבית משפט זה התקבל ובגדרו נקבע כי הלה לא נתן הסבר לראיות שנאספו נגדו וכי קיימות די ראיות לכאורה להוכחת המיוחס לו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להחלטה בערר</w:t>
      </w:r>
      <w:r>
        <w:rPr>
          <w:rtl w:val="true"/>
        </w:rPr>
        <w:t xml:space="preserve">). </w:t>
      </w:r>
      <w:r>
        <w:rPr>
          <w:rtl w:val="true"/>
        </w:rPr>
        <w:t>למקרא קביעות אלו</w:t>
      </w:r>
      <w:r>
        <w:rPr>
          <w:rtl w:val="true"/>
        </w:rPr>
        <w:t xml:space="preserve">, </w:t>
      </w:r>
      <w:r>
        <w:rPr>
          <w:rtl w:val="true"/>
        </w:rPr>
        <w:t>קשה לומר כי הגשתו של כתב האישום לקתה באי</w:t>
      </w:r>
      <w:r>
        <w:rPr>
          <w:rtl w:val="true"/>
        </w:rPr>
        <w:t>-</w:t>
      </w:r>
      <w:r>
        <w:rPr>
          <w:rtl w:val="true"/>
        </w:rPr>
        <w:t>סבירות מהותית ובולטת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קביעות אלו</w:t>
      </w:r>
      <w:r>
        <w:rPr>
          <w:rtl w:val="true"/>
        </w:rPr>
        <w:t xml:space="preserve">, </w:t>
      </w:r>
      <w:r>
        <w:rPr>
          <w:rtl w:val="true"/>
        </w:rPr>
        <w:t>אשר נראה כי לא הובאו בחשבון במידה הנדרשת בהחלטתו של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אינן מאפשרות לבסס את קיומה של העילה הראשונה הנזכרת </w:t>
      </w:r>
      <w:hyperlink r:id="rId5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). </w:t>
      </w:r>
      <w:r>
        <w:rPr>
          <w:rtl w:val="true"/>
        </w:rPr>
        <w:t xml:space="preserve">כבר נקבע בהקשר זה כי במסגרת הכרעתו בעילה הראשונה על בית המשפט לתת </w:t>
      </w:r>
      <w:r>
        <w:rPr>
          <w:rFonts w:ascii="FrankRuehl" w:hAnsi="FrankRuehl" w:cs="FrankRuehl"/>
          <w:rtl w:val="true"/>
        </w:rPr>
        <w:t>דעתו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בין היתר</w:t>
      </w:r>
      <w:r>
        <w:rPr>
          <w:rFonts w:cs="FrankRuehl" w:ascii="FrankRuehl" w:hAnsi="FrankRuehl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ל</w:t>
      </w:r>
      <w:r>
        <w:rPr>
          <w:rFonts w:ascii="FrankRuehl" w:hAnsi="FrankRuehl" w:cs="FrankRuehl"/>
          <w:rtl w:val="true"/>
        </w:rPr>
        <w:t>הנמקות שניתנו בהחלטות לעצור את הנאשם עד תום ההליכים נגדו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בוגנים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פסקה </w:t>
      </w:r>
      <w:r>
        <w:rPr>
          <w:rFonts w:cs="FrankRuehl" w:ascii="FrankRuehl" w:hAnsi="FrankRuehl"/>
        </w:rPr>
        <w:t>18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לפסק דינו של השופט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כתוארו אז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ח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). </w:t>
      </w:r>
      <w:r>
        <w:rPr>
          <w:rFonts w:ascii="FrankRuehl" w:hAnsi="FrankRuehl" w:cs="FrankRuehl"/>
          <w:rtl w:val="true"/>
        </w:rPr>
        <w:t>זאת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מן הטעם שלעיתים יש בהחלטות אלה 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כדי לאשש את סבירותה של ההחלטה בדבר הגשתו של כתב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>האישום</w:t>
      </w:r>
      <w:r>
        <w:rPr>
          <w:rFonts w:cs="FrankRuehl" w:ascii="FrankRuehl" w:hAnsi="FrankRuehl"/>
          <w:rtl w:val="true"/>
        </w:rPr>
        <w:t>" (</w:t>
      </w:r>
      <w:hyperlink r:id="rId5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1767/94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יוסף 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 נג</w:t>
        </w:r>
      </w:hyperlink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cs="FrankRuehl" w:ascii="FrankRuehl" w:hAnsi="FrankRuehl"/>
        </w:rPr>
        <w:t>505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517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cs="FrankRuehl" w:ascii="FrankRuehl" w:hAnsi="FrankRuehl"/>
        </w:rPr>
        <w:t>1999</w:t>
      </w:r>
      <w:r>
        <w:rPr>
          <w:rFonts w:cs="FrankRuehl" w:ascii="FrankRuehl" w:hAnsi="FrankRuehl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חשוב לציין עוד כי כתב האישום הוגש על סמך חומר הראיות שעמד בפני המערערת באותה עת</w:t>
      </w:r>
      <w:r>
        <w:rPr>
          <w:rtl w:val="true"/>
        </w:rPr>
        <w:t xml:space="preserve">. </w:t>
      </w:r>
      <w:r>
        <w:rPr>
          <w:rtl w:val="true"/>
        </w:rPr>
        <w:t>מן ההחלטה בערר עולה כי חומר זה כלל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>, "</w:t>
      </w:r>
      <w:r>
        <w:rPr>
          <w:rtl w:val="true"/>
        </w:rPr>
        <w:t>תיעוד חזותי של המפגש בין הנאשמים לבין מתן שצולם באמצעות מצלמות האבטחה המותקנות במשרד השליחויות</w:t>
      </w:r>
      <w:r>
        <w:rPr>
          <w:rtl w:val="true"/>
        </w:rPr>
        <w:t xml:space="preserve">; </w:t>
      </w:r>
      <w:r>
        <w:rPr>
          <w:rtl w:val="true"/>
        </w:rPr>
        <w:t xml:space="preserve">הודעותיהם של שניים </w:t>
      </w:r>
      <w:r>
        <w:rPr>
          <w:rtl w:val="true"/>
        </w:rPr>
        <w:t xml:space="preserve">[...] </w:t>
      </w:r>
      <w:r>
        <w:rPr>
          <w:rtl w:val="true"/>
        </w:rPr>
        <w:t>שנכחו במקום בעת המפגש</w:t>
      </w:r>
      <w:r>
        <w:rPr>
          <w:rtl w:val="true"/>
        </w:rPr>
        <w:t xml:space="preserve">, </w:t>
      </w:r>
      <w:r>
        <w:rPr>
          <w:rtl w:val="true"/>
        </w:rPr>
        <w:t xml:space="preserve">שמהן ניתן ללמוד על שנאמר בו </w:t>
      </w:r>
      <w:r>
        <w:rPr>
          <w:rtl w:val="true"/>
        </w:rPr>
        <w:t xml:space="preserve">[...]; </w:t>
      </w:r>
      <w:r>
        <w:rPr>
          <w:rtl w:val="true"/>
        </w:rPr>
        <w:t>הודעותיו של מתן במשטרה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להחלטה בערר</w:t>
      </w:r>
      <w:r>
        <w:rPr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באותה שעה לא עמד בפני המערערת הסבר חלופי לאותן ראיות מפני שמשיבים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שתקו בחקירותיהם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שם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כפי שציינתי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לעיתים עלול שיקול הדעת הראשוני של התביעה להתברר בדיעבד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שלב הבירור המשפטי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כשגוי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במקרים נוספים עלולות לחול התפתחויות ראייתיות בשלב המשפט המשנות את התמונה הראייתית שהייתה ידועה בפתיחת ההליך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ישנם גם מקרים שבהם עשוי בית המשפט להגיע למסקנה שונה מזו של התביעה באשר למסקנה המתבקשת ממכלול הראיות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בכל המקרים האמורים לא יהיה בזיכוי הנאשם כשלעצמו כדי להצביע על כך שההחלטה להעמידו לדין מלכתחילה הייתה בלתי סבירה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בהינתן שבטרם קבלת ההחלטה נשקלו שיקולים עניינים ונערכה בדיקה קפדנית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מקיפה ומקצועית של חומר הראיות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tl w:val="true"/>
        </w:rPr>
        <w:t>האמור עד כה מוליך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אל המסקנה כי בענייננו עמדה בפני המערערת תשתית ראייתית לכאורית שדי היה בה על מנת להגיש את כתב האישום ואף כדי לנהל את ההליך עצמו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בוגנים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 xml:space="preserve">משלא ניתן לומר כי עסקינן </w:t>
      </w:r>
      <w:r>
        <w:rPr>
          <w:rFonts w:ascii="FrankRuehl" w:hAnsi="FrankRuehl" w:cs="FrankRuehl"/>
          <w:sz w:val="28"/>
          <w:sz w:val="28"/>
          <w:rtl w:val="true"/>
        </w:rPr>
        <w:t>במקרה שבו נתגלתה רשלנות חמורה או חוסר תום לב בהתנהלות התביעה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וממילא כי לא היה מקום להגיש כתב אישום כנגד </w:t>
      </w:r>
      <w:r>
        <w:rPr>
          <w:rtl w:val="true"/>
        </w:rPr>
        <w:t xml:space="preserve">משיבים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הרי שהעילה הראשונה אינה מתקיימת ביחס </w:t>
      </w:r>
      <w:r>
        <w:rPr>
          <w:rtl w:val="true"/>
        </w:rPr>
        <w:t>אליהם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לעילה השנייה</w:t>
      </w:r>
      <w:r>
        <w:rPr>
          <w:rtl w:val="true"/>
        </w:rPr>
        <w:t xml:space="preserve">, </w:t>
      </w:r>
      <w:r>
        <w:rPr>
          <w:rtl w:val="true"/>
        </w:rPr>
        <w:t>שעניינה נסיבות אחרות המצדיקות פסיקת פיצויים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אחד הטעמים שבגינו זיכה בית המשפט המחוזי את המשיבים הוא </w:t>
      </w:r>
      <w:r>
        <w:rPr>
          <w:rFonts w:ascii="Century" w:hAnsi="Century" w:cs="Century"/>
          <w:rtl w:val="true"/>
        </w:rPr>
        <w:t>הגנה מן 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על רקע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יחס האיפה והאיפה של המשטרה והתביעה כלפי הגנבים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מצד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שהיחס אליהם היה סלחני באופן קיצוני ובלתי מובן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היחס המחמיר ולא מוצדק כלפי בעל הפיצוצייה שכספו נגנב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מצד שני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התייחס בהקשר זה לענישה המקלה שהושתה על מתן וחבריו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יסוד טעם זה מצא כי יש לפצות את המשיבים גם על בסיס העילה השנייה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למקרא הכרעת הדין עולה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כי בהכריעו בטענת ההגנה מן הצדק הכין בית משפט קמא מראש את הקרקע להכרעה בבקשות מכוח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במסגרת הנמקתו את זכאות המשיבים לפיצוי מכוח העילה השנייה אף הדגיש בית המשפט פעם אחר פעם כי המערערת פעלה באופן לקוי במובן זה שהקלה עם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הגנבים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והחמירה עם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בעל הכסף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האופן שבו יישם בית המשפט את הנמקתו לפיצוי המשיבים מכוח העילה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קשה בעיניי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שעולה באופן מפורש מלשון קביעותיו של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הנמקה זו רלוונטית לכל היותר למשיב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שהיה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בלשונו של בית משפט קמא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בעל הפיצוצייה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-"</w:t>
      </w:r>
      <w:r>
        <w:rPr>
          <w:rFonts w:ascii="Century" w:hAnsi="Century" w:cs="Century"/>
          <w:rtl w:val="true"/>
        </w:rPr>
        <w:t>בעל הכסף</w:t>
      </w:r>
      <w:r>
        <w:rPr>
          <w:rFonts w:cs="Century" w:ascii="Century" w:hAnsi="Century"/>
          <w:rtl w:val="true"/>
        </w:rPr>
        <w:t xml:space="preserve">") </w:t>
      </w:r>
      <w:r>
        <w:rPr>
          <w:rFonts w:ascii="Century" w:hAnsi="Century" w:cs="Century"/>
          <w:rtl w:val="true"/>
        </w:rPr>
        <w:t>כמי שממנו נגנב הכסף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ברור כיצד יש בהנמקה זו כדי להוביל לפסיקת פיצוי לזכותם של משיבים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בסיס העילה השנייה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די בכך כדי לקבוע כי לא עומדת למשיבים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זכות לפסיקת פיצויים גם בשל עילה זו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בית משפט קמא זיכה את הנאשמים מן העבירות שיוחסו להם בכתב האישום</w:t>
      </w:r>
      <w:r>
        <w:rPr>
          <w:rtl w:val="true"/>
        </w:rPr>
        <w:t xml:space="preserve">, </w:t>
      </w:r>
      <w:r>
        <w:rPr>
          <w:rtl w:val="true"/>
        </w:rPr>
        <w:t>בהדגישו כי הזיכוי הוא מלא ומוחלט</w:t>
      </w:r>
      <w:r>
        <w:rPr>
          <w:rtl w:val="true"/>
        </w:rPr>
        <w:t xml:space="preserve">. </w:t>
      </w:r>
      <w:r>
        <w:rPr>
          <w:rtl w:val="true"/>
        </w:rPr>
        <w:t>קביעה זו שזורה כחוט השני לאורך הכרעת הדין וההחלטה בבקשות הפיצויים</w:t>
      </w:r>
      <w:r>
        <w:rPr>
          <w:rtl w:val="true"/>
        </w:rPr>
        <w:t xml:space="preserve">. </w:t>
      </w:r>
      <w:r>
        <w:rPr>
          <w:rtl w:val="true"/>
        </w:rPr>
        <w:t xml:space="preserve">מכך לא ניתן להתעלם וכיום לא ניתן לחלוק על טיב זיכויים של משיבים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אציין כי מקובלת עליי בעניין זה טענתם של המשיבים כי המערערת לא השיגה על הכרעת הדין ומשכך אין מקום לאפשר לה לחתור תחתיו באמצעות הערעור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אשר מופנה אך כלפי ההחלטה בבקשות לפי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 מבלי לפגוע בזיכויים של המשיבים</w:t>
      </w:r>
      <w:r>
        <w:rPr>
          <w:rtl w:val="true"/>
        </w:rPr>
        <w:t xml:space="preserve">, </w:t>
      </w:r>
      <w:r>
        <w:rPr>
          <w:rtl w:val="true"/>
        </w:rPr>
        <w:t>אשר כאמור התבסס על מספר טעמים</w:t>
      </w:r>
      <w:r>
        <w:rPr>
          <w:rtl w:val="true"/>
        </w:rPr>
        <w:t xml:space="preserve">, </w:t>
      </w:r>
      <w:r>
        <w:rPr>
          <w:rtl w:val="true"/>
        </w:rPr>
        <w:t>מצאתי לנכון להעיר מספר הערות בבחינת למעלה מן הצורך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למשיב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עמדה הזכות לפעול באופן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חוקי</w:t>
      </w:r>
      <w:r>
        <w:rPr>
          <w:rtl w:val="true"/>
        </w:rPr>
        <w:t xml:space="preserve"> להשבת כספו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ת אף </w:t>
      </w:r>
      <w:r>
        <w:rPr>
          <w:rtl w:val="true"/>
        </w:rPr>
        <w:t>בחר</w:t>
      </w:r>
      <w:r>
        <w:rPr>
          <w:rtl w:val="true"/>
        </w:rPr>
        <w:t>ה</w:t>
      </w:r>
      <w:r>
        <w:rPr>
          <w:rtl w:val="true"/>
        </w:rPr>
        <w:t xml:space="preserve"> להתמקד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הצעתנו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ערעורם של משיבים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 xml:space="preserve">ההבחנה בין 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שכספו נגזל</w:t>
      </w:r>
      <w:r>
        <w:rPr>
          <w:rtl w:val="true"/>
        </w:rPr>
        <w:t xml:space="preserve">, </w:t>
      </w:r>
      <w:r>
        <w:rPr>
          <w:rtl w:val="true"/>
        </w:rPr>
        <w:t xml:space="preserve">לבין משיבים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נעוצה לא רק בכך שהוא היה הקורבן הישיר</w:t>
      </w:r>
      <w:r>
        <w:rPr>
          <w:rtl w:val="true"/>
        </w:rPr>
        <w:t xml:space="preserve">, </w:t>
      </w:r>
      <w:r>
        <w:rPr>
          <w:rtl w:val="true"/>
        </w:rPr>
        <w:t>להבדיל ממי שהתגייס לפעול בכוח הזרוע לטובתו של אחר</w:t>
      </w:r>
      <w:r>
        <w:rPr>
          <w:rtl w:val="true"/>
        </w:rPr>
        <w:t xml:space="preserve">, </w:t>
      </w:r>
      <w:r>
        <w:rPr>
          <w:rtl w:val="true"/>
        </w:rPr>
        <w:t>אלא גם בכך שהסדר הטיעון שעשתה המדינה עם הגזלנים לא כלל התייחסות כלשהי להחזר הכספים או לפיצויו</w:t>
      </w:r>
      <w:r>
        <w:rPr>
          <w:rtl w:val="true"/>
        </w:rPr>
        <w:t xml:space="preserve">. </w:t>
      </w:r>
      <w:r>
        <w:rPr>
          <w:rtl w:val="true"/>
        </w:rPr>
        <w:t>עם זאת וכפי שטענה המערערת</w:t>
      </w:r>
      <w:r>
        <w:rPr>
          <w:rtl w:val="true"/>
        </w:rPr>
        <w:t xml:space="preserve">, </w:t>
      </w:r>
      <w:r>
        <w:rPr>
          <w:rtl w:val="true"/>
        </w:rPr>
        <w:t>ספק בעיניי אם היה מקום להחיל את הקביעות הנורמטיביות בנוגע לעשיית דין עצמי לגבי המשיבים כולם</w:t>
      </w:r>
      <w:r>
        <w:rPr>
          <w:rtl w:val="true"/>
        </w:rPr>
        <w:t xml:space="preserve">. </w:t>
      </w:r>
      <w:r>
        <w:rPr>
          <w:rtl w:val="true"/>
        </w:rPr>
        <w:t xml:space="preserve">לגבי 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אשר לא הסתפק בעשיית דין </w:t>
      </w:r>
      <w:r>
        <w:rPr>
          <w:rtl w:val="true"/>
        </w:rPr>
        <w:t>"</w:t>
      </w:r>
      <w:r>
        <w:rPr>
          <w:rtl w:val="true"/>
        </w:rPr>
        <w:t>עצמית</w:t>
      </w:r>
      <w:r>
        <w:rPr>
          <w:rtl w:val="true"/>
        </w:rPr>
        <w:t xml:space="preserve">" </w:t>
      </w:r>
      <w:r>
        <w:rPr>
          <w:rtl w:val="true"/>
        </w:rPr>
        <w:t>אלא נעזר בחבריו</w:t>
      </w:r>
      <w:r>
        <w:rPr>
          <w:rtl w:val="true"/>
        </w:rPr>
        <w:t xml:space="preserve">, </w:t>
      </w:r>
      <w:r>
        <w:rPr>
          <w:rtl w:val="true"/>
        </w:rPr>
        <w:t>יתר הנאשמים</w:t>
      </w:r>
      <w:r>
        <w:rPr>
          <w:rtl w:val="true"/>
        </w:rPr>
        <w:t xml:space="preserve">. </w:t>
      </w:r>
      <w:r>
        <w:rPr>
          <w:rtl w:val="true"/>
        </w:rPr>
        <w:t xml:space="preserve">לגבי משיבים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שכזכור לא היו בעליו של הכסף שנגזל ועל כן לא הייתה להם כל הצדקה </w:t>
      </w:r>
      <w:r>
        <w:rPr>
          <w:rtl w:val="true"/>
        </w:rPr>
        <w:t>"</w:t>
      </w:r>
      <w:r>
        <w:rPr>
          <w:rtl w:val="true"/>
        </w:rPr>
        <w:t>להושיט עזרה</w:t>
      </w:r>
      <w:r>
        <w:rPr>
          <w:rtl w:val="true"/>
        </w:rPr>
        <w:t xml:space="preserve">" </w:t>
      </w:r>
      <w:r>
        <w:rPr>
          <w:rtl w:val="true"/>
        </w:rPr>
        <w:t xml:space="preserve">למשיב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בדמות </w:t>
      </w:r>
      <w:r>
        <w:rPr>
          <w:rtl w:val="true"/>
        </w:rPr>
        <w:t>"</w:t>
      </w:r>
      <w:r>
        <w:rPr>
          <w:rtl w:val="true"/>
        </w:rPr>
        <w:t>פנייה</w:t>
      </w:r>
      <w:r>
        <w:rPr>
          <w:rtl w:val="true"/>
        </w:rPr>
        <w:t xml:space="preserve">" </w:t>
      </w:r>
      <w:r>
        <w:rPr>
          <w:rtl w:val="true"/>
        </w:rPr>
        <w:t>למתן וחבריו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הכרעת דינו של בית המשפט המחוזי נדירה בהיקפה</w:t>
      </w:r>
      <w:r>
        <w:rPr>
          <w:rtl w:val="true"/>
        </w:rPr>
        <w:t xml:space="preserve">, </w:t>
      </w:r>
      <w:r>
        <w:rPr>
          <w:rtl w:val="true"/>
        </w:rPr>
        <w:t xml:space="preserve">אך אין מנוס מלהסתייג מן האמירה שנכללה בה </w:t>
      </w:r>
      <w:r>
        <w:rPr>
          <w:rFonts w:ascii="Century" w:hAnsi="Century" w:cs="Century"/>
          <w:rtl w:val="true"/>
        </w:rPr>
        <w:t xml:space="preserve">לפיה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החינוכי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שגזלו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לנקוט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שנקטו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הגנבים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>בפסיקתנו עמדנו לא פעם על כך שפתרון סכסוכים בדרכי אלימות ועשיית דין עצמי מבטא</w:t>
      </w:r>
      <w:r>
        <w:rPr>
          <w:sz w:val="28"/>
          <w:sz w:val="28"/>
          <w:rtl w:val="true"/>
        </w:rPr>
        <w:t>ים</w:t>
      </w:r>
      <w:r>
        <w:rPr>
          <w:sz w:val="28"/>
          <w:sz w:val="28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רק זלזול בערך חיי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בכל אותם יסודות שקיומה של חברה מתוקנת תלוי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מחובתו של בית המשפט לשרש התנהגות מעין זו לאור השלכותיה הרות האסון</w:t>
      </w:r>
      <w:r>
        <w:rPr>
          <w:rFonts w:cs="Century" w:ascii="Century" w:hAnsi="Century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6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1645/08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3.9.2009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עוד 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3863/09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10.11.2009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2951/12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ביאדסה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2.8.2012</w:t>
      </w:r>
      <w:r>
        <w:rPr>
          <w:rFonts w:cs="Century" w:ascii="Century" w:hAnsi="Century"/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sz w:val="28"/>
          <w:sz w:val="28"/>
          <w:rtl w:val="true"/>
        </w:rPr>
        <w:t xml:space="preserve"> נכוחים</w:t>
      </w:r>
      <w:r>
        <w:rPr>
          <w:sz w:val="28"/>
          <w:sz w:val="28"/>
          <w:rtl w:val="true"/>
        </w:rPr>
        <w:t xml:space="preserve"> 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שלכאורה הם </w:t>
      </w:r>
      <w:r>
        <w:rPr>
          <w:sz w:val="28"/>
          <w:sz w:val="28"/>
          <w:rtl w:val="true"/>
        </w:rPr>
        <w:t>טריוויאליים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לצערנו אינם מחלחלים תדיר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אך אילולא כן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איש את רעהו חיים בלעו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 xml:space="preserve">משנה </w:t>
      </w:r>
      <w:r>
        <w:rPr>
          <w:rFonts w:ascii="Miriam" w:hAnsi="Miriam" w:cs="Miriam"/>
          <w:sz w:val="28"/>
          <w:sz w:val="28"/>
          <w:szCs w:val="24"/>
          <w:rtl w:val="true"/>
        </w:rPr>
        <w:t>אבות</w:t>
      </w:r>
      <w:r>
        <w:rPr>
          <w:sz w:val="28"/>
          <w:sz w:val="28"/>
          <w:rtl w:val="true"/>
        </w:rPr>
        <w:t xml:space="preserve"> ג</w:t>
      </w:r>
      <w:r>
        <w:rPr>
          <w:sz w:val="28"/>
          <w:rtl w:val="true"/>
        </w:rPr>
        <w:t xml:space="preserve">',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').</w:t>
      </w:r>
      <w:r>
        <w:rPr>
          <w:sz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משאלו הם פני הדברים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אציע לחברי</w:t>
      </w:r>
      <w:r>
        <w:rPr>
          <w:rFonts w:ascii="FrankRuehl" w:hAnsi="FrankRuehl"/>
          <w:sz w:val="28"/>
          <w:sz w:val="28"/>
          <w:rtl w:val="true"/>
        </w:rPr>
        <w:t>י</w:t>
      </w:r>
      <w:r>
        <w:rPr>
          <w:rFonts w:ascii="FrankRuehl" w:hAnsi="FrankRuehl"/>
          <w:sz w:val="28"/>
          <w:sz w:val="28"/>
          <w:rtl w:val="true"/>
        </w:rPr>
        <w:t xml:space="preserve"> לקבל את </w:t>
      </w:r>
      <w:r>
        <w:rPr>
          <w:rFonts w:ascii="FrankRuehl" w:hAnsi="FrankRuehl"/>
          <w:sz w:val="28"/>
          <w:sz w:val="28"/>
          <w:rtl w:val="true"/>
        </w:rPr>
        <w:t xml:space="preserve">הערעור </w:t>
      </w:r>
      <w:r>
        <w:rPr>
          <w:rFonts w:ascii="Century" w:hAnsi="Century" w:cs="Century"/>
          <w:rtl w:val="true"/>
        </w:rPr>
        <w:t xml:space="preserve">במובן זה שהחלטתו של בית המשפט המחוזי בכל הנוגע למשיבים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תבוטל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ארז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שטיין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bookmarkStart w:id="20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2.2.2020</w:t>
      </w:r>
      <w:r>
        <w:rPr>
          <w:rtl w:val="true"/>
        </w:rPr>
        <w:t xml:space="preserve">). </w:t>
      </w:r>
      <w:bookmarkEnd w:id="2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19058510</w:t>
      </w:r>
      <w:r>
        <w:rPr>
          <w:sz w:val="16"/>
          <w:rtl w:val="true"/>
        </w:rPr>
        <w:t>_</w:t>
      </w:r>
      <w:r>
        <w:rPr>
          <w:sz w:val="16"/>
        </w:rPr>
        <w:t>N07.docx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54678313-5851/19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9"/>
      <w:footerReference w:type="default" r:id="rId7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5851/19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אהוד אברג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BODYPROTOCOL">
    <w:name w:val="BODY PROTOCOL"/>
    <w:basedOn w:val="Normal"/>
    <w:qFormat/>
    <w:pPr>
      <w:overflowPunct w:val="true"/>
      <w:spacing w:lineRule="auto" w:line="360"/>
      <w:jc w:val="both"/>
      <w:textAlignment w:val="auto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0868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80" TargetMode="External"/><Relationship Id="rId5" Type="http://schemas.openxmlformats.org/officeDocument/2006/relationships/hyperlink" Target="http://www.nevo.co.il/law/70301/80.a" TargetMode="External"/><Relationship Id="rId6" Type="http://schemas.openxmlformats.org/officeDocument/2006/relationships/hyperlink" Target="http://www.nevo.co.il/law/74903" TargetMode="External"/><Relationship Id="rId7" Type="http://schemas.openxmlformats.org/officeDocument/2006/relationships/hyperlink" Target="http://www.nevo.co.il/law/74903/149" TargetMode="External"/><Relationship Id="rId8" Type="http://schemas.openxmlformats.org/officeDocument/2006/relationships/hyperlink" Target="http://www.nevo.co.il/law/70301/80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80" TargetMode="External"/><Relationship Id="rId11" Type="http://schemas.openxmlformats.org/officeDocument/2006/relationships/hyperlink" Target="http://www.nevo.co.il/law/70301/80" TargetMode="External"/><Relationship Id="rId12" Type="http://schemas.openxmlformats.org/officeDocument/2006/relationships/hyperlink" Target="http://www.nevo.co.il/law/70301/80" TargetMode="External"/><Relationship Id="rId13" Type="http://schemas.openxmlformats.org/officeDocument/2006/relationships/hyperlink" Target="http://www.nevo.co.il/law/70301/80" TargetMode="External"/><Relationship Id="rId14" Type="http://schemas.openxmlformats.org/officeDocument/2006/relationships/hyperlink" Target="http://www.nevo.co.il/law/70301/80" TargetMode="External"/><Relationship Id="rId15" Type="http://schemas.openxmlformats.org/officeDocument/2006/relationships/hyperlink" Target="http://www.nevo.co.il/case/17908682" TargetMode="External"/><Relationship Id="rId16" Type="http://schemas.openxmlformats.org/officeDocument/2006/relationships/hyperlink" Target="http://www.nevo.co.il/law/70301/80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17097878" TargetMode="External"/><Relationship Id="rId19" Type="http://schemas.openxmlformats.org/officeDocument/2006/relationships/hyperlink" Target="http://www.nevo.co.il/case/17097877" TargetMode="External"/><Relationship Id="rId20" Type="http://schemas.openxmlformats.org/officeDocument/2006/relationships/hyperlink" Target="http://www.nevo.co.il/law/74903/149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8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80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80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80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80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80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80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case/5959459" TargetMode="External"/><Relationship Id="rId39" Type="http://schemas.openxmlformats.org/officeDocument/2006/relationships/hyperlink" Target="http://www.nevo.co.il/case/6169951" TargetMode="External"/><Relationship Id="rId40" Type="http://schemas.openxmlformats.org/officeDocument/2006/relationships/hyperlink" Target="http://www.nevo.co.il/case/21479548" TargetMode="External"/><Relationship Id="rId41" Type="http://schemas.openxmlformats.org/officeDocument/2006/relationships/hyperlink" Target="http://www.nevo.co.il/case/25398427" TargetMode="External"/><Relationship Id="rId42" Type="http://schemas.openxmlformats.org/officeDocument/2006/relationships/hyperlink" Target="http://www.nevo.co.il/law/70301/80" TargetMode="External"/><Relationship Id="rId43" Type="http://schemas.openxmlformats.org/officeDocument/2006/relationships/hyperlink" Target="http://www.nevo.co.il/case/6177493" TargetMode="External"/><Relationship Id="rId44" Type="http://schemas.openxmlformats.org/officeDocument/2006/relationships/hyperlink" Target="http://www.nevo.co.il/case/5828635" TargetMode="External"/><Relationship Id="rId45" Type="http://schemas.openxmlformats.org/officeDocument/2006/relationships/hyperlink" Target="http://www.nevo.co.il/law/70301/80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80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24344596" TargetMode="External"/><Relationship Id="rId50" Type="http://schemas.openxmlformats.org/officeDocument/2006/relationships/hyperlink" Target="http://www.nevo.co.il/case/5568982" TargetMode="External"/><Relationship Id="rId51" Type="http://schemas.openxmlformats.org/officeDocument/2006/relationships/hyperlink" Target="http://www.nevo.co.il/case/25471845" TargetMode="External"/><Relationship Id="rId52" Type="http://schemas.openxmlformats.org/officeDocument/2006/relationships/hyperlink" Target="http://www.nevo.co.il/case/5898389" TargetMode="External"/><Relationship Id="rId53" Type="http://schemas.openxmlformats.org/officeDocument/2006/relationships/hyperlink" Target="http://www.nevo.co.il/case/5896046" TargetMode="External"/><Relationship Id="rId54" Type="http://schemas.openxmlformats.org/officeDocument/2006/relationships/hyperlink" Target="http://www.nevo.co.il/case/5576167" TargetMode="External"/><Relationship Id="rId55" Type="http://schemas.openxmlformats.org/officeDocument/2006/relationships/hyperlink" Target="http://www.nevo.co.il/law/70301/80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80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5789852" TargetMode="External"/><Relationship Id="rId60" Type="http://schemas.openxmlformats.org/officeDocument/2006/relationships/hyperlink" Target="http://www.nevo.co.il/law/70301/80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80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6103934" TargetMode="External"/><Relationship Id="rId65" Type="http://schemas.openxmlformats.org/officeDocument/2006/relationships/hyperlink" Target="http://www.nevo.co.il/case/5920165" TargetMode="External"/><Relationship Id="rId66" Type="http://schemas.openxmlformats.org/officeDocument/2006/relationships/hyperlink" Target="http://www.nevo.co.il/case/5581520" TargetMode="External"/><Relationship Id="rId67" Type="http://schemas.openxmlformats.org/officeDocument/2006/relationships/hyperlink" Target="http://supreme.court.gov.il/" TargetMode="External"/><Relationship Id="rId68" Type="http://schemas.openxmlformats.org/officeDocument/2006/relationships/hyperlink" Target="http://www.nevo.co.il/advertisements/nevo-100.doc" TargetMode="External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2020-02-05T11:52:00Z</dcterms:created>
  <dc:creator>h4</dc:creator>
  <dc:description/>
  <cp:keywords/>
  <dc:language>en-IL</dc:language>
  <cp:lastModifiedBy>hofit</cp:lastModifiedBy>
  <cp:lastPrinted>2020-02-02T13:21:00Z</cp:lastPrinted>
  <dcterms:modified xsi:type="dcterms:W3CDTF">2020-02-05T11:52:00Z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אהוד אברג'ל;אלירן יעקב דרי;נחמן עמנואל יפה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17908682:2;17097878;17097877;5959459;6169951;21479548;25398427;6177493;5828635;24344596;5568982;25471845;5898389;5896046;5576167;5789852;6103934;5920165;5581520</vt:lpwstr>
  </property>
  <property fmtid="{D5CDD505-2E9C-101B-9397-08002B2CF9AE}" pid="9" name="CITY">
    <vt:lpwstr/>
  </property>
  <property fmtid="{D5CDD505-2E9C-101B-9397-08002B2CF9AE}" pid="10" name="DATE">
    <vt:lpwstr>20200202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ארז;ד' מינץ;א' שטיין</vt:lpwstr>
  </property>
  <property fmtid="{D5CDD505-2E9C-101B-9397-08002B2CF9AE}" pid="14" name="LAWLISTTMP1">
    <vt:lpwstr>70301/080:14;080.a</vt:lpwstr>
  </property>
  <property fmtid="{D5CDD505-2E9C-101B-9397-08002B2CF9AE}" pid="15" name="LAWLISTTMP2">
    <vt:lpwstr>74903/149</vt:lpwstr>
  </property>
  <property fmtid="{D5CDD505-2E9C-101B-9397-08002B2CF9AE}" pid="16" name="LAWYER">
    <vt:lpwstr>דוד הלוי;מיכאל עירוני;תומר ריז'ינשולי;ישי שרון;איתמר גלבפיש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פיצויים והוצאות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1447</vt:lpwstr>
  </property>
  <property fmtid="{D5CDD505-2E9C-101B-9397-08002B2CF9AE}" pid="49" name="NOSE31">
    <vt:lpwstr>פיצויים לנאשם שזוכה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9012</vt:lpwstr>
  </property>
  <property fmtid="{D5CDD505-2E9C-101B-9397-08002B2CF9AE}" pid="60" name="PADIDATE">
    <vt:lpwstr>20200203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5851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410120200202</vt:lpwstr>
  </property>
  <property fmtid="{D5CDD505-2E9C-101B-9397-08002B2CF9AE}" pid="70" name="TYPE_N_DATE">
    <vt:lpwstr>41020200202</vt:lpwstr>
  </property>
  <property fmtid="{D5CDD505-2E9C-101B-9397-08002B2CF9AE}" pid="71" name="VOLUME">
    <vt:lpwstr/>
  </property>
  <property fmtid="{D5CDD505-2E9C-101B-9397-08002B2CF9AE}" pid="72" name="WORDNUMPAGES">
    <vt:lpwstr>13</vt:lpwstr>
  </property>
</Properties>
</file>