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spacing w:lineRule="auto" w:line="240"/>
              <w:ind w:end="0"/>
              <w:jc w:val="start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5857/19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5966/19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bookmarkStart w:id="3" w:name="FirstAppellant"/>
            <w:bookmarkEnd w:id="3"/>
            <w:r>
              <w:rPr>
                <w:rFonts w:ascii="David;Malgun Gothic Semilight" w:hAnsi="David;Malgun Gothic Semilight"/>
                <w:rtl w:val="true"/>
              </w:rPr>
              <w:t>המערער</w:t>
            </w:r>
            <w:r>
              <w:rPr>
                <w:rFonts w:ascii="David;Malgun Gothic Semilight" w:hAnsi="David;Malgun Gothic Semilight"/>
                <w:rtl w:val="true"/>
              </w:rPr>
              <w:t>ת ב</w:t>
            </w:r>
            <w:r>
              <w:rPr>
                <w:rFonts w:ascii="David;Malgun Gothic Semilight" w:hAnsi="David;Malgun Gothic Semilight"/>
                <w:rtl w:val="true"/>
              </w:rPr>
              <w:t>ע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"</w:t>
            </w:r>
            <w:r>
              <w:rPr>
                <w:rFonts w:ascii="David;Malgun Gothic Semilight" w:hAnsi="David;Malgun Gothic Semilight"/>
                <w:rtl w:val="true"/>
              </w:rPr>
              <w:t xml:space="preserve">פ </w:t>
            </w:r>
            <w:r>
              <w:rPr>
                <w:rFonts w:cs="David;Malgun Gothic Semilight" w:ascii="David;Malgun Gothic Semilight" w:hAnsi="David;Malgun Gothic Semilight"/>
              </w:rPr>
              <w:t>5857/19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 xml:space="preserve"> </w:t>
            </w:r>
            <w:r>
              <w:rPr>
                <w:rFonts w:ascii="David;Malgun Gothic Semilight" w:hAnsi="David;Malgun Gothic Semilight"/>
                <w:rtl w:val="true"/>
              </w:rPr>
              <w:t>והמשיבה ב</w:t>
            </w:r>
            <w:r>
              <w:rPr>
                <w:rFonts w:ascii="David;Malgun Gothic Semilight" w:hAnsi="David;Malgun Gothic Semilight"/>
                <w:rtl w:val="true"/>
              </w:rPr>
              <w:t>ע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"</w:t>
            </w:r>
            <w:r>
              <w:rPr>
                <w:rFonts w:ascii="David;Malgun Gothic Semilight" w:hAnsi="David;Malgun Gothic Semilight"/>
                <w:rtl w:val="true"/>
              </w:rPr>
              <w:t xml:space="preserve">פ </w:t>
            </w:r>
            <w:r>
              <w:rPr>
                <w:rFonts w:cs="David;Malgun Gothic Semilight" w:ascii="David;Malgun Gothic Semilight" w:hAnsi="David;Malgun Gothic Semilight"/>
              </w:rPr>
              <w:t>5966/19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cs="David;Malgun Gothic Semilight" w:ascii="David;Malgun Gothic Semilight" w:hAnsi="David;Malgun Gothic Semilight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ascii="David;Malgun Gothic Semilight" w:hAnsi="David;Malgun Gothic Semilight"/>
                <w:rtl w:val="true"/>
              </w:rPr>
              <w:t>המשיבים</w:t>
            </w:r>
            <w:r>
              <w:rPr>
                <w:rFonts w:ascii="David;Malgun Gothic Semilight" w:hAnsi="David;Malgun Gothic Semilight"/>
                <w:rtl w:val="true"/>
              </w:rPr>
              <w:t xml:space="preserve"> ב</w:t>
            </w:r>
            <w:r>
              <w:rPr>
                <w:rFonts w:ascii="David;Malgun Gothic Semilight" w:hAnsi="David;Malgun Gothic Semilight"/>
                <w:rtl w:val="true"/>
              </w:rPr>
              <w:t>ע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"</w:t>
            </w:r>
            <w:r>
              <w:rPr>
                <w:rFonts w:ascii="David;Malgun Gothic Semilight" w:hAnsi="David;Malgun Gothic Semilight"/>
                <w:rtl w:val="true"/>
              </w:rPr>
              <w:t xml:space="preserve">פ </w:t>
            </w:r>
            <w:r>
              <w:rPr>
                <w:rFonts w:cs="David;Malgun Gothic Semilight" w:ascii="David;Malgun Gothic Semilight" w:hAnsi="David;Malgun Gothic Semilight"/>
              </w:rPr>
              <w:t>5857/19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אמנאל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טקיה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cs="David;Malgun Gothic Semilight" w:ascii="David;Malgun Gothic Semilight" w:hAnsi="David;Malgun Gothic Semilight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טקאלי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גברו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cs="David;Malgun Gothic Semilight" w:ascii="David;Malgun Gothic Semilight" w:hAnsi="David;Malgun Gothic Semilight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אטקלה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אבטרמרים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ascii="David;Malgun Gothic Semilight" w:hAnsi="David;Malgun Gothic Semilight"/>
                <w:rtl w:val="true"/>
              </w:rPr>
              <w:t>המערער ב</w:t>
            </w:r>
            <w:r>
              <w:rPr>
                <w:rFonts w:ascii="David;Malgun Gothic Semilight" w:hAnsi="David;Malgun Gothic Semilight"/>
                <w:rtl w:val="true"/>
              </w:rPr>
              <w:t>ע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"</w:t>
            </w:r>
            <w:r>
              <w:rPr>
                <w:rFonts w:ascii="David;Malgun Gothic Semilight" w:hAnsi="David;Malgun Gothic Semilight"/>
                <w:rtl w:val="true"/>
              </w:rPr>
              <w:t xml:space="preserve">פ </w:t>
            </w:r>
            <w:r>
              <w:rPr>
                <w:rFonts w:cs="David;Malgun Gothic Semilight" w:ascii="David;Malgun Gothic Semilight" w:hAnsi="David;Malgun Gothic Semilight"/>
              </w:rPr>
              <w:t>5966/19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 xml:space="preserve"> </w:t>
            </w:r>
            <w:r>
              <w:rPr>
                <w:rFonts w:ascii="David;Malgun Gothic Semilight" w:hAnsi="David;Malgun Gothic Semilight"/>
                <w:rtl w:val="true"/>
              </w:rPr>
              <w:t xml:space="preserve">והמשיב </w:t>
            </w:r>
            <w:r>
              <w:rPr>
                <w:rFonts w:cs="David;Malgun Gothic Semilight" w:ascii="David;Malgun Gothic Semilight" w:hAnsi="David;Malgun Gothic Semilight"/>
              </w:rPr>
              <w:t>4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 xml:space="preserve"> </w:t>
            </w:r>
            <w:r>
              <w:rPr>
                <w:rFonts w:ascii="David;Malgun Gothic Semilight" w:hAnsi="David;Malgun Gothic Semilight"/>
                <w:rtl w:val="true"/>
              </w:rPr>
              <w:t>ב</w:t>
            </w:r>
            <w:r>
              <w:rPr>
                <w:rFonts w:ascii="David;Malgun Gothic Semilight" w:hAnsi="David;Malgun Gothic Semilight"/>
                <w:rtl w:val="true"/>
              </w:rPr>
              <w:t>ע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"</w:t>
            </w:r>
            <w:r>
              <w:rPr>
                <w:rFonts w:ascii="David;Malgun Gothic Semilight" w:hAnsi="David;Malgun Gothic Semilight"/>
                <w:rtl w:val="true"/>
              </w:rPr>
              <w:t xml:space="preserve">פ </w:t>
            </w:r>
            <w:r>
              <w:rPr>
                <w:rFonts w:cs="David;Malgun Gothic Semilight" w:ascii="David;Malgun Gothic Semilight" w:hAnsi="David;Malgun Gothic Semilight"/>
              </w:rPr>
              <w:t>5857/19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cs="David;Malgun Gothic Semilight" w:ascii="David;Malgun Gothic Semilight" w:hAnsi="David;Malgun Gothic Semilight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/>
              <w:t>4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אפרים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קידנה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</w:t>
            </w:r>
            <w:r>
              <w:rPr>
                <w:sz w:val="24"/>
                <w:sz w:val="24"/>
                <w:szCs w:val="24"/>
                <w:rtl w:val="true"/>
              </w:rPr>
              <w:t>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15252-08-15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22.7.2019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מאותו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בעניין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רכיב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הפיצוי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הנשיאה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 w:val="24"/>
                <w:szCs w:val="24"/>
                <w:rtl w:val="true"/>
              </w:rPr>
              <w:t>ות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לורך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צ</w:t>
            </w:r>
            <w:r>
              <w:rPr>
                <w:sz w:val="24"/>
                <w:sz w:val="24"/>
                <w:szCs w:val="24"/>
                <w:rtl w:val="true"/>
              </w:rPr>
              <w:t>בי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דותן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וד</w:t>
            </w:r>
            <w:r>
              <w:rPr>
                <w:sz w:val="24"/>
                <w:sz w:val="24"/>
                <w:szCs w:val="24"/>
                <w:rtl w:val="true"/>
              </w:rPr>
              <w:t>בורה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עטר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  <w:sz w:val="26"/>
                <w:szCs w:val="26"/>
              </w:rPr>
            </w:pPr>
            <w:r>
              <w:rPr>
                <w:rFonts w:ascii="David;Malgun Gothic Semilight" w:hAnsi="David;Malgun Gothic Semilight"/>
                <w:sz w:val="26"/>
                <w:sz w:val="26"/>
                <w:szCs w:val="26"/>
                <w:rtl w:val="true"/>
              </w:rPr>
              <w:t>תאריך הישיבה</w:t>
            </w:r>
            <w:r>
              <w:rPr>
                <w:rFonts w:cs="David;Malgun Gothic Semilight" w:ascii="David;Malgun Gothic Semilight" w:hAnsi="David;Malgun Gothic Semilight"/>
                <w:sz w:val="26"/>
                <w:szCs w:val="26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ה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בטבת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התשפ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א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Cs w:val="26"/>
              </w:rPr>
              <w:t>20.12.2020</w:t>
            </w:r>
            <w:r>
              <w:rPr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1"/>
        <w:gridCol w:w="5152"/>
      </w:tblGrid>
      <w:tr>
        <w:trPr/>
        <w:tc>
          <w:tcPr>
            <w:tcW w:w="3211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bookmarkStart w:id="4" w:name="FirstLawyer"/>
            <w:bookmarkEnd w:id="4"/>
            <w:r>
              <w:rPr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המערער</w:t>
            </w:r>
            <w:r>
              <w:rPr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5857/19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והמשיבה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5966/19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15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ענת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גרינבאום</w:t>
            </w:r>
            <w:r>
              <w:rPr>
                <w:sz w:val="26"/>
                <w:szCs w:val="26"/>
                <w:rtl w:val="true"/>
              </w:rPr>
              <w:t xml:space="preserve">;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שרה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טל</w:t>
            </w:r>
          </w:p>
        </w:tc>
      </w:tr>
      <w:tr>
        <w:trPr/>
        <w:tc>
          <w:tcPr>
            <w:tcW w:w="321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515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11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המערער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5966/19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והמשיב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4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5857/19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515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איתי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בן</w:t>
            </w:r>
            <w:r>
              <w:rPr>
                <w:sz w:val="26"/>
                <w:szCs w:val="26"/>
                <w:rtl w:val="true"/>
              </w:rPr>
              <w:t>-</w:t>
            </w:r>
            <w:r>
              <w:rPr>
                <w:sz w:val="26"/>
                <w:sz w:val="26"/>
                <w:szCs w:val="26"/>
                <w:rtl w:val="true"/>
              </w:rPr>
              <w:t>נון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bookmarkStart w:id="5" w:name="LawTable"/>
      <w:bookmarkEnd w:id="5"/>
      <w:r>
        <w:rPr>
          <w:rFonts w:ascii="FrankRuehl;Times New Roman" w:hAnsi="FrankRuehl;Times New Roman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u w:val="non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</w:rPr>
          <w:t>1977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;Times New Roman" w:hAnsi="FrankRuehl;Times New Roman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</w:rPr>
          <w:t>31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</w:rPr>
          <w:t>77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</w:rPr>
          <w:t>345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;Times New Roman" w:hAnsi="FrankRuehl;Times New Roman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</w:rPr>
        <w:t>1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), </w:t>
      </w:r>
      <w:hyperlink r:id="rId7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</w:rPr>
          <w:t>345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;Times New Roman" w:hAnsi="FrankRuehl;Times New Roman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</w:rPr>
        <w:t>4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), </w:t>
      </w:r>
      <w:hyperlink r:id="rId8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</w:rPr>
          <w:t>345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;Times New Roman" w:hAnsi="FrankRuehl;Times New Roman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</w:rPr>
        <w:t>5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spacing w:lineRule="auto" w:line="240"/>
        <w:ind w:end="0"/>
        <w:jc w:val="start"/>
        <w:rPr>
          <w:rFonts w:ascii="FrankRuehl;Times New Roman" w:hAnsi="FrankRuehl;Times New Roman" w:cs="FrankRuehl;Times New Roman"/>
          <w:color w:val="0000FF"/>
          <w:spacing w:val="0"/>
          <w:sz w:val="24"/>
          <w:szCs w:val="24"/>
        </w:rPr>
      </w:pP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פסק כי העונש שהוטל על המערער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5966/19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 הרשעתו בסיוע לשתי עבירות אינוס בנסיבות מחמירות בצוותא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שכלל 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 חמור והוא נותן ביטוי הולם למידת מעורבותו בעשייה העבריינית ולמידת מודעותו לתרומתו 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עוד נפסק כי יש להותיר על כנו את חיוב המערער בתשלום פיצוי למתלוננת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נפגעת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לא היה מקום להתנות את תשלום הפיצוי באיתורה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סיוע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פיצויים והוצאות – פיצויו של מי שניזוק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העבירה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5966/19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 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בסיוע לשתי עבירות אינוס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מחמירות בצוותא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הטיל על המערער עונש של 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לריצוי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מאסרים מותנים וחיוב בתשלום פיצויים למתלוננת בסך </w:t>
      </w:r>
      <w:r>
        <w:rPr>
          <w:rFonts w:cs="Times New Roman" w:ascii="Times New Roman" w:hAnsi="Times New Roman"/>
          <w:spacing w:val="0"/>
          <w:szCs w:val="26"/>
        </w:rPr>
        <w:t>40,000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 </w:t>
      </w:r>
      <w:r>
        <w:rPr>
          <w:rFonts w:ascii="Times New Roman" w:hAnsi="Times New Roman" w:cs="Times New Roman"/>
          <w:spacing w:val="0"/>
          <w:szCs w:val="26"/>
          <w:rtl w:val="true"/>
        </w:rPr>
        <w:t>וערעורו נסב על חומרת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 המדינה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5857/19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נסב על החלטת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לבטל את החיוב בפיצוי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שניתנה מיד לאחר מתן 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מערער על חומרת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קרא ובהסכמת השופטים פוגלמן ושטיין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5966/19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 את הערעור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5857/19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אין זה מדרכה של ערכאת הערעור להתערב בענישה שהטילה הערכאה הדיונית אלא במקרים בהם נפלה טעות מהותית בגזר הדין או שהעונש שהוטל חורג ממדיניות הענישה הנהוגה והראויה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המקרה דנן אינו בא בקהל מקרים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הרשעת המערער בסיוע לביצוע שתי עבירות אינוס בנסיבות מחמירות התבססה על מידת מעורבותו ומודעותו ומניעת הושטת העזרה למתלוננת באמצעות מעורבותו האקטיבית בסילוק ידידהּ של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היא שאפשרה את ביצוע שני מעשי האינוס 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במוקד ערעורו הציב המערער את שאלת היחס שבין העונש שהוטל עליו כמסייע לבין העונש שהוטל על נאשם נוסף בפרשה כמבצע עיקרי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כשעיקר הנמקתו להקלה בדינו נובעת מהרשעת הנאשם הנוסף בעבירה נוספת של חטיפת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עבירה ממנה זוכה המערער וכן בשל נסיבת הצלתו את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שבימ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שיקלל טיעונים אלה יחד עם מכלול שיקולי הקולא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ולאורם העמיד את עונשו על 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ולא נמצא כי נפלה שגגה בגזירת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החוק קובע כי עונשו של המסייע יעמוד על מחצית העונש המירבי הקבוע בצידה של העבירה המושלמת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אך אין משמעות הדבר כי גזירת הדין תעשה באופן מכני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מתמטי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כך שהעונש יעמוד תמיד על מחצית מעונשו של המבצע העיקרי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זה תרומת המערער לביצוע העבירות עולה כדי סיוע מהותי לאחרים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אלמלא סיועו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שהתבטא בסילוק ידידה של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שמונה דקות לאחר שנאשם נוסף בפרשה הסתגר עמה בחדרו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יכול ומעשי האונס היו נמנעים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תרומת המערער לביצוע התחילה עוד קודם לכן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הסכים להעמיד לרשות בני החבורה את החדר בו התבצעו מעשי האונס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 אינו חמור והוא נותן ביטוי הולם למידת מעורבותו בעשייה העבריינית ולמידת מודעותו לתרומתו לה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אשר לערעור על ההחלטה שמשמעותה כי אם תאותר המתלוננת לאחר מועד שרירותי שקבע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היא לא תהא זכאית לפיצוי בגין סבלה הרב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ההחלטה התקבלה לאחר דיון קצר ללא כל הנמקה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כשדי בהעדר הנמקה ראויה כדי להורות על בטלותה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יתר על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להחלטה אין ביסוס משפטי בדין ואין כל היגיון בבסיסה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הפיצוי לנפגע עבירה הוא רכיב עונשי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החלטת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קמא מתעלמת מתכליותיו העיקריות של הפיצוי שנפסק בהליך פלילי לנפגע עבירה מכוח סעיף </w:t>
      </w:r>
      <w:r>
        <w:rPr>
          <w:rFonts w:cs="Times New Roman" w:ascii="Times New Roman" w:hAnsi="Times New Roman"/>
          <w:spacing w:val="0"/>
          <w:szCs w:val="26"/>
        </w:rPr>
        <w:t>77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 – ליתן סעד מהיר יחסית לנפגע העבירה ולסייע לו בשיקום חייו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פיצוי זה מבטא הכרה חברתית בסבלו ובמעמדו כנפגע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משמעות ההחלטה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המתנה את תשלום הפיצוי 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מציאתו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או באיתורו של נפגע 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היא כי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היעלמותו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של נפגע עבירה פועלת לכאורה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לטובת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העבריין שפגע בו מאחר שהיא מאיינת את חיובו של הפוגע בפיצוי המתלונן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והיא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את נפגע העבירה על לא עוול בכפו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זכאות נפגע העבירה בפיצוי בהליך הפלילי אינו תלוי באיתורו או 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מציאתו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של נפגע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החיוב בפיצוי למתלוננת יעמוד על כנו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31"/>
        <w:spacing w:lineRule="auto" w:line="240"/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>
                <w:b/>
                <w:bCs w:val="false"/>
                <w:u w:val="none"/>
              </w:rPr>
            </w:pPr>
            <w:bookmarkStart w:id="14" w:name="PsakDin"/>
            <w:bookmarkEnd w:id="14"/>
            <w:r>
              <w:rPr>
                <w:b/>
                <w:b/>
                <w:bCs w:val="false"/>
                <w:u w:val="none"/>
                <w:rtl w:val="true"/>
              </w:rPr>
              <w:t>ביחס</w:t>
            </w:r>
            <w:r>
              <w:rPr>
                <w:rFonts w:cs="Times New Roman"/>
                <w:b/>
                <w:b/>
                <w:bCs w:val="false"/>
                <w:u w:val="none"/>
                <w:rtl w:val="true"/>
              </w:rPr>
              <w:t xml:space="preserve"> </w:t>
            </w:r>
            <w:r>
              <w:rPr>
                <w:b/>
                <w:b/>
                <w:bCs w:val="false"/>
                <w:u w:val="none"/>
                <w:rtl w:val="true"/>
              </w:rPr>
              <w:t>למערער</w:t>
            </w:r>
            <w:r>
              <w:rPr>
                <w:rFonts w:cs="Times New Roman"/>
                <w:b/>
                <w:b/>
                <w:bCs w:val="false"/>
                <w:u w:val="none"/>
                <w:rtl w:val="true"/>
              </w:rPr>
              <w:t xml:space="preserve"> </w:t>
            </w:r>
            <w:r>
              <w:rPr>
                <w:b/>
                <w:b/>
                <w:bCs w:val="false"/>
                <w:u w:val="none"/>
                <w:rtl w:val="true"/>
              </w:rPr>
              <w:t>ב</w:t>
            </w:r>
            <w:r>
              <w:rPr>
                <w:b/>
                <w:b/>
                <w:bCs w:val="false"/>
                <w:u w:val="none"/>
                <w:rtl w:val="true"/>
              </w:rPr>
              <w:t>ע</w:t>
            </w:r>
            <w:r>
              <w:rPr>
                <w:b/>
                <w:bCs w:val="false"/>
                <w:u w:val="none"/>
                <w:rtl w:val="true"/>
              </w:rPr>
              <w:t>"</w:t>
            </w:r>
            <w:r>
              <w:rPr>
                <w:b/>
                <w:b/>
                <w:bCs w:val="false"/>
                <w:u w:val="none"/>
                <w:rtl w:val="true"/>
              </w:rPr>
              <w:t>פ</w:t>
            </w:r>
            <w:r>
              <w:rPr>
                <w:rFonts w:cs="Times New Roman"/>
                <w:b/>
                <w:b/>
                <w:bCs w:val="false"/>
                <w:u w:val="none"/>
                <w:rtl w:val="true"/>
              </w:rPr>
              <w:t xml:space="preserve"> </w:t>
            </w:r>
            <w:r>
              <w:rPr>
                <w:b/>
                <w:bCs w:val="false"/>
                <w:u w:val="none"/>
              </w:rPr>
              <w:t>5966/19</w:t>
            </w:r>
            <w:r>
              <w:rPr>
                <w:b/>
                <w:bCs w:val="false"/>
                <w:u w:val="none"/>
                <w:rtl w:val="true"/>
              </w:rPr>
              <w:t xml:space="preserve"> </w:t>
            </w:r>
          </w:p>
          <w:p>
            <w:pPr>
              <w:pStyle w:val="DocumentHead"/>
              <w:spacing w:lineRule="auto" w:line="240"/>
              <w:ind w:end="0"/>
              <w:jc w:val="center"/>
              <w:rPr>
                <w:b/>
                <w:bCs w:val="false"/>
                <w:u w:val="none"/>
              </w:rPr>
            </w:pPr>
            <w:r>
              <w:rPr>
                <w:b/>
                <w:b/>
                <w:bCs w:val="false"/>
                <w:u w:val="none"/>
                <w:rtl w:val="true"/>
              </w:rPr>
              <w:t>והמשיב</w:t>
            </w:r>
            <w:r>
              <w:rPr>
                <w:rFonts w:cs="Times New Roman"/>
                <w:b/>
                <w:b/>
                <w:bCs w:val="false"/>
                <w:u w:val="none"/>
                <w:rtl w:val="true"/>
              </w:rPr>
              <w:t xml:space="preserve"> </w:t>
            </w:r>
            <w:r>
              <w:rPr>
                <w:b/>
                <w:bCs w:val="false"/>
                <w:u w:val="none"/>
              </w:rPr>
              <w:t>4</w:t>
            </w:r>
            <w:r>
              <w:rPr>
                <w:b/>
                <w:bCs w:val="false"/>
                <w:u w:val="none"/>
                <w:rtl w:val="true"/>
              </w:rPr>
              <w:t xml:space="preserve"> </w:t>
            </w:r>
            <w:r>
              <w:rPr>
                <w:b/>
                <w:b/>
                <w:bCs w:val="false"/>
                <w:u w:val="none"/>
                <w:rtl w:val="true"/>
              </w:rPr>
              <w:t>ב</w:t>
            </w:r>
            <w:r>
              <w:rPr>
                <w:b/>
                <w:b/>
                <w:bCs w:val="false"/>
                <w:u w:val="none"/>
                <w:rtl w:val="true"/>
              </w:rPr>
              <w:t>ע</w:t>
            </w:r>
            <w:r>
              <w:rPr>
                <w:b/>
                <w:bCs w:val="false"/>
                <w:u w:val="none"/>
                <w:rtl w:val="true"/>
              </w:rPr>
              <w:t>"</w:t>
            </w:r>
            <w:r>
              <w:rPr>
                <w:b/>
                <w:b/>
                <w:bCs w:val="false"/>
                <w:u w:val="none"/>
                <w:rtl w:val="true"/>
              </w:rPr>
              <w:t>פ</w:t>
            </w:r>
            <w:r>
              <w:rPr>
                <w:rFonts w:cs="Times New Roman"/>
                <w:b/>
                <w:b/>
                <w:bCs w:val="false"/>
                <w:u w:val="none"/>
                <w:rtl w:val="true"/>
              </w:rPr>
              <w:t xml:space="preserve"> </w:t>
            </w:r>
            <w:r>
              <w:rPr>
                <w:b/>
                <w:bCs w:val="false"/>
                <w:u w:val="none"/>
              </w:rPr>
              <w:t>5857/19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ערעורים</w:t>
      </w:r>
      <w:r>
        <w:rPr>
          <w:rtl w:val="true"/>
        </w:rPr>
        <w:t xml:space="preserve">. </w:t>
      </w:r>
    </w:p>
    <w:p>
      <w:pPr>
        <w:pStyle w:val="Ruller41"/>
        <w:ind w:firstLine="72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קידנה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5966/19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>-</w:t>
      </w:r>
      <w:r>
        <w:rPr>
          <w:rtl w:val="true"/>
        </w:rPr>
        <w:t>לוד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9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15252-08-15</w:t>
        </w:r>
      </w:hyperlink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הנשיאה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עטר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בגדרו הוטל על המערער עונש של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לריצוי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מאסרים מותנים וחיוב בתשלום פיצויים למתלוננת בסך </w:t>
      </w:r>
      <w:r>
        <w:rPr>
          <w:rFonts w:cs="Century" w:ascii="Century" w:hAnsi="Century"/>
        </w:rPr>
        <w:t>40,000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השני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ערעור המדינה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5857/19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על החלטתו של בית המשפט המחוזי לבטל את החיוב בפיצוי אשר ניתנה מיד לאחר מתן 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ולפיה אם לא תאותר המתלוננת הנעדרת עד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יום לפני המועד שנקבע לתשלום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1.10.2019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יבוטל החיוב בתשלום הפיצוי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החלטת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הפיצוי</w:t>
      </w:r>
      <w:r>
        <w:rPr>
          <w:rFonts w:ascii="Century" w:hAnsi="Century" w:cs="Century"/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ההחלטה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firstLine="72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</w:p>
    <w:p>
      <w:pPr>
        <w:pStyle w:val="Ruller41"/>
        <w:ind w:start="108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עניינם של הערעורים שלפנינו</w:t>
      </w:r>
      <w:r>
        <w:rPr>
          <w:rtl w:val="true"/>
        </w:rPr>
        <w:t xml:space="preserve">, </w:t>
      </w:r>
      <w:r>
        <w:rPr>
          <w:rtl w:val="true"/>
        </w:rPr>
        <w:t xml:space="preserve">בפרשת אונס קבוצתי שהתרחש בעיר ראשון לציון במחצית שנת </w:t>
      </w:r>
      <w:r>
        <w:rPr/>
        <w:t>2015</w:t>
      </w:r>
      <w:r>
        <w:rPr>
          <w:rtl w:val="true"/>
        </w:rPr>
        <w:t xml:space="preserve">. </w:t>
      </w:r>
      <w:r>
        <w:rPr>
          <w:rtl w:val="true"/>
        </w:rPr>
        <w:t>במסגרת פרשה זו</w:t>
      </w:r>
      <w:r>
        <w:rPr>
          <w:rtl w:val="true"/>
        </w:rPr>
        <w:t xml:space="preserve">, </w:t>
      </w:r>
      <w:r>
        <w:rPr>
          <w:rtl w:val="true"/>
        </w:rPr>
        <w:t>הועמדו לדין חמישה מעורבים</w:t>
      </w:r>
      <w:r>
        <w:rPr>
          <w:rtl w:val="true"/>
        </w:rPr>
        <w:t xml:space="preserve">. </w:t>
      </w:r>
      <w:r>
        <w:rPr>
          <w:rtl w:val="true"/>
        </w:rPr>
        <w:t>ארבעה מהם בכתב אישום אחד</w:t>
      </w:r>
      <w:r>
        <w:rPr>
          <w:rtl w:val="true"/>
        </w:rPr>
        <w:t xml:space="preserve">: </w:t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המערער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5756/19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והמשיב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5857/19</w:t>
      </w:r>
      <w:r>
        <w:rPr>
          <w:rtl w:val="true"/>
        </w:rPr>
        <w:t xml:space="preserve">), </w:t>
      </w:r>
      <w:r>
        <w:rPr>
          <w:rtl w:val="true"/>
        </w:rPr>
        <w:t xml:space="preserve">הנאשם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המערער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5815/19</w:t>
      </w:r>
      <w:r>
        <w:rPr>
          <w:rtl w:val="true"/>
        </w:rPr>
        <w:t xml:space="preserve"> </w:t>
      </w:r>
      <w:r>
        <w:rPr>
          <w:rtl w:val="true"/>
        </w:rPr>
        <w:t xml:space="preserve">והמשיב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5857/19</w:t>
      </w:r>
      <w:r>
        <w:rPr>
          <w:rtl w:val="true"/>
        </w:rPr>
        <w:t xml:space="preserve">), </w:t>
      </w:r>
      <w:r>
        <w:rPr>
          <w:rtl w:val="true"/>
        </w:rPr>
        <w:t xml:space="preserve">הנאשם </w:t>
      </w:r>
      <w:r>
        <w:rPr/>
        <w:t>3</w:t>
      </w:r>
      <w:r>
        <w:rPr>
          <w:rtl w:val="true"/>
        </w:rPr>
        <w:t xml:space="preserve"> (</w:t>
      </w:r>
      <w:r>
        <w:rPr>
          <w:rtl w:val="true"/>
        </w:rPr>
        <w:t>המערער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5626/19</w:t>
      </w:r>
      <w:r>
        <w:rPr>
          <w:rtl w:val="true"/>
        </w:rPr>
        <w:t xml:space="preserve"> </w:t>
      </w:r>
      <w:r>
        <w:rPr>
          <w:rtl w:val="true"/>
        </w:rPr>
        <w:t xml:space="preserve">והמשיב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5857/19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tl w:val="true"/>
        </w:rPr>
        <w:t xml:space="preserve">) </w:t>
      </w:r>
      <w:r>
        <w:rPr>
          <w:rtl w:val="true"/>
        </w:rPr>
        <w:t xml:space="preserve">וכן המערער </w:t>
      </w:r>
      <w:r>
        <w:rPr>
          <w:rtl w:val="true"/>
        </w:rPr>
        <w:t>(</w:t>
      </w:r>
      <w:r>
        <w:rPr>
          <w:rtl w:val="true"/>
        </w:rPr>
        <w:t xml:space="preserve">הוא הנאשם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בכתב האישום</w:t>
      </w:r>
      <w:r>
        <w:rPr>
          <w:rtl w:val="true"/>
        </w:rPr>
        <w:t xml:space="preserve">). </w:t>
      </w:r>
      <w:r>
        <w:rPr>
          <w:rtl w:val="true"/>
        </w:rPr>
        <w:t>כתב אישום נפרד הוגש נגד המעורב החמישי</w:t>
      </w:r>
      <w:r>
        <w:rPr>
          <w:rtl w:val="true"/>
        </w:rPr>
        <w:t xml:space="preserve">, </w:t>
      </w:r>
      <w:r>
        <w:rPr>
          <w:rtl w:val="true"/>
        </w:rPr>
        <w:t xml:space="preserve">קידנה טדסה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טדסה</w:t>
      </w:r>
      <w:r>
        <w:rPr>
          <w:rtl w:val="true"/>
        </w:rPr>
        <w:t xml:space="preserve">), </w:t>
      </w:r>
      <w:r>
        <w:rPr>
          <w:rtl w:val="true"/>
        </w:rPr>
        <w:t>שדינו נגזר בנפרד</w:t>
      </w:r>
      <w:r>
        <w:rPr>
          <w:rtl w:val="true"/>
        </w:rPr>
        <w:t>.</w:t>
      </w:r>
    </w:p>
    <w:p>
      <w:pPr>
        <w:pStyle w:val="Ruller41"/>
        <w:ind w:start="108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Fonts w:ascii="Century" w:hAnsi="Century" w:cs="Century"/>
          <w:rtl w:val="true"/>
        </w:rPr>
        <w:t>ערעור</w:t>
      </w:r>
      <w:r>
        <w:rPr>
          <w:rtl w:val="true"/>
        </w:rPr>
        <w:t xml:space="preserve"> המערער</w:t>
      </w:r>
      <w:r>
        <w:rPr>
          <w:rtl w:val="true"/>
        </w:rPr>
        <w:t xml:space="preserve">, </w:t>
      </w:r>
      <w:r>
        <w:rPr>
          <w:rtl w:val="true"/>
        </w:rPr>
        <w:t>המערערים וערעור המדינה על קולת עונשי המערערים והחלטת בית המשפט לעניין הפיצוי</w:t>
      </w:r>
      <w:r>
        <w:rPr>
          <w:rtl w:val="true"/>
        </w:rPr>
        <w:t xml:space="preserve">, </w:t>
      </w:r>
      <w:r>
        <w:rPr>
          <w:rtl w:val="true"/>
        </w:rPr>
        <w:t xml:space="preserve">נשמעו על ידנו במאוחד ביום </w:t>
      </w:r>
      <w:r>
        <w:rPr/>
        <w:t>20.12.2020</w:t>
      </w:r>
      <w:r>
        <w:rPr>
          <w:rtl w:val="true"/>
        </w:rPr>
        <w:t xml:space="preserve">. </w:t>
      </w:r>
      <w:r>
        <w:rPr>
          <w:rtl w:val="true"/>
        </w:rPr>
        <w:t>בשל קרבת מועד שחרורו המלא של המערער ממאסר ולאור בקשתו</w:t>
      </w:r>
      <w:r>
        <w:rPr>
          <w:rtl w:val="true"/>
        </w:rPr>
        <w:t xml:space="preserve">, </w:t>
      </w:r>
      <w:r>
        <w:rPr>
          <w:rtl w:val="true"/>
        </w:rPr>
        <w:t>ובהיעדר ערעור מטעם המדינה על קולת עונשו</w:t>
      </w:r>
      <w:r>
        <w:rPr>
          <w:rtl w:val="true"/>
        </w:rPr>
        <w:t xml:space="preserve">, </w:t>
      </w:r>
      <w:r>
        <w:rPr>
          <w:rtl w:val="true"/>
        </w:rPr>
        <w:t>החלטנו להקדים את ההכרעה בערעורו של המערער תוך הפרדת ערעורו מיתר הערעורים שיוכרעו בהמשך</w:t>
      </w:r>
      <w:r>
        <w:rPr>
          <w:rtl w:val="true"/>
        </w:rPr>
        <w:t>.</w:t>
      </w:r>
    </w:p>
    <w:p>
      <w:pPr>
        <w:pStyle w:val="Ruller41"/>
        <w:ind w:start="108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בלילה שבו התרחשו מעשי האונס</w:t>
      </w:r>
      <w:r>
        <w:rPr>
          <w:rtl w:val="true"/>
        </w:rPr>
        <w:t xml:space="preserve">, </w:t>
      </w:r>
      <w:r>
        <w:rPr>
          <w:rtl w:val="true"/>
        </w:rPr>
        <w:t>שהתה המתלוננת במועדון סנוקר בראשון לציון</w:t>
      </w:r>
      <w:r>
        <w:rPr>
          <w:rtl w:val="true"/>
        </w:rPr>
        <w:t xml:space="preserve">, </w:t>
      </w:r>
      <w:r>
        <w:rPr>
          <w:rtl w:val="true"/>
        </w:rPr>
        <w:t>שם שתתה אלכוהול בכמויות שהביאו לערפול חושיה</w:t>
      </w:r>
      <w:r>
        <w:rPr>
          <w:rtl w:val="true"/>
        </w:rPr>
        <w:t xml:space="preserve">. </w:t>
      </w:r>
      <w:r>
        <w:rPr>
          <w:rtl w:val="true"/>
        </w:rPr>
        <w:t>המערער ויתר המעורבים בפרשה הינם נתינים זרים מאריתריאה שאין ביניהם ובין המתלוננת היכרות קודמת</w:t>
      </w:r>
      <w:r>
        <w:rPr>
          <w:rtl w:val="true"/>
        </w:rPr>
        <w:t xml:space="preserve">. </w:t>
      </w:r>
      <w:r>
        <w:rPr>
          <w:rtl w:val="true"/>
        </w:rPr>
        <w:t>המערער התגורר בבניין הסמוך למועדון הסנוקר</w:t>
      </w:r>
      <w:r>
        <w:rPr>
          <w:rtl w:val="true"/>
        </w:rPr>
        <w:t xml:space="preserve">, </w:t>
      </w:r>
      <w:r>
        <w:rPr>
          <w:rtl w:val="true"/>
        </w:rPr>
        <w:t xml:space="preserve">בחדר אותו חלק יחד עם הנאשם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לאחר סיום הבילוי במועדון הסנוקר</w:t>
      </w:r>
      <w:r>
        <w:rPr>
          <w:rtl w:val="true"/>
        </w:rPr>
        <w:t xml:space="preserve">, </w:t>
      </w:r>
      <w:r>
        <w:rPr>
          <w:rtl w:val="true"/>
        </w:rPr>
        <w:t>הגיעה המתלוננת למסעדת שווארמה הסמוכה למקום</w:t>
      </w:r>
      <w:r>
        <w:rPr>
          <w:rtl w:val="true"/>
        </w:rPr>
        <w:t xml:space="preserve">, </w:t>
      </w:r>
      <w:r>
        <w:rPr>
          <w:rtl w:val="true"/>
        </w:rPr>
        <w:t>שם היא ישבה עם מכר שלה בשם איציק שדה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לרבות טדסה</w:t>
      </w:r>
      <w:r>
        <w:rPr>
          <w:rtl w:val="true"/>
        </w:rPr>
        <w:t xml:space="preserve">, </w:t>
      </w:r>
      <w:r>
        <w:rPr>
          <w:rtl w:val="true"/>
        </w:rPr>
        <w:t>התגודדו מסביב למתלוננת ורכנו לעברה</w:t>
      </w:r>
      <w:r>
        <w:rPr>
          <w:rtl w:val="true"/>
        </w:rPr>
        <w:t xml:space="preserve">. </w:t>
      </w:r>
      <w:r>
        <w:rPr>
          <w:rtl w:val="true"/>
        </w:rPr>
        <w:t>בשלב מסוים הגיע המערער בסמוך לרחבת מסעדת השווארמה</w:t>
      </w:r>
      <w:r>
        <w:rPr>
          <w:rtl w:val="true"/>
        </w:rPr>
        <w:t xml:space="preserve">, </w:t>
      </w:r>
      <w:r>
        <w:rPr>
          <w:rtl w:val="true"/>
        </w:rPr>
        <w:t>שהה במקום שלוש דקות בלבד</w:t>
      </w:r>
      <w:r>
        <w:rPr>
          <w:rtl w:val="true"/>
        </w:rPr>
        <w:t xml:space="preserve">, </w:t>
      </w:r>
      <w:r>
        <w:rPr>
          <w:rtl w:val="true"/>
        </w:rPr>
        <w:t>כשהוא מצוי במרחק מהחבורה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עזב המערער את המקום יחד עם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לחדרם והמתינו לבואה של המתלוננת</w:t>
      </w:r>
      <w:r>
        <w:rPr>
          <w:rtl w:val="true"/>
        </w:rPr>
        <w:t xml:space="preserve">. </w:t>
      </w:r>
      <w:r>
        <w:rPr>
          <w:rtl w:val="true"/>
        </w:rPr>
        <w:t xml:space="preserve">המתלוננת נחטפה על ידי הנאשמים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וטדסה והוכנסה לחדרם של המערער והנאשם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בחלוף כשמונה דקות ולשמע זעקותיה של המתלוננת</w:t>
      </w:r>
      <w:r>
        <w:rPr>
          <w:rtl w:val="true"/>
        </w:rPr>
        <w:t xml:space="preserve">, </w:t>
      </w:r>
      <w:r>
        <w:rPr>
          <w:rtl w:val="true"/>
        </w:rPr>
        <w:t>הגיע איציק שדה למסדרון על מנת לחפש אחריה</w:t>
      </w:r>
      <w:r>
        <w:rPr>
          <w:rtl w:val="true"/>
        </w:rPr>
        <w:t xml:space="preserve">, </w:t>
      </w:r>
      <w:r>
        <w:rPr>
          <w:rtl w:val="true"/>
        </w:rPr>
        <w:t>שם פגש במערער</w:t>
      </w:r>
      <w:r>
        <w:rPr>
          <w:rtl w:val="true"/>
        </w:rPr>
        <w:t xml:space="preserve">, </w:t>
      </w:r>
      <w:r>
        <w:rPr>
          <w:rtl w:val="true"/>
        </w:rPr>
        <w:t xml:space="preserve">בנאשם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ובטדסה ושאל אותם למקום הימצאה</w:t>
      </w:r>
      <w:r>
        <w:rPr>
          <w:rtl w:val="true"/>
        </w:rPr>
        <w:t xml:space="preserve">. </w:t>
      </w:r>
      <w:r>
        <w:rPr>
          <w:rtl w:val="true"/>
        </w:rPr>
        <w:t xml:space="preserve">הוא נענה על ידם כי המתלוננת איננה במקום וזאת בזמן שנאשם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שהה עם המתלוננת בחדר ואנס אותה</w:t>
      </w:r>
      <w:r>
        <w:rPr>
          <w:rtl w:val="true"/>
        </w:rPr>
        <w:t xml:space="preserve">. </w:t>
      </w:r>
      <w:r>
        <w:rPr>
          <w:rtl w:val="true"/>
        </w:rPr>
        <w:t>המערער ליווה את איציק שדה אל מחוץ למסדרון כדי שלא יפריע לחברי החבורה</w:t>
      </w:r>
      <w:r>
        <w:rPr>
          <w:rtl w:val="true"/>
        </w:rPr>
        <w:t xml:space="preserve">. </w:t>
      </w:r>
      <w:r>
        <w:rPr>
          <w:rtl w:val="true"/>
        </w:rPr>
        <w:t>מאוחר יותר</w:t>
      </w:r>
      <w:r>
        <w:rPr>
          <w:rtl w:val="true"/>
        </w:rPr>
        <w:t xml:space="preserve">, </w:t>
      </w:r>
      <w:r>
        <w:rPr>
          <w:rtl w:val="true"/>
        </w:rPr>
        <w:t xml:space="preserve">עם כניסתו של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אל החדר</w:t>
      </w:r>
      <w:r>
        <w:rPr>
          <w:rtl w:val="true"/>
        </w:rPr>
        <w:t xml:space="preserve">, </w:t>
      </w:r>
      <w:r>
        <w:rPr>
          <w:rtl w:val="true"/>
        </w:rPr>
        <w:t>נכנס המערער לחדר סמוך</w:t>
      </w:r>
      <w:r>
        <w:rPr>
          <w:rtl w:val="true"/>
        </w:rPr>
        <w:t xml:space="preserve">, </w:t>
      </w:r>
      <w:r>
        <w:rPr>
          <w:rtl w:val="true"/>
        </w:rPr>
        <w:t>סגר את הדלת וישן בו במשך שעה 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. </w:t>
      </w:r>
      <w:r>
        <w:rPr>
          <w:rtl w:val="true"/>
        </w:rPr>
        <w:t>לאחר שהתעורר משנתו</w:t>
      </w:r>
      <w:r>
        <w:rPr>
          <w:rtl w:val="true"/>
        </w:rPr>
        <w:t xml:space="preserve">, </w:t>
      </w:r>
      <w:r>
        <w:rPr>
          <w:rtl w:val="true"/>
        </w:rPr>
        <w:t>נכנס המערער בעצמו אל החדר וראה את המתלוננת מנסה לקפוץ מהחלון על מנת להימלט מחברי החבורה ולשים קץ לחייה</w:t>
      </w:r>
      <w:r>
        <w:rPr>
          <w:rtl w:val="true"/>
        </w:rPr>
        <w:t xml:space="preserve">. </w:t>
      </w:r>
      <w:r>
        <w:rPr>
          <w:rtl w:val="true"/>
        </w:rPr>
        <w:t>המערער אחז במתלוננת ומנע זאת ממנה ובכך הציל את חייה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בגין האמור הורשע המערער בסיוע לשתי עבירות אינוס</w:t>
      </w:r>
      <w:r>
        <w:rPr>
          <w:rtl w:val="true"/>
        </w:rPr>
        <w:t xml:space="preserve">, </w:t>
      </w:r>
      <w:r>
        <w:rPr>
          <w:rtl w:val="true"/>
        </w:rPr>
        <w:t>בנסיבות מחמירות בצוותא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0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1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 </w:t>
      </w:r>
      <w:r>
        <w:rPr>
          <w:rtl w:val="true"/>
        </w:rPr>
        <w:t xml:space="preserve">בנסיבות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יחד עם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1"/>
        <w:ind w:start="108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1"/>
        <w:ind w:start="108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בית </w:t>
      </w:r>
      <w:r>
        <w:rPr>
          <w:rFonts w:ascii="Century" w:hAnsi="Century" w:cs="Century"/>
          <w:rtl w:val="true"/>
        </w:rPr>
        <w:t>המשפט</w:t>
      </w:r>
      <w:r>
        <w:rPr>
          <w:rtl w:val="true"/>
        </w:rPr>
        <w:t xml:space="preserve"> קמא קבע כי מידת הפגיעה בערכים המוגנים הינה גבוהה</w:t>
      </w:r>
      <w:r>
        <w:rPr>
          <w:rtl w:val="true"/>
        </w:rPr>
        <w:t xml:space="preserve">, </w:t>
      </w:r>
      <w:r>
        <w:rPr>
          <w:rtl w:val="true"/>
        </w:rPr>
        <w:t xml:space="preserve">בציינו את אינוס המתלוננת על ידי הנאשמים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בזה אחר זה</w:t>
      </w:r>
      <w:r>
        <w:rPr>
          <w:rtl w:val="true"/>
        </w:rPr>
        <w:t xml:space="preserve">, </w:t>
      </w:r>
      <w:r>
        <w:rPr>
          <w:rtl w:val="true"/>
        </w:rPr>
        <w:t>תוך ניצול מצבה הקשה</w:t>
      </w:r>
      <w:r>
        <w:rPr>
          <w:rtl w:val="true"/>
        </w:rPr>
        <w:t xml:space="preserve">, </w:t>
      </w:r>
      <w:r>
        <w:rPr>
          <w:rtl w:val="true"/>
        </w:rPr>
        <w:t>כשהמערער מסייע ומאפשר במעשיו את הפגיעה במתלוננת</w:t>
      </w:r>
      <w:r>
        <w:rPr>
          <w:rtl w:val="true"/>
        </w:rPr>
        <w:t xml:space="preserve">. </w:t>
      </w:r>
      <w:r>
        <w:rPr>
          <w:rtl w:val="true"/>
        </w:rPr>
        <w:t>בית המשפט קבע</w:t>
      </w:r>
      <w:r>
        <w:rPr>
          <w:rtl w:val="true"/>
        </w:rPr>
        <w:t xml:space="preserve">, </w:t>
      </w:r>
      <w:r>
        <w:rPr>
          <w:rtl w:val="true"/>
        </w:rPr>
        <w:t>כי מידת מעורבותו של המערער כמי שסייע לביצוע שתי עבירות אינוס הייתה גבוהה</w:t>
      </w:r>
      <w:r>
        <w:rPr>
          <w:rtl w:val="true"/>
        </w:rPr>
        <w:t xml:space="preserve">, </w:t>
      </w:r>
      <w:r>
        <w:rPr>
          <w:rtl w:val="true"/>
        </w:rPr>
        <w:t>שכן הוא שהה מחוץ לחדר</w:t>
      </w:r>
      <w:r>
        <w:rPr>
          <w:rtl w:val="true"/>
        </w:rPr>
        <w:t xml:space="preserve">, </w:t>
      </w:r>
      <w:r>
        <w:rPr>
          <w:rtl w:val="true"/>
        </w:rPr>
        <w:t xml:space="preserve">בעת אינוסה של המתלוננת על ידי הנאשם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כשתרומתו של המערער לסילוקו של איציק שדה</w:t>
      </w:r>
      <w:r>
        <w:rPr>
          <w:rtl w:val="true"/>
        </w:rPr>
        <w:t xml:space="preserve">, </w:t>
      </w:r>
      <w:r>
        <w:rPr>
          <w:rtl w:val="true"/>
        </w:rPr>
        <w:t xml:space="preserve">שנזעק לעזרת המתלוננת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להשלים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תכניתם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הפסקת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ינוס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שביצע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במתלוננת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ואפשרה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האינוס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שביצע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</w:t>
      </w:r>
      <w:r>
        <w:rPr>
          <w:rtl w:val="true"/>
        </w:rPr>
        <w:t xml:space="preserve">".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זקף בית המשפט לזכות המערער את עובדת הצלת המתלוננת וקבע את מתחם העונש ההולם בעניינו משש עד תשע שנות מאסר</w:t>
      </w:r>
      <w:r>
        <w:rPr>
          <w:rtl w:val="true"/>
        </w:rPr>
        <w:t xml:space="preserve">, </w:t>
      </w:r>
      <w:r>
        <w:rPr>
          <w:rtl w:val="true"/>
        </w:rPr>
        <w:t>מיקם אותו בתחתית המתחם וגזר את דינו לשש שנות מאסר לריצוי בפועל</w:t>
      </w:r>
      <w:r>
        <w:rPr>
          <w:rtl w:val="true"/>
        </w:rPr>
        <w:t xml:space="preserve">, </w:t>
      </w:r>
      <w:r>
        <w:rPr>
          <w:rtl w:val="true"/>
        </w:rPr>
        <w:t>בהינתן לקיחת האחריות על ידו</w:t>
      </w:r>
      <w:r>
        <w:rPr>
          <w:rtl w:val="true"/>
        </w:rPr>
        <w:t xml:space="preserve">, </w:t>
      </w:r>
      <w:r>
        <w:rPr>
          <w:rtl w:val="true"/>
        </w:rPr>
        <w:t>הבעת החרטה</w:t>
      </w:r>
      <w:r>
        <w:rPr>
          <w:rtl w:val="true"/>
        </w:rPr>
        <w:t xml:space="preserve">, </w:t>
      </w:r>
      <w:r>
        <w:rPr>
          <w:rtl w:val="true"/>
        </w:rPr>
        <w:t>גילוי האמפתיה כלפי המתלוננת וגילו הצעיר</w:t>
      </w:r>
      <w:r>
        <w:rPr>
          <w:rtl w:val="true"/>
        </w:rPr>
        <w:t>.</w:t>
      </w:r>
    </w:p>
    <w:p>
      <w:pPr>
        <w:pStyle w:val="Ruller41"/>
        <w:ind w:start="108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1"/>
        <w:ind w:start="108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</w:rPr>
      </w:pPr>
      <w:r>
        <w:rPr>
          <w:rtl w:val="true"/>
        </w:rPr>
        <w:t>לטענת</w:t>
      </w:r>
      <w:r>
        <w:rPr>
          <w:rFonts w:ascii="Century" w:hAnsi="Century" w:cs="Century"/>
          <w:rtl w:val="true"/>
        </w:rPr>
        <w:t xml:space="preserve">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העונש שהוטל עליו חמור יתר על המידה ואינו עולה בקנה אחד עם מידת מעורבותו כפי שנקבעה על ידי בית המשפט קמא ומכאן בקשתו להקל בדינו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נקודת המוצא לטיעונו היא העונש שהוטל על טדסה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העומד על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שלהבדיל מהמערער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הורשע בביצוע שתי עבירות אינוס בנסיבות מחמירות וכן בעבירת חטיפה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כשהמערער זוכה מעבירת החטיפה והורשע אך בסיוע לביצוע האונס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ביקש המערער להתחשב בגילו הצעיר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כבן 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בעת ביצוע 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שלא יכול היה לעמוד מול המעורבים האחרים המבוגרים והחזקים ממנו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והיותו אדם זר המרצה עונש מאסר בארץ זרה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ביקש להתחשב במעשה הצלתה של המתלוננת על ידו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באשר לערעור המדינה לבטל את </w:t>
      </w:r>
      <w:r>
        <w:rPr>
          <w:rFonts w:ascii="Century" w:hAnsi="Century" w:cs="Century"/>
          <w:rtl w:val="true"/>
        </w:rPr>
        <w:t>החלטת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הפיצוי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טען כי אין מקום להתערב בהחלטה זו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start="108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באת כוח המשיבה התנגדה לכל הקלה בדינו של המערער וטענה כי עונשו של המסייע אינו נגזר באופן מתמטי מעונשו של המבצע העיקרי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אף שאין חולק על כך כי חלקו של המערער נופל מחלקם של המעורבים האחרים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חמור דיו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משהיה שותף להכנת החדר לקראת הגעת המתלוננת ולסילוקו של איציק שדה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דבר אשר איפשר את ביצוע שני מעשי האונס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באשר לפיצוי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טענה באת כוח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בית המשפט טעה בהחלטתו משביטול זכאותה של המתלוננת לפיצוי פוגעת במתלוננת ושוללת ממנה את האפשרות לקבלת פיצוי במסגרת ההליך הפלילי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גם אם תאותר המתלוננת לאחר המועד שנקבע בהחלטת בית המשפט היא לא תוכל לממש את זכאותה לקבלת פיצוי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לאחר שעיינו בהודעות הערעור הכתובות ושמענו את טיעוני הצדדים 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החלטנו לדחות את ערעור המערער ולקבל את ערעור המדינה בהתייחס להחלטת בית המשפט לעניין הפיצוי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כידוע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אין זה מדרכה של ערכאת הערעור להתערב בענישה שהטילה הערכאה הדיונית אלא במקרים בהם נפלה טעות מהותית בגזר הדין או שהעונש שהוטל חורג ממדיניות הענישה הנהוגה והראויה </w:t>
      </w:r>
      <w:r>
        <w:rPr>
          <w:rFonts w:cs="Century" w:ascii="Century" w:hAnsi="Century"/>
          <w:rtl w:val="true"/>
        </w:rPr>
        <w:t>(</w:t>
      </w:r>
      <w:hyperlink r:id="rId1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8560/18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זבורוף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וההפניות שם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23.4.2020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איננו סבורים כי המקרה שלפנינו בא בקהלם של מקרים אלה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firstLine="72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הרשעתו של המערער בסיוע לביצוע שתי עבירות אינוס בנסיבות מחמירות התבססה על מידת מעורבותו ומודעותו כפי שנקבעה על ידי בית המשפט קמא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המערער נכח בסמוך לרחבת מסעדת השווארמה אם כי לפרק זמן קצר של כשלוש דקות בזמן שיתר המעורבים התגודדו מסביב למתלוננת ורכנו לעברה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מיד ובסמוך למעמד זה המערער והנאשם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עלו לחדרם והמתינו להגעת המתלוננת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בהמשך המערער נכח במקום בעת שהמתלוננת הוכנסה לחדרו על ידי יתר המעורבים והיה ער למצבה ולהעדר הסכמתה לנעשה 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כשמונה דקות לאחר הכנסתה לחדר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השכבתה על המיטה וכליאתה בו ובעוד נאשם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עמה בחדר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הגיע איציק שדה לקול זעקותיה למסדרון שם פגש במערער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בנאשם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ובטדסה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וכששאלם למקום הימצאה של המתלוננת נענה כי איננה שם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אף דאג ללוות את איציק שדה אל מחוץ למסדרון על מנת לוודא כי יעזוב את המקום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מעורבותו של המערער כפי שפורטה לעיל ומניעת הושטת העזרה למתלוננת באמצעות מעורבותו האקטיבית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בסילוקו של שדה מהמקום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היא שאפשרה את ביצוע שני מעשי האינוס בה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firstLine="72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במוקד ערעורו הציב המערער את שאלת היחס שבין העונש שהוטל עליו כמסייע לבין העונש שהוטל על טדסה כמבצע עיקרי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כשעיקר הנמקתו להקלה בדינו נובעת מהרשעתו של טדסה בעבירה נוספת של חטיפת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עבירה ממנה זוכה המערער וכן בשל נסיבת הצלתו את המתלוננת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המשפט קמא היה ער לטיעונים אלה ושקלל אותם יחד עם מכלול שיקולי הקולא שעמדו למערער ולאורם העמיד את עונשו על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מצאנו כי שגגה נפלה מלפני בית המשפט קמא במלאכת גזירת הדין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החוק קובע כי עונשו של המסייע יעמוד על מחצית העונש המירבי הקבוע בצידה של העבירה המושלמת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אך אין משמעות הדבר כי גזירת הדין תעשה באופן מכני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מתמטי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מעשה מספרים במשוואה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שהעונש יעמוד תמיד על מחצית מעונשו של המבצע העיקרי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שכבר נפסק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להקפיד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ותיתכנה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ע</w:t>
      </w:r>
      <w:r>
        <w:rPr>
          <w:rtl w:val="true"/>
        </w:rPr>
        <w:t>"</w:t>
      </w:r>
      <w:hyperlink r:id="rId16"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1820/98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אנג</w:t>
        </w:r>
        <w:r>
          <w:rPr>
            <w:rStyle w:val="Hyperlink"/>
            <w:color w:val="0000FF"/>
            <w:u w:val="single"/>
            <w:rtl w:val="true"/>
          </w:rPr>
          <w:t>'</w:t>
        </w:r>
        <w:r>
          <w:rPr>
            <w:rStyle w:val="Hyperlink"/>
            <w:color w:val="0000FF"/>
            <w:u w:val="single"/>
            <w:rtl w:val="true"/>
          </w:rPr>
          <w:t>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97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(</w:t>
      </w:r>
      <w:r>
        <w:rPr/>
        <w:t>1998</w:t>
      </w:r>
      <w:r>
        <w:rPr>
          <w:rtl w:val="true"/>
        </w:rPr>
        <w:t>)).</w:t>
      </w:r>
    </w:p>
    <w:p>
      <w:pPr>
        <w:pStyle w:val="Ruller5"/>
        <w:ind w:end="1282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מלאכת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מתמטיות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tl w:val="true"/>
        </w:rPr>
        <w:t xml:space="preserve">, </w:t>
      </w:r>
      <w:r>
        <w:rPr>
          <w:rtl w:val="true"/>
        </w:rPr>
        <w:t>שחלקם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tl w:val="true"/>
        </w:rPr>
        <w:t xml:space="preserve">, </w:t>
      </w:r>
      <w:r>
        <w:rPr>
          <w:rtl w:val="true"/>
        </w:rPr>
        <w:t>בבואו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לשקול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לנסיבותיו</w:t>
      </w:r>
      <w:r>
        <w:rPr>
          <w:rtl w:val="true"/>
        </w:rPr>
        <w:t xml:space="preserve">, </w:t>
      </w:r>
      <w:r>
        <w:rPr>
          <w:rtl w:val="true"/>
        </w:rPr>
        <w:t>לפוטנציאל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אוטומטית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הפרטיקולאריות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hyperlink r:id="rId1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4463/12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ארנבורג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13.9.2012</w:t>
      </w:r>
      <w:r>
        <w:rPr>
          <w:rFonts w:cs="Century" w:ascii="Century" w:hAnsi="Century"/>
          <w:rtl w:val="true"/>
        </w:rPr>
        <w:t>))</w:t>
      </w:r>
      <w:r>
        <w:rPr>
          <w:rtl w:val="true"/>
        </w:rPr>
        <w:t>.</w:t>
      </w:r>
    </w:p>
    <w:p>
      <w:pPr>
        <w:pStyle w:val="Ruller41"/>
        <w:ind w:firstLine="72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firstLine="72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בית המשפט קמא הגדיר את תרומתו של המערער לביצוע העבירות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כסיוע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לאחרים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קביעה זו מקובלת עלינו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אלמלא סיועו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שהתבטא בסילוקו של איציק שדה מהמסדרון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שמונה דקות לאחר שהנאשם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הסתגר עם המתלוננת בחדרו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יכול ושני מעשי האונס היו נמנעים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 ועוד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תרומתו של המערער לביצוע לא התמצתה אך בסילוקו של שדה מהמקום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משהתחילה עוד קודם לכן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הסכים להעמיד לרשות בני החבורה את החדר בו התבצעו מעשי האונס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העונש שהוטל על המערער אינו חמור והוא נותן ביטוי הולם למידת מעורבותו בעשייה העבריינית ולמידת מודעותו לתרומתו לה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firstLine="72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ההחלטה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>
          <w:color w:val="FF0000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בהחלטת</w:t>
      </w:r>
      <w:r>
        <w:rPr>
          <w:rtl w:val="true"/>
        </w:rPr>
        <w:t xml:space="preserve"> בית 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שניתנה לאחר מתן גזר הדין שקבע את המועד לתשלום הפיצוי למתלוננת ליום </w:t>
      </w:r>
      <w:r>
        <w:rPr/>
        <w:t>1.10.2019</w:t>
      </w:r>
      <w:r>
        <w:rPr>
          <w:rtl w:val="true"/>
        </w:rPr>
        <w:t xml:space="preserve">, </w:t>
      </w:r>
      <w:r>
        <w:rPr>
          <w:rtl w:val="true"/>
        </w:rPr>
        <w:t xml:space="preserve">נקבע כי אם המתלוננת לא תימצא עד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 xml:space="preserve">ימים לפני המועד שנקבע לתשלום </w:t>
      </w:r>
      <w:r>
        <w:rPr>
          <w:rtl w:val="true"/>
        </w:rPr>
        <w:t>–</w:t>
      </w:r>
      <w:r>
        <w:rPr>
          <w:rtl w:val="true"/>
        </w:rPr>
        <w:t xml:space="preserve"> יבוטל החיוב בפיצוי</w:t>
      </w:r>
      <w:r>
        <w:rPr>
          <w:rtl w:val="true"/>
        </w:rPr>
        <w:t xml:space="preserve">. </w:t>
      </w:r>
      <w:r>
        <w:rPr>
          <w:rtl w:val="true"/>
        </w:rPr>
        <w:t>ההחלטה ביטלה הלכה למעשה את רכיב הפיצוי</w:t>
      </w:r>
      <w:r>
        <w:rPr>
          <w:rtl w:val="true"/>
        </w:rPr>
        <w:t xml:space="preserve">, </w:t>
      </w:r>
      <w:r>
        <w:rPr>
          <w:rtl w:val="true"/>
        </w:rPr>
        <w:t>וזאת מיד לאחר שנפסק הפיצוי בגזר הדין</w:t>
      </w:r>
      <w:r>
        <w:rPr>
          <w:rtl w:val="true"/>
        </w:rPr>
        <w:t xml:space="preserve">. </w:t>
      </w:r>
      <w:r>
        <w:rPr>
          <w:rtl w:val="true"/>
        </w:rPr>
        <w:t>משמעות ההחלטה היא כי אם תאותר המתלוננת לאחר המועד השרירותי שקבע בית משפט קמא</w:t>
      </w:r>
      <w:r>
        <w:rPr>
          <w:rtl w:val="true"/>
        </w:rPr>
        <w:t xml:space="preserve">, </w:t>
      </w:r>
      <w:r>
        <w:rPr>
          <w:rtl w:val="true"/>
        </w:rPr>
        <w:t>היא לא תהא זכאית לפיצוי בגין סבלה הרב והנזק הנפשי והפיזי שנגרם לה</w:t>
      </w:r>
      <w:r>
        <w:rPr>
          <w:rtl w:val="true"/>
        </w:rPr>
        <w:t>.</w:t>
      </w:r>
    </w:p>
    <w:p>
      <w:pPr>
        <w:pStyle w:val="Ruller42"/>
        <w:ind w:end="0"/>
        <w:jc w:val="both"/>
        <w:rPr>
          <w:color w:val="FF0000"/>
        </w:rPr>
      </w:pPr>
      <w:r>
        <w:rPr>
          <w:color w:val="FF0000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להתבטל</w:t>
      </w:r>
      <w:r>
        <w:rPr>
          <w:rtl w:val="true"/>
        </w:rPr>
        <w:t xml:space="preserve">.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במשיכת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קולמוס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הנמקה</w:t>
      </w:r>
      <w:r>
        <w:rPr>
          <w:rtl w:val="true"/>
        </w:rPr>
        <w:t xml:space="preserve">, </w:t>
      </w:r>
      <w:r>
        <w:rPr>
          <w:rtl w:val="true"/>
        </w:rPr>
        <w:t>כשדי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בטלותה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ביסוס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היגיון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בבסיסה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6485/18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(</w:t>
      </w:r>
      <w:r>
        <w:rPr/>
        <w:t>26.12.2019</w:t>
      </w:r>
      <w:r>
        <w:rPr>
          <w:rtl w:val="true"/>
        </w:rPr>
        <w:t>) ("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")).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מתכליותיו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;Arial" w:cs="Arial TUR;Arial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6925/16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רחי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22</w:t>
      </w:r>
      <w:r>
        <w:rPr>
          <w:rtl w:val="true"/>
        </w:rPr>
        <w:t xml:space="preserve"> (</w:t>
      </w:r>
      <w:r>
        <w:rPr/>
        <w:t>12.5.2019</w:t>
      </w:r>
      <w:r>
        <w:rPr>
          <w:rtl w:val="true"/>
        </w:rPr>
        <w:t xml:space="preserve">)).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2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5625/16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אסרף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טווק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וההפניות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13.9.2017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טווק</w:t>
      </w:r>
      <w:r>
        <w:rPr>
          <w:rtl w:val="true"/>
        </w:rPr>
        <w:t xml:space="preserve">)). </w:t>
      </w:r>
      <w:r>
        <w:rPr>
          <w:rtl w:val="true"/>
        </w:rPr>
        <w:t>משמעותה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tl w:val="true"/>
        </w:rPr>
        <w:t xml:space="preserve">, </w:t>
      </w:r>
      <w:r>
        <w:rPr>
          <w:rtl w:val="true"/>
        </w:rPr>
        <w:t>המתנה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מציאתו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באיתורו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היעלמותו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לטובתו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מענישה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4466/12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9-8</w:t>
      </w:r>
      <w:r>
        <w:rPr>
          <w:rtl w:val="true"/>
        </w:rPr>
        <w:t xml:space="preserve"> (</w:t>
      </w:r>
      <w:r>
        <w:rPr/>
        <w:t>12.8.2019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"</w:t>
      </w:r>
      <w:r>
        <w:rPr>
          <w:rtl w:val="true"/>
        </w:rPr>
        <w:t>מציאתו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, </w:t>
      </w:r>
      <w:r>
        <w:rPr>
          <w:rtl w:val="true"/>
        </w:rPr>
        <w:t>ומעל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כניזוקים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עקיפים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). </w:t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זכאותו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באיתורו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מציאתו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החיוב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לאור כל האמור לעיל</w:t>
      </w:r>
      <w:r>
        <w:rPr>
          <w:rtl w:val="true"/>
        </w:rPr>
        <w:t xml:space="preserve">, </w:t>
      </w:r>
      <w:r>
        <w:rPr>
          <w:rtl w:val="true"/>
        </w:rPr>
        <w:t>החלטנו לדחות את ערעור המערער ולקבל את ערעור המדינה כך שהחלטת בית המשפט לעניין הפיצוי תבוטל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8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25.1.2021</w:t>
      </w:r>
      <w:r>
        <w:rPr>
          <w:rtl w:val="true"/>
        </w:rPr>
        <w:t xml:space="preserve">). </w:t>
      </w:r>
      <w:bookmarkEnd w:id="18"/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19058570</w:t>
      </w:r>
      <w:r>
        <w:rPr>
          <w:sz w:val="16"/>
          <w:rtl w:val="true"/>
        </w:rPr>
        <w:t>_</w:t>
      </w:r>
      <w:r>
        <w:rPr>
          <w:sz w:val="16"/>
        </w:rPr>
        <w:t>Q07.docx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  <w:r>
        <w:rPr>
          <w:rtl w:val="true"/>
        </w:rPr>
        <w:t>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4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Cs w:val="22"/>
        </w:rPr>
      </w:pPr>
      <w:r>
        <w:rPr>
          <w:rFonts w:cs="David;Malgun Gothic Semilight" w:ascii="David;Malgun Gothic Semilight" w:hAnsi="David;Malgun Gothic Semilight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Cs w:val="22"/>
        </w:rPr>
      </w:pPr>
      <w:r>
        <w:rPr>
          <w:rFonts w:ascii="David;Malgun Gothic Semilight" w:hAnsi="David;Malgun Gothic Semilight"/>
          <w:color w:val="000000"/>
          <w:szCs w:val="22"/>
          <w:rtl w:val="true"/>
        </w:rPr>
        <w:t>ע</w:t>
      </w:r>
      <w:r>
        <w:rPr>
          <w:rFonts w:cs="David;Malgun Gothic Semilight" w:ascii="David;Malgun Gothic Semilight" w:hAnsi="David;Malgun Gothic Semilight"/>
          <w:color w:val="000000"/>
          <w:szCs w:val="22"/>
          <w:rtl w:val="true"/>
        </w:rPr>
        <w:t xml:space="preserve">' </w:t>
      </w:r>
      <w:r>
        <w:rPr>
          <w:rFonts w:ascii="David;Malgun Gothic Semilight" w:hAnsi="David;Malgun Gothic Semilight"/>
          <w:color w:val="000000"/>
          <w:szCs w:val="22"/>
          <w:rtl w:val="true"/>
        </w:rPr>
        <w:t xml:space="preserve">פוגלמן </w:t>
      </w:r>
      <w:r>
        <w:rPr>
          <w:rFonts w:cs="David;Malgun Gothic Semilight" w:ascii="David;Malgun Gothic Semilight" w:hAnsi="David;Malgun Gothic Semilight"/>
          <w:color w:val="000000"/>
          <w:szCs w:val="22"/>
        </w:rPr>
        <w:t>54678313-5857/19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altName w:val="Malgun Gothic Semilight"/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10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Malgun Gothic Semilight" w:hAnsi="David;Malgun Gothic Semilight" w:cs="David;Malgun Gothic Semilight"/>
        <w:color w:val="000000"/>
        <w:sz w:val="22"/>
        <w:szCs w:val="22"/>
      </w:rPr>
    </w:pP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 xml:space="preserve">עפ </w:t>
    </w:r>
    <w:r>
      <w:rPr>
        <w:rFonts w:cs="David;Malgun Gothic Semilight" w:ascii="David;Malgun Gothic Semilight" w:hAnsi="David;Malgun Gothic Semilight"/>
        <w:color w:val="000000"/>
        <w:sz w:val="22"/>
        <w:szCs w:val="22"/>
      </w:rPr>
      <w:t>5857/19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מדינת ישראל נ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'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אמנאל טקיה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1440" w:hanging="360"/>
      </w:pPr>
      <w:rPr>
        <w:sz w:val="24"/>
        <w:szCs w:val="24"/>
        <w:rFonts w:cs="FrankRuehl;Times New Roman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Malgun Gothic Semilight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cs="FrankRuehl;Times New Roman"/>
      <w:color w:val="000000"/>
      <w:sz w:val="24"/>
      <w:szCs w:val="24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Malgun Gothic Semilight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Malgun Gothic Semilight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Malgun Gothic Semilight"/>
    </w:rPr>
  </w:style>
  <w:style w:type="character" w:styleId="CharChar1">
    <w:name w:val=" Char Char1"/>
    <w:qFormat/>
    <w:rPr>
      <w:rFonts w:cs="David;Malgun Gothic Semilight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 4 ממוספר תו"/>
    <w:qFormat/>
    <w:rPr>
      <w:rFonts w:ascii="Garamond" w:hAnsi="Garamond" w:cs="FrankRuehl;Times New Roman"/>
      <w:spacing w:val="10"/>
      <w:sz w:val="24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Malgun Gothic Semilight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/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493204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77" TargetMode="External"/><Relationship Id="rId6" Type="http://schemas.openxmlformats.org/officeDocument/2006/relationships/hyperlink" Target="http://www.nevo.co.il/law/70301/345.a.1" TargetMode="External"/><Relationship Id="rId7" Type="http://schemas.openxmlformats.org/officeDocument/2006/relationships/hyperlink" Target="http://www.nevo.co.il/law/70301/345.a.4" TargetMode="External"/><Relationship Id="rId8" Type="http://schemas.openxmlformats.org/officeDocument/2006/relationships/hyperlink" Target="http://www.nevo.co.il/law/70301/345.b.5" TargetMode="External"/><Relationship Id="rId9" Type="http://schemas.openxmlformats.org/officeDocument/2006/relationships/hyperlink" Target="http://www.nevo.co.il/case/20493204" TargetMode="External"/><Relationship Id="rId10" Type="http://schemas.openxmlformats.org/officeDocument/2006/relationships/hyperlink" Target="http://www.nevo.co.il/law/70301/345.a.1" TargetMode="External"/><Relationship Id="rId11" Type="http://schemas.openxmlformats.org/officeDocument/2006/relationships/hyperlink" Target="http://www.nevo.co.il/law/70301/345.a.4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345.b.5" TargetMode="External"/><Relationship Id="rId14" Type="http://schemas.openxmlformats.org/officeDocument/2006/relationships/hyperlink" Target="http://www.nevo.co.il/law/70301/31" TargetMode="External"/><Relationship Id="rId15" Type="http://schemas.openxmlformats.org/officeDocument/2006/relationships/hyperlink" Target="http://www.nevo.co.il/case/25202729" TargetMode="External"/><Relationship Id="rId16" Type="http://schemas.openxmlformats.org/officeDocument/2006/relationships/hyperlink" Target="http://www.nevo.co.il/case/1311773" TargetMode="External"/><Relationship Id="rId17" Type="http://schemas.openxmlformats.org/officeDocument/2006/relationships/hyperlink" Target="http://www.nevo.co.il/case/5587527" TargetMode="External"/><Relationship Id="rId18" Type="http://schemas.openxmlformats.org/officeDocument/2006/relationships/hyperlink" Target="http://www.nevo.co.il/case/24975741" TargetMode="External"/><Relationship Id="rId19" Type="http://schemas.openxmlformats.org/officeDocument/2006/relationships/hyperlink" Target="http://www.nevo.co.il/law/70301/77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21759543" TargetMode="External"/><Relationship Id="rId22" Type="http://schemas.openxmlformats.org/officeDocument/2006/relationships/hyperlink" Target="http://www.nevo.co.il/case/21477594" TargetMode="External"/><Relationship Id="rId23" Type="http://schemas.openxmlformats.org/officeDocument/2006/relationships/hyperlink" Target="http://www.nevo.co.il/case/6245656" TargetMode="External"/><Relationship Id="rId24" Type="http://schemas.openxmlformats.org/officeDocument/2006/relationships/hyperlink" Target="http://supreme.court.gov.il/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2021-01-26T11:03:00Z</dcterms:created>
  <dc:creator>h4</dc:creator>
  <dc:description/>
  <cp:keywords/>
  <dc:language>en-IL</dc:language>
  <cp:lastModifiedBy>orly</cp:lastModifiedBy>
  <cp:lastPrinted>2021-01-25T10:05:00Z</cp:lastPrinted>
  <dcterms:modified xsi:type="dcterms:W3CDTF">2021-01-26T11:03:00Z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אמנאל טקיה;טקאלי גברו;אטקלה אבטרמרים;אפרים קידנה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20493204:2;25202729;1311773;5587527;24975741;21759543;21477594;6245656</vt:lpwstr>
  </property>
  <property fmtid="{D5CDD505-2E9C-101B-9397-08002B2CF9AE}" pid="9" name="CITY">
    <vt:lpwstr/>
  </property>
  <property fmtid="{D5CDD505-2E9C-101B-9397-08002B2CF9AE}" pid="10" name="DATE">
    <vt:lpwstr>20210125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פוגלמן;ג' קרא;א' שטיין</vt:lpwstr>
  </property>
  <property fmtid="{D5CDD505-2E9C-101B-9397-08002B2CF9AE}" pid="14" name="LAWLISTTMP1">
    <vt:lpwstr>70301/345.a.1;345.a.4;345.b.5;031;077</vt:lpwstr>
  </property>
  <property fmtid="{D5CDD505-2E9C-101B-9397-08002B2CF9AE}" pid="15" name="LAWYER">
    <vt:lpwstr>ענת גרינבאום;שרה טל;איתי בן נון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פיצויים והוצאות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1446;1446;1446;1447</vt:lpwstr>
  </property>
  <property fmtid="{D5CDD505-2E9C-101B-9397-08002B2CF9AE}" pid="48" name="NOSE31">
    <vt:lpwstr>סיוע</vt:lpwstr>
  </property>
  <property fmtid="{D5CDD505-2E9C-101B-9397-08002B2CF9AE}" pid="49" name="NOSE310">
    <vt:lpwstr/>
  </property>
  <property fmtid="{D5CDD505-2E9C-101B-9397-08002B2CF9AE}" pid="50" name="NOSE32">
    <vt:lpwstr>מדיניות ענישה: שיקולים</vt:lpwstr>
  </property>
  <property fmtid="{D5CDD505-2E9C-101B-9397-08002B2CF9AE}" pid="51" name="NOSE33">
    <vt:lpwstr>מדיניות ענישה: התערבות ערכאת ערעור</vt:lpwstr>
  </property>
  <property fmtid="{D5CDD505-2E9C-101B-9397-08002B2CF9AE}" pid="52" name="NOSE34">
    <vt:lpwstr>פיצויו של מי שניזוק על-ידי העבירה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8998;8994;8982;9011</vt:lpwstr>
  </property>
  <property fmtid="{D5CDD505-2E9C-101B-9397-08002B2CF9AE}" pid="59" name="PADIDATE">
    <vt:lpwstr>20210126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עפ;עפ</vt:lpwstr>
  </property>
  <property fmtid="{D5CDD505-2E9C-101B-9397-08002B2CF9AE}" pid="64" name="PROCNUM">
    <vt:lpwstr>5857;5966</vt:lpwstr>
  </property>
  <property fmtid="{D5CDD505-2E9C-101B-9397-08002B2CF9AE}" pid="65" name="PROCYEAR">
    <vt:lpwstr>19;19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410120210125</vt:lpwstr>
  </property>
  <property fmtid="{D5CDD505-2E9C-101B-9397-08002B2CF9AE}" pid="69" name="TYPE_N_DATE">
    <vt:lpwstr>41020210125</vt:lpwstr>
  </property>
  <property fmtid="{D5CDD505-2E9C-101B-9397-08002B2CF9AE}" pid="70" name="VOLUME">
    <vt:lpwstr/>
  </property>
  <property fmtid="{D5CDD505-2E9C-101B-9397-08002B2CF9AE}" pid="71" name="WORDNUMPAGES">
    <vt:lpwstr>9</vt:lpwstr>
  </property>
</Properties>
</file>