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5922/22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ודים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קוזלוב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נפגעת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67483-07-19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19.07.2022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משניות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05.07.2023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יגאל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בלפור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נתנאל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יעקב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חי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טישלר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קוריס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כתבי עת</w:t>
      </w:r>
      <w:hyperlink r:id="rId3">
        <w:r>
          <w:rPr>
            <w:rFonts w:cs="FrankRuehl" w:ascii="FrankRuehl" w:hAnsi="FrankRuehl"/>
            <w:spacing w:val="0"/>
            <w:sz w:val="24"/>
            <w:szCs w:val="24"/>
            <w:rtl w:val="true"/>
          </w:rPr>
          <w:t>: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4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מרדכי קרמניצר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על הניסיון לרצח במשפטנו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ח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487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5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 פלר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מאסר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עולם חובה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מאסר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עולם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"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ומאסר ‏‏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עשרים שנה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</w:rPr>
          <w:t>‎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"‎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משפט וממשל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ב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507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6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דן ביין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הערות לעבירת  הניסיון לאור תיקון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39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לחוק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המשפט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297</w:t>
        </w:r>
      </w:hyperlink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8" w:name="Links_Kitvei_End"/>
      <w:bookmarkStart w:id="9" w:name="Links_Kitvei_End"/>
      <w:bookmarkEnd w:id="9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10" w:name="Links_Start"/>
      <w:bookmarkEnd w:id="10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ספרות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>: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pacing w:val="0"/>
          <w:sz w:val="24"/>
          <w:szCs w:val="24"/>
          <w:u w:val="none"/>
        </w:rPr>
      </w:pPr>
      <w:hyperlink r:id="rId7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ז פלר   </w:t>
        </w:r>
        <w:r>
          <w:rPr>
            <w:rStyle w:val="Hyperlink"/>
            <w:rFonts w:ascii="FrankRuehl" w:hAnsi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יסודות בדיני עונשין 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pacing w:val="0"/>
          <w:sz w:val="24"/>
          <w:szCs w:val="24"/>
        </w:rPr>
      </w:pPr>
      <w:hyperlink r:id="rId8">
        <w:r>
          <w:rPr>
            <w:rFonts w:ascii="FrankRuehl" w:hAnsi="FrankRuehl"/>
            <w:color w:val="000000"/>
            <w:spacing w:val="0"/>
            <w:sz w:val="24"/>
            <w:sz w:val="24"/>
            <w:szCs w:val="24"/>
            <w:rtl w:val="true"/>
          </w:rPr>
          <w:t>יורם רבין</w:t>
        </w:r>
      </w:hyperlink>
      <w:r>
        <w:rPr>
          <w:rFonts w:cs="FrankRuehl" w:ascii="FrankRuehl" w:hAnsi="FrankRuehl"/>
          <w:color w:val="000000"/>
          <w:spacing w:val="0"/>
          <w:sz w:val="24"/>
          <w:szCs w:val="24"/>
          <w:rtl w:val="true"/>
        </w:rPr>
        <w:t xml:space="preserve">, </w:t>
      </w:r>
      <w:r>
        <w:rPr>
          <w:rFonts w:ascii="FrankRuehl" w:hAnsi="FrankRuehl"/>
          <w:color w:val="000000"/>
          <w:spacing w:val="0"/>
          <w:sz w:val="24"/>
          <w:sz w:val="24"/>
          <w:szCs w:val="24"/>
          <w:rtl w:val="true"/>
        </w:rPr>
        <w:t xml:space="preserve">יניב ואקי   </w:t>
      </w:r>
      <w:r>
        <w:rPr>
          <w:rFonts w:ascii="FrankRuehl" w:hAnsi="FrankRuehl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דיני עונשין  </w:t>
      </w:r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color w:val="000000"/>
          <w:spacing w:val="0"/>
          <w:sz w:val="24"/>
          <w:szCs w:val="24"/>
        </w:rPr>
      </w:pPr>
      <w:r>
        <w:rPr>
          <w:rFonts w:cs="FrankRuehl" w:ascii="FrankRuehl" w:hAnsi="FrankRuehl"/>
          <w:color w:val="000000"/>
          <w:spacing w:val="0"/>
          <w:sz w:val="24"/>
          <w:szCs w:val="24"/>
          <w:rtl w:val="true"/>
        </w:rPr>
      </w:r>
      <w:bookmarkStart w:id="11" w:name="Links_End"/>
      <w:bookmarkStart w:id="12" w:name="Links_End"/>
      <w:bookmarkEnd w:id="12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13" w:name="LawTable"/>
      <w:bookmarkEnd w:id="13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9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2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4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34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4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298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305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305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21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311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22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פקודת החוק הפלילי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1936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2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2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ד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2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214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2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216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222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28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חוק לתיקון דיני העונשין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דרכי ענישה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תשי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1954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2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</w:t>
        </w:r>
      </w:hyperlink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14" w:name="LawTable_End"/>
      <w:bookmarkStart w:id="15" w:name="LawTable_End"/>
      <w:bookmarkEnd w:id="15"/>
    </w:p>
    <w:p>
      <w:pPr>
        <w:pStyle w:val="Ruller43"/>
        <w:numPr>
          <w:ilvl w:val="0"/>
          <w:numId w:val="0"/>
        </w:numPr>
        <w:pBdr>
          <w:top w:val="single" w:sz="4" w:space="1" w:color="333399"/>
          <w:bottom w:val="single" w:sz="4" w:space="1" w:color="333399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6" w:name="ABSTRACT_START"/>
      <w:bookmarkEnd w:id="16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333399"/>
          <w:bottom w:val="single" w:sz="4" w:space="1" w:color="333399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פסק כי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הרפורמה בעבירות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לשם הרשעה בעבירת ניסיון לרצח לפי סעיף </w:t>
      </w:r>
      <w:r>
        <w:rPr>
          <w:rFonts w:cs="Times New Roman" w:ascii="Times New Roman" w:hAnsi="Times New Roman"/>
          <w:spacing w:val="0"/>
          <w:szCs w:val="26"/>
        </w:rPr>
        <w:t>305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די בהוכחה של כוונה רגילה ולא נדרשת הוכחת כוונה תחילה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ב</w:t>
      </w:r>
      <w:r>
        <w:rPr>
          <w:rFonts w:ascii="Times New Roman" w:hAnsi="Times New Roman" w:cs="Times New Roman"/>
          <w:spacing w:val="0"/>
          <w:szCs w:val="26"/>
          <w:rtl w:val="true"/>
        </w:rPr>
        <w:t>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לתת משקל משמעותי ל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נאשם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 בניסיון לרצח בכוונה רגילה ולא בכוונה תחילה בבואו לגזור את 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הורשע בניסיון לרצח בכוונה רגילה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ובמכלול נסיבות העניין יש להפחית קמעא בעונשו כך שירצה </w:t>
      </w:r>
      <w:r>
        <w:rPr>
          <w:rFonts w:cs="Times New Roman" w:ascii="Times New Roman" w:hAnsi="Times New Roman"/>
          <w:spacing w:val="0"/>
          <w:szCs w:val="26"/>
        </w:rPr>
        <w:t>11.5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שנות מאסר בפועל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Cs w:val="26"/>
        </w:rPr>
        <w:t>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333399"/>
          <w:bottom w:val="single" w:sz="4" w:space="1" w:color="333399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ניסיון לרצח</w:t>
      </w:r>
    </w:p>
    <w:p>
      <w:pPr>
        <w:pStyle w:val="Ruller43"/>
        <w:numPr>
          <w:ilvl w:val="0"/>
          <w:numId w:val="0"/>
        </w:numPr>
        <w:pBdr>
          <w:top w:val="single" w:sz="4" w:space="1" w:color="333399"/>
          <w:bottom w:val="single" w:sz="4" w:space="1" w:color="333399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ניסיון – רצח</w:t>
      </w:r>
    </w:p>
    <w:p>
      <w:pPr>
        <w:pStyle w:val="Ruller43"/>
        <w:numPr>
          <w:ilvl w:val="0"/>
          <w:numId w:val="0"/>
        </w:numPr>
        <w:pBdr>
          <w:top w:val="single" w:sz="4" w:space="1" w:color="333399"/>
          <w:bottom w:val="single" w:sz="4" w:space="1" w:color="333399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ניסיון – המחשבה הפלילית</w:t>
      </w:r>
    </w:p>
    <w:p>
      <w:pPr>
        <w:pStyle w:val="Ruller43"/>
        <w:numPr>
          <w:ilvl w:val="0"/>
          <w:numId w:val="0"/>
        </w:numPr>
        <w:pBdr>
          <w:top w:val="single" w:sz="4" w:space="1" w:color="333399"/>
          <w:bottom w:val="single" w:sz="4" w:space="1" w:color="333399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מחשבה פלילית – כוונה</w:t>
      </w:r>
    </w:p>
    <w:p>
      <w:pPr>
        <w:pStyle w:val="Ruller43"/>
        <w:numPr>
          <w:ilvl w:val="0"/>
          <w:numId w:val="0"/>
        </w:numPr>
        <w:pBdr>
          <w:top w:val="single" w:sz="4" w:space="1" w:color="333399"/>
          <w:bottom w:val="single" w:sz="4" w:space="1" w:color="333399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מחשבה פלילית – כוונה תחילה</w:t>
      </w:r>
    </w:p>
    <w:p>
      <w:pPr>
        <w:pStyle w:val="Ruller43"/>
        <w:numPr>
          <w:ilvl w:val="0"/>
          <w:numId w:val="0"/>
        </w:numPr>
        <w:pBdr>
          <w:top w:val="single" w:sz="4" w:space="1" w:color="333399"/>
          <w:bottom w:val="single" w:sz="4" w:space="1" w:color="333399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ניסיון לרצח</w:t>
      </w:r>
    </w:p>
    <w:p>
      <w:pPr>
        <w:pStyle w:val="Ruller43"/>
        <w:numPr>
          <w:ilvl w:val="0"/>
          <w:numId w:val="0"/>
        </w:numPr>
        <w:pBdr>
          <w:top w:val="single" w:sz="4" w:space="1" w:color="333399"/>
          <w:bottom w:val="single" w:sz="4" w:space="1" w:color="333399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לקולה</w:t>
      </w:r>
    </w:p>
    <w:p>
      <w:pPr>
        <w:pStyle w:val="Ruller43"/>
        <w:numPr>
          <w:ilvl w:val="0"/>
          <w:numId w:val="0"/>
        </w:numPr>
        <w:pBdr>
          <w:top w:val="single" w:sz="4" w:space="1" w:color="333399"/>
          <w:bottom w:val="single" w:sz="4" w:space="1" w:color="333399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333399"/>
          <w:bottom w:val="single" w:sz="4" w:space="1" w:color="333399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גזר דינו של ב</w:t>
      </w:r>
      <w:r>
        <w:rPr>
          <w:rFonts w:ascii="Times New Roman" w:hAnsi="Times New Roman" w:cs="Times New Roman"/>
          <w:spacing w:val="0"/>
          <w:szCs w:val="26"/>
          <w:rtl w:val="true"/>
        </w:rPr>
        <w:t>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שבגדרו נגזרו על המערער </w:t>
      </w:r>
      <w:r>
        <w:rPr>
          <w:rFonts w:cs="Times New Roman" w:ascii="Times New Roman" w:hAnsi="Times New Roman"/>
          <w:spacing w:val="0"/>
          <w:szCs w:val="26"/>
        </w:rPr>
        <w:t>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החל מיום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מאסר מותנה ופיצוי למתלוננת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אישה מבוגרת ממנה נהג ללוות כספים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הרשעתו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בעבירה של ניסיון לרצח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Cs w:val="26"/>
        </w:rPr>
        <w:t>305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>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pBdr>
          <w:top w:val="single" w:sz="4" w:space="1" w:color="333399"/>
          <w:bottom w:val="single" w:sz="4" w:space="1" w:color="333399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333399"/>
          <w:bottom w:val="single" w:sz="4" w:space="1" w:color="333399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כבוב ובהסכמת השופטים סולברג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גרוסקופף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בחלקו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333399"/>
          <w:bottom w:val="single" w:sz="4" w:space="1" w:color="333399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אשר להכרעת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להחיל בעניינו של המערער את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חזקת הכוונה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Cs w:val="26"/>
          <w:rtl w:val="true"/>
        </w:rPr>
        <w:t>חזקה זו מלמדת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המערער התכוון לתוצאות הטבעיות של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ואילו התוצאה הטבעית של חניקת אישה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באה בימים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עד שזו מכחילה ומאבדת את הכרתה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היא מותה כעבור זמן לא רב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קיבל את הצעת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העליון וחזר בו מה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 על הכרעת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ולפיכך הערעור על הכרעת הדין נדחה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333399"/>
          <w:bottom w:val="single" w:sz="4" w:space="1" w:color="333399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אשר לגזר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עמד באריכות על </w:t>
      </w:r>
      <w:r>
        <w:rPr>
          <w:rFonts w:ascii="Times New Roman" w:hAnsi="Times New Roman" w:cs="Times New Roman"/>
          <w:spacing w:val="0"/>
          <w:szCs w:val="26"/>
          <w:rtl w:val="true"/>
        </w:rPr>
        <w:t>גלגולי היסוד הנפשי בעבירת הניסיון לרצח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ודן בשאלה </w:t>
      </w:r>
      <w:r>
        <w:rPr>
          <w:rFonts w:ascii="Times New Roman" w:hAnsi="Times New Roman" w:cs="Times New Roman"/>
          <w:spacing w:val="0"/>
          <w:szCs w:val="26"/>
          <w:rtl w:val="true"/>
        </w:rPr>
        <w:t>מהו היסוד הנפשי הנדרש להרשעה בעבירה של ניסיון לרצח לאחר הרפורמה בעבירות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ציין כי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דרישת כוונה תחילה כתנאי לתחולתו של סעיף </w:t>
      </w:r>
      <w:r>
        <w:rPr>
          <w:rFonts w:cs="Times New Roman" w:ascii="Times New Roman" w:hAnsi="Times New Roman"/>
          <w:spacing w:val="0"/>
          <w:szCs w:val="26"/>
        </w:rPr>
        <w:t>305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הרפורמה בעבירות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יוצרת תוצאה מוקשית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>לא יתכן שדינו של מי שהורשע בניסיון לרצח בכוונה תחילה יהא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לכל היותר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Cs w:val="26"/>
        </w:rPr>
        <w:t>305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בעוד שמי שהורשע בעבירה של ניסיון לרצח בכוונה רגילה חשוף לעונש של מאסר עולם בלתי קצוב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 מאסר לתקופה של </w:t>
      </w:r>
      <w:r>
        <w:rPr>
          <w:rFonts w:cs="Times New Roman" w:ascii="Times New Roman" w:hAnsi="Times New Roman"/>
          <w:spacing w:val="0"/>
          <w:szCs w:val="26"/>
        </w:rPr>
        <w:t>30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333399"/>
          <w:bottom w:val="single" w:sz="4" w:space="1" w:color="333399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פסק כי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הרפורמה בעבירות ההמתה די בהוכחה של כוונה רגילה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לשם הרשעה בעבירת ניסיון לרצח לפי סעיף </w:t>
      </w:r>
      <w:r>
        <w:rPr>
          <w:rFonts w:cs="Times New Roman" w:ascii="Times New Roman" w:hAnsi="Times New Roman"/>
          <w:spacing w:val="0"/>
          <w:szCs w:val="26"/>
        </w:rPr>
        <w:t>305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נדרשת הוכחת כוונה תחילה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נפל פגם בהכרעת דינו של ב</w:t>
      </w:r>
      <w:r>
        <w:rPr>
          <w:rFonts w:ascii="Times New Roman" w:hAnsi="Times New Roman" w:cs="Times New Roman"/>
          <w:spacing w:val="0"/>
          <w:szCs w:val="26"/>
          <w:rtl w:val="true"/>
        </w:rPr>
        <w:t>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בגדרה הורשע המערער בעבירת ניסיון לרצח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מבלי להידרש להוכחת יסוד נפשי של כוונה תחילה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333399"/>
          <w:bottom w:val="single" w:sz="4" w:space="1" w:color="333399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פסק כי על </w:t>
      </w:r>
      <w:r>
        <w:rPr>
          <w:rFonts w:ascii="Times New Roman" w:hAnsi="Times New Roman" w:cs="Times New Roman"/>
          <w:spacing w:val="0"/>
          <w:szCs w:val="26"/>
          <w:rtl w:val="true"/>
        </w:rPr>
        <w:t>אף שניתן כיום להרשיע נאשם בעבירה של ניסיון לרצח מבלי להוכיח יסוד נפשי של כוונה תחילה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היסוד הנפשי המיוחס לנאשם שניסה לעבור את עבירת הרצח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בין אם כוונה רגילה או כוונה תחילה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ראוי שישפיע על קביעת העונש הראוי גם במצב המשפטי הנוהג היום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333399"/>
          <w:bottom w:val="single" w:sz="4" w:space="1" w:color="333399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ציין כי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 הדעת המסור לבתי המשפט בגזירת העונש בעבירות של ניסיון בכלל ובעבירות ניסיון לרצח בפרט רחב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ולכן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למצוא בפסיקה מנעד רחב של עונשים שנגזרו על נאשמים בעבירות של ניסיון לרצח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לנסיבות העבירה הכוללות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ולנזק שנגרם לקורבן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במקרה זה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שנגזר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שלא הוכחה בעניינו כוונה תחילה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ושלא גרם למתלוננת לחבלות פיזיות חמורות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חורג באופן משמעותי מהענישה המקובלת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 קיים אלמנט מחמיר שעניינו בכך שהמתלוננת היא אישה באה בימים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המערער גמל לה רעה תחת טובה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ותקף אותה בתוך ביתה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ניתן משקל מספק לנ</w:t>
      </w:r>
      <w:r>
        <w:rPr>
          <w:rFonts w:ascii="Times New Roman" w:hAnsi="Times New Roman" w:cs="Times New Roman"/>
          <w:spacing w:val="0"/>
          <w:szCs w:val="26"/>
          <w:rtl w:val="true"/>
        </w:rPr>
        <w:t>סיבות האישיות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סובל מבידול חברתי ומהתמכרות לסמים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333399"/>
          <w:bottom w:val="single" w:sz="4" w:space="1" w:color="333399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</w:t>
      </w:r>
      <w:r>
        <w:rPr>
          <w:rFonts w:ascii="Times New Roman" w:hAnsi="Times New Roman" w:cs="Times New Roman"/>
          <w:spacing w:val="0"/>
          <w:szCs w:val="26"/>
          <w:rtl w:val="true"/>
        </w:rPr>
        <w:t>הו מקרה חריג המצדיק הקלה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אם מדודה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בענישה שנגזרה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בהיותה חורגת באופן משמעותי מהענישה הנוהגת בנסיבות דומות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</w:t>
      </w:r>
      <w:r>
        <w:rPr>
          <w:rFonts w:ascii="Times New Roman" w:hAnsi="Times New Roman" w:cs="Times New Roman"/>
          <w:spacing w:val="0"/>
          <w:szCs w:val="26"/>
          <w:rtl w:val="true"/>
        </w:rPr>
        <w:t>ים שה</w:t>
      </w:r>
      <w:r>
        <w:rPr>
          <w:rFonts w:ascii="Times New Roman" w:hAnsi="Times New Roman" w:cs="Times New Roman"/>
          <w:spacing w:val="0"/>
          <w:szCs w:val="26"/>
          <w:rtl w:val="true"/>
        </w:rPr>
        <w:t>ביא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קמא כדי ללמד על מדיניות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שונים בשני מאפיינים מרכזיים מהמקרה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הראשון קשור ליסוד הנפשי שיוחס למערער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כוונה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רגילה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Cs w:val="26"/>
          <w:rtl w:val="true"/>
        </w:rPr>
        <w:t>להבדיל מ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כוונה תחילה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'; </w:t>
      </w:r>
      <w:r>
        <w:rPr>
          <w:rFonts w:ascii="Times New Roman" w:hAnsi="Times New Roman" w:cs="Times New Roman"/>
          <w:spacing w:val="0"/>
          <w:szCs w:val="26"/>
          <w:rtl w:val="true"/>
        </w:rPr>
        <w:t>והשני קשור לטיב הנזק שנגרם לקורבן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</w:t>
      </w:r>
      <w:r>
        <w:rPr>
          <w:rFonts w:ascii="Times New Roman" w:hAnsi="Times New Roman" w:cs="Times New Roman"/>
          <w:spacing w:val="0"/>
          <w:szCs w:val="26"/>
          <w:rtl w:val="true"/>
        </w:rPr>
        <w:t>כלול הנסיבות יש להקל קמעא בעונשו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ירצה עונש מאסר בן </w:t>
      </w:r>
      <w:r>
        <w:rPr>
          <w:rFonts w:cs="Times New Roman" w:ascii="Times New Roman" w:hAnsi="Times New Roman"/>
          <w:spacing w:val="0"/>
          <w:szCs w:val="26"/>
        </w:rPr>
        <w:t>11.5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שנים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Cs w:val="26"/>
        </w:rPr>
        <w:t>13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רכיבי גזר הדין יעמדו בעינם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7" w:name="ABSTRACT_END"/>
      <w:bookmarkStart w:id="18" w:name="ABSTRACT_END"/>
      <w:bookmarkEnd w:id="18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9" w:name="PsakDin"/>
            <w:bookmarkStart w:id="20" w:name="BeginProtocol"/>
            <w:bookmarkStart w:id="21" w:name="secretary"/>
            <w:bookmarkEnd w:id="19"/>
            <w:bookmarkEnd w:id="20"/>
            <w:bookmarkEnd w:id="2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2" w:name="Writer_Name"/>
      <w:bookmarkStart w:id="23" w:name="Writer_Name"/>
      <w:bookmarkEnd w:id="23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כבוב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bookmarkStart w:id="24" w:name="Start_Write"/>
      <w:bookmarkEnd w:id="24"/>
      <w:r>
        <w:rPr>
          <w:rtl w:val="true"/>
        </w:rPr>
        <w:t>לפנינו ערעור על גזר דינו של בית המשפט המחוזי בבאר</w:t>
      </w:r>
      <w:r>
        <w:rPr>
          <w:rtl w:val="true"/>
        </w:rPr>
        <w:t>-</w:t>
      </w:r>
      <w:r>
        <w:rPr>
          <w:rtl w:val="true"/>
        </w:rPr>
        <w:t xml:space="preserve">שבע </w:t>
      </w:r>
      <w:r>
        <w:rPr>
          <w:rtl w:val="true"/>
        </w:rPr>
        <w:t>(</w:t>
      </w:r>
      <w:r>
        <w:rPr>
          <w:rtl w:val="true"/>
        </w:rPr>
        <w:t xml:space="preserve">כבוד סגנית הנשיאה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והשופטים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משניות</w:t>
      </w:r>
      <w:r>
        <w:rPr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</w:t>
      </w:r>
      <w:hyperlink r:id="rId30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תפ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ח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67483-07-19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19.07.2022</w:t>
      </w:r>
      <w:r>
        <w:rPr>
          <w:rtl w:val="true"/>
        </w:rPr>
        <w:t xml:space="preserve">, </w:t>
      </w:r>
      <w:r>
        <w:rPr>
          <w:rtl w:val="true"/>
        </w:rPr>
        <w:t xml:space="preserve">שבגדרו נגזרו על המערער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 מאסר החל מיום מעצרו</w:t>
      </w:r>
      <w:r>
        <w:rPr>
          <w:rtl w:val="true"/>
        </w:rPr>
        <w:t xml:space="preserve">, </w:t>
      </w:r>
      <w:r>
        <w:rPr>
          <w:rtl w:val="true"/>
        </w:rPr>
        <w:t>לצד מאסר מותנה ופיצוי למתלוננת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בגין הרשעתו</w:t>
      </w:r>
      <w:r>
        <w:rPr>
          <w:rtl w:val="true"/>
        </w:rPr>
        <w:t xml:space="preserve">, </w:t>
      </w:r>
      <w:r>
        <w:rPr>
          <w:rtl w:val="true"/>
        </w:rPr>
        <w:t>לאחר ניהול הליך הוכחות</w:t>
      </w:r>
      <w:r>
        <w:rPr>
          <w:rtl w:val="true"/>
        </w:rPr>
        <w:t xml:space="preserve">, </w:t>
      </w:r>
      <w:r>
        <w:rPr>
          <w:rtl w:val="true"/>
        </w:rPr>
        <w:t>בעבירה של ניסיון לרצח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הערעור הופנה בתחילה הן נגד הכרעת הדין הן נגד גזר הדין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לאחר שנשמעו טיעוני הצדדים בעל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פה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בדיון שנערך לפנינו ביום </w:t>
      </w:r>
      <w:r>
        <w:rPr>
          <w:rFonts w:cs="Century" w:ascii="Century" w:hAnsi="Century"/>
          <w:sz w:val="22"/>
        </w:rPr>
        <w:t>05.07.2023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הצענו לצדדים כדלהלן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למערער המלצנו לחזור בו מערעורו על הכרעת הדין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ואילו למשיבה 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המשיבה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המלצנו להסכים לערעור על גזר הדין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במובן זה שעונש המאסר בפועל שנגזר על המערער יומתק קמעא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הצדדים ביקשו שהות קצרה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כדי לשקול את הצעתנו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וביום </w:t>
      </w:r>
      <w:r>
        <w:rPr>
          <w:rFonts w:cs="Century" w:ascii="Century" w:hAnsi="Century"/>
          <w:sz w:val="22"/>
        </w:rPr>
        <w:t>12.07.2023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הודיעו לנו כי המערער מסכים להצעה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אך המשיבה מתנגדת להקלה בעונשו של המערער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הגיעה אפוא עת ההכרעה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העובדות שבהן הורשע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ואשר על אודותיהן הוא כאמור אינו חולק עוד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הן כדלהלן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 הכיר את המתלוננת על רקע מגוריהם בשכנות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והוא נהג ללוות ממנה כספים למטרות שונות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כשבועיים עובר למועד האירוע דנן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המתלוננת שאלה את המערער מתי ישיב לה </w:t>
      </w:r>
      <w:r>
        <w:rPr>
          <w:rFonts w:cs="Century" w:ascii="Century" w:hAnsi="Century"/>
          <w:sz w:val="22"/>
        </w:rPr>
        <w:t>230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 שלווה ממנה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והלה השיב כי ישיב את הסכום בקרוב וכי זו תהיה הפעם האחרונה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האירוע שבגינו הורשע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תואר בגזר הדין כך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18.7.2019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06:00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התעוררה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[</w:t>
      </w:r>
      <w:r>
        <w:rPr>
          <w:rtl w:val="true"/>
        </w:rPr>
        <w:t>מערער</w:t>
      </w:r>
      <w:r>
        <w:rPr>
          <w:rtl w:val="true"/>
        </w:rPr>
        <w:t xml:space="preserve">]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כרך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לחנוק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בשיערה</w:t>
      </w:r>
      <w:r>
        <w:rPr>
          <w:rtl w:val="true"/>
        </w:rPr>
        <w:t xml:space="preserve">, </w:t>
      </w:r>
      <w:r>
        <w:rPr>
          <w:rtl w:val="true"/>
        </w:rPr>
        <w:t>הטיח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>. 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התיישב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לחנוק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הכרתה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התעוררה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להתעורר</w:t>
      </w:r>
      <w:r>
        <w:rPr>
          <w:rtl w:val="true"/>
        </w:rPr>
        <w:t>" (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בהתאם לעדות בנה של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הוא משך את המערער עד שהאחרון נחלש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ואז נפנה להעיר את אמו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כאשר בשלב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הסתלק מהדירה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סמוך לאחר מכן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המתלוננת שבה להכרה בכוחות עצמה וללא צורך בהחייאה או התערבות רפואית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המתלוננת נלקחה לתחנת המשטרה על מנת למסור את עדותה על פרטי האירוע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ולאחר מכן היא פונתה לקבלת טיפול רפואי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בגזר הדין תואר כי מעשיו של המערער הותירו את המתלוננת עם תסמינים פוסט טראומטיים ונזקים נפשיים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כן צוין כי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במישור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הפיזי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הדרדר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בעקבות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פגיעתו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ותפקודה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יומיומי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איבדה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להתנהל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כמעט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באחרים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מוגבלת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במצבה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הבריאותי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וביכולת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התנועה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תפקודה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נפגע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תלותה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ומוגבלותה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משליכה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הנפשי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לירידה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הרוח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לחרדות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לאובדן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ובטחון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בעצמה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ובבני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cs="Century" w:ascii="Century" w:hAnsi="Century"/>
          <w:sz w:val="22"/>
          <w:rtl w:val="true"/>
        </w:rPr>
        <w:t>".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בגזר דינו עמד בית המשפט המחוזי על הערכים המוגנים שנפגעו מביצוע העבירה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שעניינם בקדושת החיים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ובזכותו של אדם לשלמות גופו ובטחונו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לבטח כשהוא בין כותלי ביתו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חומרה יתרה נמצאה במעשי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גמל למתלוננת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אישה באה בימים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רעה תחת טובה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וניסה לגרום למותה על לא עוול בכפה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כן צוין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נוכח נסיבות ביצוע העבירה</w:t>
      </w:r>
      <w:r>
        <w:rPr>
          <w:rFonts w:cs="Century" w:ascii="Century" w:hAnsi="Century"/>
          <w:sz w:val="22"/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מצויה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הנמוך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החומרה</w:t>
      </w:r>
      <w:r>
        <w:rPr>
          <w:rFonts w:cs="Century" w:ascii="Century" w:hAnsi="Century"/>
          <w:sz w:val="22"/>
          <w:rtl w:val="true"/>
        </w:rPr>
        <w:t>".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 בחינת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ובשים לב ליתר השיקולים הצריכים לעניין</w:t>
      </w:r>
      <w:r>
        <w:rPr>
          <w:rtl w:val="true"/>
        </w:rPr>
        <w:t xml:space="preserve">, </w:t>
      </w:r>
      <w:r>
        <w:rPr>
          <w:rtl w:val="true"/>
        </w:rPr>
        <w:t xml:space="preserve">נקבע למערער מתחם עונש שנע בין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אשר לגזירת העונש בתוך המתחם</w:t>
      </w:r>
      <w:r>
        <w:rPr>
          <w:rtl w:val="true"/>
        </w:rPr>
        <w:t xml:space="preserve">, </w:t>
      </w:r>
      <w:r>
        <w:rPr>
          <w:rtl w:val="true"/>
        </w:rPr>
        <w:t>הובאו בחשבון שיקולים לחומרא</w:t>
      </w:r>
      <w:r>
        <w:rPr>
          <w:rtl w:val="true"/>
        </w:rPr>
        <w:t xml:space="preserve">, </w:t>
      </w:r>
      <w:r>
        <w:rPr>
          <w:rtl w:val="true"/>
        </w:rPr>
        <w:t>שעניינם בעברו הפלילי של המערער</w:t>
      </w:r>
      <w:r>
        <w:rPr>
          <w:rtl w:val="true"/>
        </w:rPr>
        <w:t xml:space="preserve">, </w:t>
      </w:r>
      <w:r>
        <w:rPr>
          <w:rtl w:val="true"/>
        </w:rPr>
        <w:t>הכולל הרשעות קודמות בעבירות של אלימות</w:t>
      </w:r>
      <w:r>
        <w:rPr>
          <w:rtl w:val="true"/>
        </w:rPr>
        <w:t xml:space="preserve">, </w:t>
      </w:r>
      <w:r>
        <w:rPr>
          <w:rtl w:val="true"/>
        </w:rPr>
        <w:t>רכוש וסמים לשימוש עצמי</w:t>
      </w:r>
      <w:r>
        <w:rPr>
          <w:rtl w:val="true"/>
        </w:rPr>
        <w:t xml:space="preserve">; </w:t>
      </w:r>
      <w:r>
        <w:rPr>
          <w:rtl w:val="true"/>
        </w:rPr>
        <w:t>ותסקיר שירות המבחן בעניינו</w:t>
      </w:r>
      <w:r>
        <w:rPr>
          <w:rtl w:val="true"/>
        </w:rPr>
        <w:t xml:space="preserve">, </w:t>
      </w:r>
      <w:r>
        <w:rPr>
          <w:rtl w:val="true"/>
        </w:rPr>
        <w:t>המלמד על התמכרותו לסמים</w:t>
      </w:r>
      <w:r>
        <w:rPr>
          <w:rtl w:val="true"/>
        </w:rPr>
        <w:t xml:space="preserve">, </w:t>
      </w:r>
      <w:r>
        <w:rPr>
          <w:rtl w:val="true"/>
        </w:rPr>
        <w:t>היעדר רצון כן מצדו להליך שיקומי</w:t>
      </w:r>
      <w:r>
        <w:rPr>
          <w:rtl w:val="true"/>
        </w:rPr>
        <w:t xml:space="preserve">, </w:t>
      </w:r>
      <w:r>
        <w:rPr>
          <w:rtl w:val="true"/>
        </w:rPr>
        <w:t>ומסוכנות גבוהה לביצוע עבירות אלימות וסמים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נשקלו לקולא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ונעדר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תומכת</w:t>
      </w:r>
      <w:r>
        <w:rPr>
          <w:rtl w:val="true"/>
        </w:rPr>
        <w:t>".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בסופו של יום</w:t>
      </w:r>
      <w:r>
        <w:rPr>
          <w:rtl w:val="true"/>
        </w:rPr>
        <w:t xml:space="preserve">, </w:t>
      </w:r>
      <w:r>
        <w:rPr>
          <w:rtl w:val="true"/>
        </w:rPr>
        <w:t>עונשו של המערער מוקם מעט מעל מחצית המתחם שנקבע בעניינו</w:t>
      </w:r>
      <w:r>
        <w:rPr>
          <w:rtl w:val="true"/>
        </w:rPr>
        <w:t xml:space="preserve">, </w:t>
      </w:r>
      <w:r>
        <w:rPr>
          <w:rtl w:val="true"/>
        </w:rPr>
        <w:t xml:space="preserve">כך שנגזר עליו עונש של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 מאסר בפועל החל מיום מעצרו</w:t>
      </w:r>
      <w:r>
        <w:rPr>
          <w:rtl w:val="true"/>
        </w:rPr>
        <w:t xml:space="preserve">, </w:t>
      </w:r>
      <w:r>
        <w:rPr>
          <w:rtl w:val="true"/>
        </w:rPr>
        <w:t xml:space="preserve">לצד מאסר מותנה ופיצוי בסך של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למתלוננת</w:t>
      </w:r>
      <w:r>
        <w:rPr>
          <w:rtl w:val="true"/>
        </w:rPr>
        <w:t>.</w:t>
      </w:r>
    </w:p>
    <w:p>
      <w:pPr>
        <w:pStyle w:val="Ruller43"/>
        <w:keepNext w:val="true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כאמור בפתח הדברים</w:t>
      </w:r>
      <w:r>
        <w:rPr>
          <w:rtl w:val="true"/>
        </w:rPr>
        <w:t xml:space="preserve">, </w:t>
      </w:r>
      <w:r>
        <w:rPr>
          <w:rtl w:val="true"/>
        </w:rPr>
        <w:t>המערער ערער תחילה הן על הכרעת הדין הן על גזר הדין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</w:t>
      </w:r>
      <w:r>
        <w:rPr>
          <w:rtl w:val="true"/>
        </w:rPr>
        <w:t>הכרעת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המערער מיקד את הערעור ביסוד הנפשי שיוחס לו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לא ניתן לשלול את האפשרות שלפיה המערער לא התכוון להמית את המתלוננת</w:t>
      </w:r>
      <w:r>
        <w:rPr>
          <w:rtl w:val="true"/>
        </w:rPr>
        <w:t xml:space="preserve">, </w:t>
      </w:r>
      <w:r>
        <w:rPr>
          <w:rtl w:val="true"/>
        </w:rPr>
        <w:t>אלא ניסה לנטרל אותה על מנת שיוכל לשדוד אותה</w:t>
      </w:r>
      <w:r>
        <w:rPr>
          <w:rtl w:val="true"/>
        </w:rPr>
        <w:t xml:space="preserve">. </w:t>
      </w:r>
      <w:r>
        <w:rPr>
          <w:rtl w:val="true"/>
        </w:rPr>
        <w:t>בהקשר זה נטען</w:t>
      </w:r>
      <w:r>
        <w:rPr>
          <w:rtl w:val="true"/>
        </w:rPr>
        <w:t xml:space="preserve">, </w:t>
      </w:r>
      <w:r>
        <w:rPr>
          <w:rtl w:val="true"/>
        </w:rPr>
        <w:t>כי הראיה היחידה המלמדת על כוונת המערער לרצוח את המתלוננת היא ׳</w:t>
      </w:r>
      <w:r>
        <w:rPr>
          <w:rFonts w:ascii="Century" w:hAnsi="Century" w:cs="Century"/>
          <w:sz w:val="22"/>
          <w:sz w:val="22"/>
          <w:rtl w:val="true"/>
        </w:rPr>
        <w:t>חזקת הכוונה</w:t>
      </w:r>
      <w:r>
        <w:rPr>
          <w:rtl w:val="true"/>
        </w:rPr>
        <w:t>׳ שהוחלה בעניינו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חזקת הכוונה מעולם לא הוחלה על מקרים כבענייננו</w:t>
      </w:r>
      <w:r>
        <w:rPr>
          <w:rtl w:val="true"/>
        </w:rPr>
        <w:t xml:space="preserve">, </w:t>
      </w:r>
      <w:r>
        <w:rPr>
          <w:rtl w:val="true"/>
        </w:rPr>
        <w:t>כאשר החניקה הייתה למשך פרק זמן לא ארוך</w:t>
      </w:r>
      <w:r>
        <w:rPr>
          <w:rtl w:val="true"/>
        </w:rPr>
        <w:t xml:space="preserve">, </w:t>
      </w:r>
      <w:r>
        <w:rPr>
          <w:rtl w:val="true"/>
        </w:rPr>
        <w:t>והנזק שנגרם ממנה הסתכם ב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צווארה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בצווארה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ובראשה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וכאבים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עזים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התחתון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התקשתה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להתהלך</w:t>
      </w:r>
      <w:r>
        <w:rPr>
          <w:rtl w:val="true"/>
        </w:rPr>
        <w:t xml:space="preserve">", </w:t>
      </w:r>
      <w:r>
        <w:rPr>
          <w:rtl w:val="true"/>
        </w:rPr>
        <w:t>כלשון כתב האישום</w:t>
      </w:r>
      <w:r>
        <w:rPr>
          <w:rtl w:val="true"/>
        </w:rPr>
        <w:t xml:space="preserve">; </w:t>
      </w:r>
      <w:r>
        <w:rPr>
          <w:rtl w:val="true"/>
        </w:rPr>
        <w:t>אלא רק כאשר ניסיון הרצח הוביל לפציעות של ממש לקורבן העבירה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בית משפט קמא נקלע לכלל טעות בקביעת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בבחנו את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הפנה בית המשפט ל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מתקדם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שהותיר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גופם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הקורבנות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דקירות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בפלג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גופם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העליון</w:t>
      </w:r>
      <w:r>
        <w:rPr>
          <w:rtl w:val="true"/>
        </w:rPr>
        <w:t xml:space="preserve">". </w:t>
      </w:r>
      <w:r>
        <w:rPr>
          <w:rtl w:val="true"/>
        </w:rPr>
        <w:t>לשיטת המערער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לנזק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שנגרם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כתוצאה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ולעובדה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שהתקיפה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ספורות</w:t>
      </w:r>
      <w:r>
        <w:rPr>
          <w:rtl w:val="true"/>
        </w:rPr>
        <w:t xml:space="preserve">". </w:t>
      </w:r>
      <w:r>
        <w:rPr>
          <w:rtl w:val="true"/>
        </w:rPr>
        <w:t>בהקשר זה הוטעם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להשוואה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קורבנות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הגיעו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מיטלטלים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פעולותיהם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המאומצות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רפואת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החירום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להשיג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מבוקשו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רגליה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דקות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נזקקה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לטיפול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רפואי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</w:t>
      </w:r>
      <w:r>
        <w:rPr>
          <w:rtl w:val="true"/>
        </w:rPr>
        <w:t>".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טענה כי יש לדחות את הערעור על כל חלקיו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בכל הנוגע ל</w:t>
      </w:r>
      <w:r>
        <w:rPr>
          <w:rtl w:val="true"/>
        </w:rPr>
        <w:t>הכרעת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המשיבה עמדה בפתח דבריה</w:t>
      </w:r>
      <w:r>
        <w:rPr>
          <w:rtl w:val="true"/>
        </w:rPr>
        <w:t xml:space="preserve">, </w:t>
      </w:r>
      <w:r>
        <w:rPr>
          <w:rtl w:val="true"/>
        </w:rPr>
        <w:t xml:space="preserve">על כך שהמערער הורשע בגין מעשים שבוצעו ביום </w:t>
      </w:r>
      <w:r>
        <w:rPr/>
        <w:t>18.07.2019</w:t>
      </w:r>
      <w:r>
        <w:rPr>
          <w:rtl w:val="true"/>
        </w:rPr>
        <w:t xml:space="preserve">, </w:t>
      </w:r>
      <w:r>
        <w:rPr>
          <w:rtl w:val="true"/>
        </w:rPr>
        <w:t>לאחר שנכנס לתוקף תיקון 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הידוע גם כרפורמה בעבירות ההמתה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137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tl w:val="true"/>
        </w:rPr>
        <w:t xml:space="preserve">), </w:t>
      </w:r>
      <w:r>
        <w:rPr>
          <w:rtl w:val="true"/>
        </w:rPr>
        <w:t>ועל כן</w:t>
      </w:r>
      <w:r>
        <w:rPr>
          <w:rtl w:val="true"/>
        </w:rPr>
        <w:t xml:space="preserve">, </w:t>
      </w:r>
      <w:r>
        <w:rPr>
          <w:rtl w:val="true"/>
        </w:rPr>
        <w:t>לא נדרשה קביעה כי המערער ביצע את מעשיו ב</w:t>
      </w:r>
      <w:r>
        <w:rPr>
          <w:rtl w:val="true"/>
        </w:rPr>
        <w:t>'</w:t>
      </w:r>
      <w:r>
        <w:rPr>
          <w:rtl w:val="true"/>
        </w:rPr>
        <w:t>כוונה תחילה</w:t>
      </w:r>
      <w:r>
        <w:rPr>
          <w:rtl w:val="true"/>
        </w:rPr>
        <w:t xml:space="preserve">'; </w:t>
      </w:r>
      <w:r>
        <w:rPr>
          <w:rtl w:val="true"/>
        </w:rPr>
        <w:t xml:space="preserve">אלא די בהוכחה כי כוונתו להמית את המתלוננת הייתה כוונה </w:t>
      </w:r>
      <w:r>
        <w:rPr>
          <w:rtl w:val="true"/>
        </w:rPr>
        <w:t>'</w:t>
      </w:r>
      <w:r>
        <w:rPr>
          <w:rtl w:val="true"/>
        </w:rPr>
        <w:t>רגילה</w:t>
      </w:r>
      <w:r>
        <w:rPr>
          <w:rtl w:val="true"/>
        </w:rPr>
        <w:t xml:space="preserve">'. </w:t>
      </w:r>
      <w:r>
        <w:rPr>
          <w:rtl w:val="true"/>
        </w:rPr>
        <w:t>המשיבה הוסיפה</w:t>
      </w:r>
      <w:r>
        <w:rPr>
          <w:rtl w:val="true"/>
        </w:rPr>
        <w:t xml:space="preserve">, </w:t>
      </w:r>
      <w:r>
        <w:rPr>
          <w:rtl w:val="true"/>
        </w:rPr>
        <w:t>כי בית משפט קמא קבע</w:t>
      </w:r>
      <w:r>
        <w:rPr>
          <w:rtl w:val="true"/>
        </w:rPr>
        <w:t xml:space="preserve">, </w:t>
      </w:r>
      <w:r>
        <w:rPr>
          <w:rtl w:val="true"/>
        </w:rPr>
        <w:t>כעניין שבעובדה</w:t>
      </w:r>
      <w:r>
        <w:rPr>
          <w:rtl w:val="true"/>
        </w:rPr>
        <w:t xml:space="preserve">, </w:t>
      </w:r>
      <w:r>
        <w:rPr>
          <w:rtl w:val="true"/>
        </w:rPr>
        <w:t xml:space="preserve">כי המערער היה מודע לאפשרות התוצאה הקטלנית של מעשיו והתכוון להמית את המתלוננת </w:t>
      </w:r>
      <w:r>
        <w:rPr>
          <w:rtl w:val="true"/>
        </w:rPr>
        <w:t>–</w:t>
      </w:r>
      <w:r>
        <w:rPr>
          <w:rtl w:val="true"/>
        </w:rPr>
        <w:t xml:space="preserve"> ואין מקום להתערבות ערכאת הערעור בקביעה עובדתית זו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בכל הנוגע ל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 xml:space="preserve">המשיבה טענה כי המערער תקף את המתלוננת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בפרץ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אכזרית</w:t>
      </w:r>
      <w:r>
        <w:rPr>
          <w:rtl w:val="true"/>
        </w:rPr>
        <w:t xml:space="preserve">" </w:t>
      </w:r>
      <w:r>
        <w:rPr>
          <w:rtl w:val="true"/>
        </w:rPr>
        <w:t>עד שהביא לאבדן הכרתה</w:t>
      </w:r>
      <w:r>
        <w:rPr>
          <w:rtl w:val="true"/>
        </w:rPr>
        <w:t xml:space="preserve">. </w:t>
      </w:r>
      <w:r>
        <w:rPr>
          <w:rtl w:val="true"/>
        </w:rPr>
        <w:t xml:space="preserve">המשיבה הוסיפה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נגרמו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במישור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הפיזי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במעשיו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מוות</w:t>
      </w:r>
      <w:r>
        <w:rPr>
          <w:rtl w:val="true"/>
        </w:rPr>
        <w:t xml:space="preserve">". </w:t>
      </w:r>
      <w:r>
        <w:rPr>
          <w:rtl w:val="true"/>
        </w:rPr>
        <w:t>לשיטת המשיבה</w:t>
      </w:r>
      <w:r>
        <w:rPr>
          <w:rtl w:val="true"/>
        </w:rPr>
        <w:t xml:space="preserve">, </w:t>
      </w:r>
      <w:r>
        <w:rPr>
          <w:rtl w:val="true"/>
        </w:rPr>
        <w:t>בשים לב לנזקים שנגרמו למתלוננת</w:t>
      </w:r>
      <w:r>
        <w:rPr>
          <w:rtl w:val="true"/>
        </w:rPr>
        <w:t xml:space="preserve">, </w:t>
      </w:r>
      <w:r>
        <w:rPr>
          <w:rtl w:val="true"/>
        </w:rPr>
        <w:t>כעולה מתסקיר נפגעת העבירה</w:t>
      </w:r>
      <w:r>
        <w:rPr>
          <w:rtl w:val="true"/>
        </w:rPr>
        <w:t xml:space="preserve">; </w:t>
      </w:r>
      <w:r>
        <w:rPr>
          <w:rtl w:val="true"/>
        </w:rPr>
        <w:t>ולעברו הפלילי של המערער</w:t>
      </w:r>
      <w:r>
        <w:rPr>
          <w:rtl w:val="true"/>
        </w:rPr>
        <w:t xml:space="preserve">, </w:t>
      </w:r>
      <w:r>
        <w:rPr>
          <w:rtl w:val="true"/>
        </w:rPr>
        <w:t>הכולל הרשעות קודמות</w:t>
      </w:r>
      <w:r>
        <w:rPr>
          <w:rtl w:val="true"/>
        </w:rPr>
        <w:t xml:space="preserve">, </w:t>
      </w:r>
      <w:r>
        <w:rPr>
          <w:rtl w:val="true"/>
        </w:rPr>
        <w:t xml:space="preserve">לרבות בעבירות אלימות ורכוש </w:t>
      </w:r>
      <w:r>
        <w:rPr>
          <w:rtl w:val="true"/>
        </w:rPr>
        <w:t>–</w:t>
      </w:r>
      <w:r>
        <w:rPr>
          <w:rtl w:val="true"/>
        </w:rPr>
        <w:t xml:space="preserve"> העונש שהוטל על המערער הולם את חומרת מעשיו</w:t>
      </w:r>
      <w:r>
        <w:rPr>
          <w:rtl w:val="true"/>
        </w:rPr>
        <w:t xml:space="preserve">, </w:t>
      </w:r>
      <w:r>
        <w:rPr>
          <w:rtl w:val="true"/>
        </w:rPr>
        <w:t>ואינו מצדיק התערבות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 xml:space="preserve">במסגרת הדיון שהתקיים </w:t>
      </w:r>
      <w:r>
        <w:rPr>
          <w:rFonts w:ascii="Century" w:hAnsi="Century" w:cs="Century"/>
          <w:sz w:val="22"/>
          <w:sz w:val="22"/>
          <w:rtl w:val="true"/>
        </w:rPr>
        <w:t xml:space="preserve">לפנינו ביום </w:t>
      </w:r>
      <w:r>
        <w:rPr>
          <w:rFonts w:cs="Century" w:ascii="Century" w:hAnsi="Century"/>
          <w:sz w:val="22"/>
        </w:rPr>
        <w:t>05.07.2023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שבו באי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כוח הצדדים על עיקרי טיעוניהם שבכתב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ובתום הדיון המלצנו את שהמלצנו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כאמור בפסקה 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לעיל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משהמלצתנו לא התקבלה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המשיבה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נדרשת הכרעתנו המנומקת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אינו חולק עוד על כך שביום </w:t>
      </w:r>
      <w:r>
        <w:rPr/>
        <w:t>18.07.2019</w:t>
      </w:r>
      <w:r>
        <w:rPr>
          <w:rtl w:val="true"/>
        </w:rPr>
        <w:t xml:space="preserve">, </w:t>
      </w:r>
      <w:r>
        <w:rPr>
          <w:rtl w:val="true"/>
        </w:rPr>
        <w:t>בשעת בוקר מוקדמת</w:t>
      </w:r>
      <w:r>
        <w:rPr>
          <w:rtl w:val="true"/>
        </w:rPr>
        <w:t xml:space="preserve">, </w:t>
      </w:r>
      <w:r>
        <w:rPr>
          <w:rtl w:val="true"/>
        </w:rPr>
        <w:t xml:space="preserve">הוא דפק על דלת ביתה של שכנתו </w:t>
      </w:r>
      <w:r>
        <w:rPr>
          <w:rtl w:val="true"/>
        </w:rPr>
        <w:t>–</w:t>
      </w:r>
      <w:r>
        <w:rPr>
          <w:rtl w:val="true"/>
        </w:rPr>
        <w:t xml:space="preserve">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שהייתה כבת 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בעת האירוע</w:t>
      </w:r>
      <w:r>
        <w:rPr>
          <w:rtl w:val="true"/>
        </w:rPr>
        <w:t xml:space="preserve">, </w:t>
      </w:r>
      <w:r>
        <w:rPr>
          <w:rtl w:val="true"/>
        </w:rPr>
        <w:t>ושבה הוא נעזר לא אחת כשביקש ללוות כספים</w:t>
      </w:r>
      <w:r>
        <w:rPr>
          <w:rtl w:val="true"/>
        </w:rPr>
        <w:t xml:space="preserve">. </w:t>
      </w:r>
      <w:r>
        <w:rPr>
          <w:rtl w:val="true"/>
        </w:rPr>
        <w:t>עוד אין חולק</w:t>
      </w:r>
      <w:r>
        <w:rPr>
          <w:rtl w:val="true"/>
        </w:rPr>
        <w:t xml:space="preserve">, </w:t>
      </w:r>
      <w:r>
        <w:rPr>
          <w:rtl w:val="true"/>
        </w:rPr>
        <w:t>כי המערער החל לחנוק את המתלוננת</w:t>
      </w:r>
      <w:r>
        <w:rPr>
          <w:rtl w:val="true"/>
        </w:rPr>
        <w:t xml:space="preserve">, </w:t>
      </w:r>
      <w:r>
        <w:rPr>
          <w:rtl w:val="true"/>
        </w:rPr>
        <w:t>ללא כל מניע נראה לעין</w:t>
      </w:r>
      <w:r>
        <w:rPr>
          <w:rtl w:val="true"/>
        </w:rPr>
        <w:t xml:space="preserve">, </w:t>
      </w:r>
      <w:r>
        <w:rPr>
          <w:rtl w:val="true"/>
        </w:rPr>
        <w:t>ולא חדל מכך אף לאחר שהאחרונה איבדה את הכרתה</w:t>
      </w:r>
      <w:r>
        <w:rPr>
          <w:rtl w:val="true"/>
        </w:rPr>
        <w:t xml:space="preserve">, </w:t>
      </w:r>
      <w:r>
        <w:rPr>
          <w:rtl w:val="true"/>
        </w:rPr>
        <w:t>עד שהופרד ממנה בכוח על</w:t>
      </w:r>
      <w:r>
        <w:rPr>
          <w:rtl w:val="true"/>
        </w:rPr>
        <w:t>-</w:t>
      </w:r>
      <w:r>
        <w:rPr>
          <w:rtl w:val="true"/>
        </w:rPr>
        <w:t>ידי בנה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עד לרגע זה</w:t>
      </w:r>
      <w:r>
        <w:rPr>
          <w:rtl w:val="true"/>
        </w:rPr>
        <w:t xml:space="preserve">, </w:t>
      </w:r>
      <w:r>
        <w:rPr>
          <w:rtl w:val="true"/>
        </w:rPr>
        <w:t>לא ברור מה הביא את המערער לתקוף את המתלוננת</w:t>
      </w:r>
      <w:r>
        <w:rPr>
          <w:rtl w:val="true"/>
        </w:rPr>
        <w:t xml:space="preserve">, </w:t>
      </w:r>
      <w:r>
        <w:rPr>
          <w:rtl w:val="true"/>
        </w:rPr>
        <w:t>בביתה</w:t>
      </w:r>
      <w:r>
        <w:rPr>
          <w:rtl w:val="true"/>
        </w:rPr>
        <w:t>-</w:t>
      </w:r>
      <w:r>
        <w:rPr>
          <w:rtl w:val="true"/>
        </w:rPr>
        <w:t>מבצרה</w:t>
      </w:r>
      <w:r>
        <w:rPr>
          <w:rtl w:val="true"/>
        </w:rPr>
        <w:t xml:space="preserve">, </w:t>
      </w:r>
      <w:r>
        <w:rPr>
          <w:rtl w:val="true"/>
        </w:rPr>
        <w:t>באופן כה אכזרי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מעשיו האלימים והאכזריים של המערער היו כה תמוהים וחסרי הקשר</w:t>
      </w:r>
      <w:r>
        <w:rPr>
          <w:rtl w:val="true"/>
        </w:rPr>
        <w:t xml:space="preserve">, </w:t>
      </w:r>
      <w:r>
        <w:rPr>
          <w:rtl w:val="true"/>
        </w:rPr>
        <w:t>עד כדי כך שבאי</w:t>
      </w:r>
      <w:r>
        <w:rPr>
          <w:rtl w:val="true"/>
        </w:rPr>
        <w:t>-</w:t>
      </w:r>
      <w:r>
        <w:rPr>
          <w:rtl w:val="true"/>
        </w:rPr>
        <w:t>כוחו ביקשו לשכנענו</w:t>
      </w:r>
      <w:r>
        <w:rPr>
          <w:rtl w:val="true"/>
        </w:rPr>
        <w:t xml:space="preserve">, </w:t>
      </w:r>
      <w:r>
        <w:rPr>
          <w:rtl w:val="true"/>
        </w:rPr>
        <w:t>בגדרי הערעור על הכרעת הדין</w:t>
      </w:r>
      <w:r>
        <w:rPr>
          <w:rtl w:val="true"/>
        </w:rPr>
        <w:t xml:space="preserve">, </w:t>
      </w:r>
      <w:r>
        <w:rPr>
          <w:rtl w:val="true"/>
        </w:rPr>
        <w:t>כי קיים ספק סביר בשאלה האם המערער ניסה להביא למותה של המתלוננת</w:t>
      </w:r>
      <w:r>
        <w:rPr>
          <w:rtl w:val="true"/>
        </w:rPr>
        <w:t xml:space="preserve">, </w:t>
      </w:r>
      <w:r>
        <w:rPr>
          <w:rtl w:val="true"/>
        </w:rPr>
        <w:t>שכן קיימת אפשרות שהמערער ניסה ׳רק׳ לנטרל אותה על מנת לשדוד אותה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טענה זו נסתרת באופן ברור מקביעותיו העובדתיות של בית משפט קמא</w:t>
      </w:r>
      <w:r>
        <w:rPr>
          <w:rtl w:val="true"/>
        </w:rPr>
        <w:t xml:space="preserve">, </w:t>
      </w:r>
      <w:r>
        <w:rPr>
          <w:rtl w:val="true"/>
        </w:rPr>
        <w:t>אשר בחן את הראיות והתרשם מהעדויות שנשמעו בפניו באופן בלתי אמצעי</w:t>
      </w:r>
      <w:r>
        <w:rPr>
          <w:rtl w:val="true"/>
        </w:rPr>
        <w:t xml:space="preserve">, </w:t>
      </w:r>
      <w:r>
        <w:rPr>
          <w:rtl w:val="true"/>
        </w:rPr>
        <w:t xml:space="preserve">ומצא להחיל בעניינו של המערער </w:t>
      </w:r>
      <w:r>
        <w:rPr>
          <w:rFonts w:ascii="Century" w:hAnsi="Century" w:cs="Century"/>
          <w:sz w:val="22"/>
          <w:sz w:val="22"/>
          <w:rtl w:val="true"/>
        </w:rPr>
        <w:t xml:space="preserve">את 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חזקת הכוונה</w:t>
      </w:r>
      <w:r>
        <w:rPr>
          <w:rFonts w:cs="Century" w:ascii="Century" w:hAnsi="Century"/>
          <w:sz w:val="22"/>
          <w:rtl w:val="true"/>
        </w:rPr>
        <w:t>'</w:t>
      </w:r>
      <w:r>
        <w:rPr>
          <w:rtl w:val="true"/>
        </w:rPr>
        <w:t xml:space="preserve">. </w:t>
      </w:r>
      <w:r>
        <w:rPr>
          <w:rtl w:val="true"/>
        </w:rPr>
        <w:t>חזקה זו מלמדת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כי המערער התכוון לתוצאות הטבעיות של מעשיו</w:t>
      </w:r>
      <w:r>
        <w:rPr>
          <w:rtl w:val="true"/>
        </w:rPr>
        <w:t xml:space="preserve">; </w:t>
      </w:r>
      <w:r>
        <w:rPr>
          <w:rtl w:val="true"/>
        </w:rPr>
        <w:t>ואילו התוצאה הטבעית של חניקת אישה</w:t>
      </w:r>
      <w:r>
        <w:rPr>
          <w:rtl w:val="true"/>
        </w:rPr>
        <w:t xml:space="preserve">, </w:t>
      </w:r>
      <w:r>
        <w:rPr>
          <w:rtl w:val="true"/>
        </w:rPr>
        <w:t>באה בימים</w:t>
      </w:r>
      <w:r>
        <w:rPr>
          <w:rtl w:val="true"/>
        </w:rPr>
        <w:t xml:space="preserve">, </w:t>
      </w:r>
      <w:r>
        <w:rPr>
          <w:rtl w:val="true"/>
        </w:rPr>
        <w:t xml:space="preserve">עד שזו מכחילה ומאבדת את הכרתה </w:t>
      </w:r>
      <w:r>
        <w:rPr>
          <w:rtl w:val="true"/>
        </w:rPr>
        <w:t>–</w:t>
      </w:r>
      <w:r>
        <w:rPr>
          <w:rtl w:val="true"/>
        </w:rPr>
        <w:t xml:space="preserve"> היא מותה כעבור זמן לא רב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[</w:t>
      </w:r>
      <w:r>
        <w:rPr>
          <w:rtl w:val="true"/>
        </w:rPr>
        <w:t>במאמר מוסגר יצוין</w:t>
      </w:r>
      <w:r>
        <w:rPr>
          <w:rtl w:val="true"/>
        </w:rPr>
        <w:t xml:space="preserve">, </w:t>
      </w:r>
      <w:r>
        <w:rPr>
          <w:rtl w:val="true"/>
        </w:rPr>
        <w:t>כי בהכרעת הדין הובאו דברי הפסיכיאטר שהגיש חוות דעת בעניין המערער</w:t>
      </w:r>
      <w:r>
        <w:rPr>
          <w:rtl w:val="true"/>
        </w:rPr>
        <w:t xml:space="preserve">, </w:t>
      </w:r>
      <w:r>
        <w:rPr>
          <w:rtl w:val="true"/>
        </w:rPr>
        <w:t>אשר שיער כי המניע קשור ל</w:t>
      </w:r>
      <w:r>
        <w:rPr>
          <w:rtl w:val="true"/>
        </w:rPr>
        <w:t>"</w:t>
      </w:r>
      <w:r>
        <w:rPr>
          <w:rtl w:val="true"/>
        </w:rPr>
        <w:t>קריז</w:t>
      </w:r>
      <w:r>
        <w:rPr>
          <w:rtl w:val="true"/>
        </w:rPr>
        <w:t xml:space="preserve">" </w:t>
      </w:r>
      <w:r>
        <w:rPr>
          <w:rtl w:val="true"/>
        </w:rPr>
        <w:t xml:space="preserve">שבו היה מצוי המערער לאחר שלא היה ברשותו כסף לרכוש סמים </w:t>
      </w:r>
      <w:r>
        <w:rPr>
          <w:rFonts w:cs="Calibri" w:ascii="Calibri" w:hAnsi="Calibri"/>
          <w:rtl w:val="true"/>
        </w:rPr>
        <w:t>("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פשוט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הכסף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כסף</w:t>
      </w:r>
      <w:r>
        <w:rPr>
          <w:rFonts w:cs="Miriam" w:ascii="Century" w:hAnsi="Century"/>
          <w:bCs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לכן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כסף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לקנות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סמים</w:t>
      </w:r>
      <w:r>
        <w:rPr>
          <w:rFonts w:cs="Miriam" w:ascii="Century" w:hAnsi="Century"/>
          <w:bCs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נכנס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לקריז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ואז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עשה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זה</w:t>
      </w:r>
      <w:r>
        <w:rPr>
          <w:rFonts w:cs="Miriam" w:ascii="Century" w:hAnsi="Century"/>
          <w:bCs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מניע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מספיק</w:t>
      </w:r>
      <w:r>
        <w:rPr>
          <w:rFonts w:ascii="Century" w:hAnsi="Century" w:eastAsia="Century" w:cs="Century"/>
          <w:bCs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Cs/>
          <w:spacing w:val="0"/>
          <w:sz w:val="22"/>
          <w:sz w:val="22"/>
          <w:szCs w:val="24"/>
          <w:rtl w:val="true"/>
        </w:rPr>
        <w:t>טוב</w:t>
      </w:r>
      <w:r>
        <w:rPr>
          <w:rFonts w:cs="Miriam" w:ascii="Century" w:hAnsi="Century"/>
          <w:bCs/>
          <w:spacing w:val="0"/>
          <w:sz w:val="22"/>
          <w:szCs w:val="24"/>
          <w:rtl w:val="true"/>
        </w:rPr>
        <w:t>?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)).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הכרעת הדין אינה כוללת קביעה עובדתית בדבר מניע משוער זה</w:t>
      </w:r>
      <w:r>
        <w:rPr>
          <w:rtl w:val="true"/>
        </w:rPr>
        <w:t xml:space="preserve">; </w:t>
      </w:r>
      <w:r>
        <w:rPr>
          <w:rtl w:val="true"/>
        </w:rPr>
        <w:t>ומכל מקום</w:t>
      </w:r>
      <w:r>
        <w:rPr>
          <w:rtl w:val="true"/>
        </w:rPr>
        <w:t xml:space="preserve">, </w:t>
      </w:r>
      <w:r>
        <w:rPr>
          <w:rtl w:val="true"/>
        </w:rPr>
        <w:t xml:space="preserve">נקבע כי המערער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חסר</w:t>
      </w:r>
      <w:r>
        <w:rPr>
          <w:rtl w:val="true"/>
        </w:rPr>
        <w:t xml:space="preserve"> </w:t>
      </w:r>
      <w:r>
        <w:rPr>
          <w:rtl w:val="true"/>
        </w:rPr>
        <w:t>יכולת</w:t>
      </w:r>
      <w:r>
        <w:rPr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, </w:t>
      </w:r>
      <w:r>
        <w:rPr>
          <w:rtl w:val="true"/>
        </w:rPr>
        <w:t xml:space="preserve">וכי הוא היה </w:t>
      </w:r>
      <w:r>
        <w:rPr>
          <w:rtl w:val="true"/>
        </w:rPr>
        <w:t>מודע</w:t>
      </w:r>
      <w:r>
        <w:rPr>
          <w:rtl w:val="true"/>
        </w:rPr>
        <w:t xml:space="preserve"> </w:t>
      </w:r>
      <w:r>
        <w:rPr>
          <w:rtl w:val="true"/>
        </w:rPr>
        <w:t>לפרט</w:t>
      </w:r>
      <w:r>
        <w:rPr>
          <w:rtl w:val="true"/>
        </w:rPr>
        <w:t>י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].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סברנו שלא היה ממש בערעור על הכרעת הדין</w:t>
      </w:r>
      <w:r>
        <w:rPr>
          <w:rtl w:val="true"/>
        </w:rPr>
        <w:t xml:space="preserve">, </w:t>
      </w:r>
      <w:r>
        <w:rPr>
          <w:rtl w:val="true"/>
        </w:rPr>
        <w:t>ועל כן הצענו למערער לחזור בו מערעורו</w:t>
      </w:r>
      <w:r>
        <w:rPr>
          <w:rtl w:val="true"/>
        </w:rPr>
        <w:t xml:space="preserve">. </w:t>
      </w:r>
      <w:r>
        <w:rPr>
          <w:rtl w:val="true"/>
        </w:rPr>
        <w:t>משקיבל המערער את הצעתנו</w:t>
      </w:r>
      <w:r>
        <w:rPr>
          <w:rtl w:val="true"/>
        </w:rPr>
        <w:t xml:space="preserve">, </w:t>
      </w:r>
      <w:r>
        <w:rPr>
          <w:rtl w:val="true"/>
        </w:rPr>
        <w:t xml:space="preserve">וחזר בו מערעורו בכל הקשור להכרעת דינו </w:t>
      </w:r>
      <w:r>
        <w:rPr>
          <w:rtl w:val="true"/>
        </w:rPr>
        <w:t>–</w:t>
      </w:r>
      <w:r>
        <w:rPr>
          <w:rtl w:val="true"/>
        </w:rPr>
        <w:t xml:space="preserve"> הוא נדחה בזאת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בכל הקשור לערעור על גזר הדין</w:t>
      </w:r>
      <w:r>
        <w:rPr>
          <w:rtl w:val="true"/>
        </w:rPr>
        <w:t xml:space="preserve">, </w:t>
      </w:r>
      <w:r>
        <w:rPr>
          <w:rtl w:val="true"/>
        </w:rPr>
        <w:t>מצאנו כי יש בו ממש</w:t>
      </w:r>
      <w:r>
        <w:rPr>
          <w:rtl w:val="true"/>
        </w:rPr>
        <w:t xml:space="preserve">. </w:t>
      </w:r>
      <w:r>
        <w:rPr>
          <w:rtl w:val="true"/>
        </w:rPr>
        <w:t>נקודת המוצא לדיון היא ההלכה לפיה ערכאת הערעור לא תתערב בעונש שנגזר על</w:t>
      </w:r>
      <w:r>
        <w:rPr>
          <w:rtl w:val="true"/>
        </w:rPr>
        <w:t>-</w:t>
      </w:r>
      <w:r>
        <w:rPr>
          <w:rtl w:val="true"/>
        </w:rPr>
        <w:t>ידי הערכאה הדיונית כדבר שבשגרה</w:t>
      </w:r>
      <w:r>
        <w:rPr>
          <w:rtl w:val="true"/>
        </w:rPr>
        <w:t xml:space="preserve">, </w:t>
      </w:r>
      <w:r>
        <w:rPr>
          <w:rtl w:val="true"/>
        </w:rPr>
        <w:t>אלא במקרים חריגים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התערבות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ערכאת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מצומצמת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הערכאה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נכשלה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מהותית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משמעותית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הנוהג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דומות</w:t>
      </w:r>
      <w:r>
        <w:rPr>
          <w:rFonts w:cs="FrankRuehl" w:ascii="FrankRuehl" w:hAnsi="FrankRuehl"/>
          <w:color w:val="000000"/>
          <w:sz w:val="28"/>
          <w:rtl w:val="true"/>
        </w:rPr>
        <w:t>" (</w:t>
      </w:r>
      <w:hyperlink r:id="rId34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3023/14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8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02.06.2015</w:t>
      </w:r>
      <w:r>
        <w:rPr>
          <w:rFonts w:cs="FrankRuehl" w:ascii="FrankRuehl" w:hAnsi="FrankRuehl"/>
          <w:color w:val="000000"/>
          <w:sz w:val="28"/>
          <w:rtl w:val="true"/>
        </w:rPr>
        <w:t>)).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המקרה שלפנינו הוא מקרה חריג המצדיק הקלה</w:t>
      </w:r>
      <w:r>
        <w:rPr>
          <w:rtl w:val="true"/>
        </w:rPr>
        <w:t xml:space="preserve">, </w:t>
      </w:r>
      <w:r>
        <w:rPr>
          <w:rtl w:val="true"/>
        </w:rPr>
        <w:t>גם אם מדודה</w:t>
      </w:r>
      <w:r>
        <w:rPr>
          <w:rtl w:val="true"/>
        </w:rPr>
        <w:t xml:space="preserve">, </w:t>
      </w:r>
      <w:r>
        <w:rPr>
          <w:rtl w:val="true"/>
        </w:rPr>
        <w:t>בענישה שנגזרה על המערער</w:t>
      </w:r>
      <w:r>
        <w:rPr>
          <w:rtl w:val="true"/>
        </w:rPr>
        <w:t xml:space="preserve">, </w:t>
      </w:r>
      <w:r>
        <w:rPr>
          <w:rtl w:val="true"/>
        </w:rPr>
        <w:t>בהיותה חורגת באופן משמעותי מהענישה הנוהגת בנסיבות דומות</w:t>
      </w:r>
      <w:r>
        <w:rPr>
          <w:rtl w:val="true"/>
        </w:rPr>
        <w:t xml:space="preserve">.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המקרים שהובאו על</w:t>
      </w:r>
      <w:r>
        <w:rPr>
          <w:rtl w:val="true"/>
        </w:rPr>
        <w:t>-</w:t>
      </w:r>
      <w:r>
        <w:rPr>
          <w:rtl w:val="true"/>
        </w:rPr>
        <w:t>ידי בית משפט קמא כדי ללמד על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שונים בשני מאפיינים מרכזיים מהמקרה דנן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tl w:val="true"/>
        </w:rPr>
        <w:t xml:space="preserve"> קשור ליסוד הנפשי שיוחס למערער </w:t>
      </w:r>
      <w:r>
        <w:rPr>
          <w:rtl w:val="true"/>
        </w:rPr>
        <w:t>–</w:t>
      </w:r>
      <w:r>
        <w:rPr>
          <w:rtl w:val="true"/>
        </w:rPr>
        <w:t xml:space="preserve"> כוונה </w:t>
      </w:r>
      <w:r>
        <w:rPr>
          <w:rtl w:val="true"/>
        </w:rPr>
        <w:t>'</w:t>
      </w:r>
      <w:r>
        <w:rPr>
          <w:rtl w:val="true"/>
        </w:rPr>
        <w:t>רגילה</w:t>
      </w:r>
      <w:r>
        <w:rPr>
          <w:rtl w:val="true"/>
        </w:rPr>
        <w:t xml:space="preserve">', </w:t>
      </w:r>
      <w:r>
        <w:rPr>
          <w:rtl w:val="true"/>
        </w:rPr>
        <w:t>להבדיל מ</w:t>
      </w:r>
      <w:r>
        <w:rPr>
          <w:rtl w:val="true"/>
        </w:rPr>
        <w:t>'</w:t>
      </w:r>
      <w:r>
        <w:rPr>
          <w:rtl w:val="true"/>
        </w:rPr>
        <w:t>כוונה תחילה</w:t>
      </w:r>
      <w:r>
        <w:rPr>
          <w:rtl w:val="true"/>
        </w:rPr>
        <w:t xml:space="preserve">'; </w:t>
      </w:r>
      <w:r>
        <w:rPr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tl w:val="true"/>
        </w:rPr>
        <w:t xml:space="preserve"> קשור לטיב הנזק שנגרם לקורבן העבירה</w:t>
      </w:r>
      <w:r>
        <w:rPr>
          <w:rtl w:val="true"/>
        </w:rPr>
        <w:t xml:space="preserve">. </w:t>
      </w:r>
      <w:r>
        <w:rPr>
          <w:rtl w:val="true"/>
        </w:rPr>
        <w:t xml:space="preserve">אעמוד על הדברים כסדרם </w:t>
      </w:r>
      <w:r>
        <w:rPr>
          <w:rtl w:val="true"/>
        </w:rPr>
        <w:t>–</w:t>
      </w:r>
      <w:r>
        <w:rPr>
          <w:rtl w:val="true"/>
        </w:rPr>
        <w:t xml:space="preserve"> ראשון ראשון</w:t>
      </w:r>
      <w:r>
        <w:rPr>
          <w:rtl w:val="true"/>
        </w:rPr>
        <w:t xml:space="preserve">; </w:t>
      </w:r>
      <w:r>
        <w:rPr>
          <w:rtl w:val="true"/>
        </w:rPr>
        <w:t>ואחרון אחרון</w:t>
      </w:r>
      <w:r>
        <w:rPr>
          <w:rtl w:val="true"/>
        </w:rPr>
        <w:t>.</w:t>
      </w:r>
    </w:p>
    <w:p>
      <w:pPr>
        <w:pStyle w:val="Ruller43"/>
        <w:keepNext w:val="true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בעיקרי הטיעון מטעם המשיבה נטען כי לשם הרשעה בעבירת ניסיון לרצח לפי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לאחר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 xml:space="preserve">די ביסוד נפשי של כוונה </w:t>
      </w:r>
      <w:r>
        <w:rPr>
          <w:rtl w:val="true"/>
        </w:rPr>
        <w:t>'</w:t>
      </w:r>
      <w:r>
        <w:rPr>
          <w:rtl w:val="true"/>
        </w:rPr>
        <w:t>רגילה</w:t>
      </w:r>
      <w:r>
        <w:rPr>
          <w:rtl w:val="true"/>
        </w:rPr>
        <w:t xml:space="preserve">' </w:t>
      </w:r>
      <w:r>
        <w:rPr>
          <w:rtl w:val="true"/>
        </w:rPr>
        <w:t>להמית</w:t>
      </w:r>
      <w:r>
        <w:rPr>
          <w:rtl w:val="true"/>
        </w:rPr>
        <w:t xml:space="preserve">, </w:t>
      </w:r>
      <w:r>
        <w:rPr>
          <w:rtl w:val="true"/>
        </w:rPr>
        <w:t xml:space="preserve">ואין צורך להוכיח יסוד נפשי של </w:t>
      </w:r>
      <w:r>
        <w:rPr>
          <w:rtl w:val="true"/>
        </w:rPr>
        <w:t>'</w:t>
      </w:r>
      <w:r>
        <w:rPr>
          <w:rtl w:val="true"/>
        </w:rPr>
        <w:t>כוונה תחילה</w:t>
      </w:r>
      <w:r>
        <w:rPr>
          <w:rtl w:val="true"/>
        </w:rPr>
        <w:t xml:space="preserve">' </w:t>
      </w:r>
      <w:r>
        <w:rPr>
          <w:rtl w:val="true"/>
        </w:rPr>
        <w:t>המורכב כידוע</w:t>
      </w:r>
      <w:r>
        <w:rPr>
          <w:rtl w:val="true"/>
        </w:rPr>
        <w:t xml:space="preserve">, </w:t>
      </w:r>
      <w:r>
        <w:rPr>
          <w:rtl w:val="true"/>
        </w:rPr>
        <w:t>מהחלטה להמית</w:t>
      </w:r>
      <w:r>
        <w:rPr>
          <w:rtl w:val="true"/>
        </w:rPr>
        <w:t xml:space="preserve">, </w:t>
      </w:r>
      <w:r>
        <w:rPr>
          <w:rtl w:val="true"/>
        </w:rPr>
        <w:t>הכנה והיעדר קנטור</w:t>
      </w:r>
      <w:r>
        <w:rPr>
          <w:rtl w:val="true"/>
        </w:rPr>
        <w:t xml:space="preserve">. </w:t>
      </w:r>
      <w:r>
        <w:rPr>
          <w:rtl w:val="true"/>
        </w:rPr>
        <w:t>המשיבה ציינה כי מטעם זה</w:t>
      </w:r>
      <w:r>
        <w:rPr>
          <w:rtl w:val="true"/>
        </w:rPr>
        <w:t xml:space="preserve">, </w:t>
      </w:r>
      <w:r>
        <w:rPr>
          <w:rtl w:val="true"/>
        </w:rPr>
        <w:t>בית המשפט המחוזי הסתפק בהוכחת כוונה רגילה מצד המערער להמית את המתלוננת</w:t>
      </w:r>
      <w:r>
        <w:rPr>
          <w:rtl w:val="true"/>
        </w:rPr>
        <w:t xml:space="preserve">, </w:t>
      </w:r>
      <w:r>
        <w:rPr>
          <w:rtl w:val="true"/>
        </w:rPr>
        <w:t>כאשר כוונה זו נלמדה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'</w:t>
      </w:r>
      <w:r>
        <w:rPr>
          <w:rtl w:val="true"/>
        </w:rPr>
        <w:t>חזקת הכוונה</w:t>
      </w:r>
      <w:r>
        <w:rPr>
          <w:rtl w:val="true"/>
        </w:rPr>
        <w:t xml:space="preserve">' </w:t>
      </w:r>
      <w:r>
        <w:rPr>
          <w:rtl w:val="true"/>
        </w:rPr>
        <w:t>שלא נסתרה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אקדים מסקנה לדיון ואומר כי בצדק קבע בית משפט קמא כי ניתן היה להרשיע את המערער בעבירה של ניסיון לרצח</w:t>
      </w:r>
      <w:r>
        <w:rPr>
          <w:rtl w:val="true"/>
        </w:rPr>
        <w:t xml:space="preserve">, </w:t>
      </w:r>
      <w:r>
        <w:rPr>
          <w:rtl w:val="true"/>
        </w:rPr>
        <w:t>גם ללא הוכחת יסוד נפשי של כוונה תחילה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היה על בית המשפט לתת משקל משמעותי לעובדה שהמערער הורשע בניסיון לרצח בכוונה רגילה ולא בכוונה תחילה בבואו לגזור את עונשו</w:t>
      </w:r>
      <w:r>
        <w:rPr>
          <w:rtl w:val="true"/>
        </w:rPr>
        <w:t xml:space="preserve">. </w:t>
      </w:r>
      <w:r>
        <w:rPr>
          <w:rtl w:val="true"/>
        </w:rPr>
        <w:t>אסביר במה דברים אמורים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על היסוד הנפשי הנדרש בעבירה של ניסיון לרצח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טרם</w:t>
      </w:r>
      <w:r>
        <w:rPr>
          <w:rtl w:val="true"/>
        </w:rPr>
        <w:t xml:space="preserve">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>קיימת כתיבה ענפה בפסיקה</w:t>
      </w:r>
      <w:r>
        <w:rPr>
          <w:rtl w:val="true"/>
        </w:rPr>
        <w:t xml:space="preserve">, </w:t>
      </w:r>
      <w:r>
        <w:rPr>
          <w:rtl w:val="true"/>
        </w:rPr>
        <w:t>עוד משנות ה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של המאה הקודמת</w:t>
      </w:r>
      <w:r>
        <w:rPr>
          <w:rtl w:val="true"/>
        </w:rPr>
        <w:t xml:space="preserve">, </w:t>
      </w:r>
      <w:r>
        <w:rPr>
          <w:rtl w:val="true"/>
        </w:rPr>
        <w:t>ובספרות המשפטית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שאלת היסוד הנפשי הנדרש להרשעה בעבירה זו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tl w:val="true"/>
        </w:rPr>
        <w:t xml:space="preserve">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>לא לובנה די הצורך בפסיקתו של בית משפט זה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מנת להציג את התמונה בשלמותה</w:t>
      </w:r>
      <w:r>
        <w:rPr>
          <w:rtl w:val="true"/>
        </w:rPr>
        <w:t xml:space="preserve">, </w:t>
      </w:r>
      <w:r>
        <w:rPr>
          <w:rtl w:val="true"/>
        </w:rPr>
        <w:t>נדרשים אנו לחזור</w:t>
      </w:r>
      <w:r>
        <w:rPr>
          <w:rtl w:val="true"/>
        </w:rPr>
        <w:t xml:space="preserve">, </w:t>
      </w:r>
      <w:r>
        <w:rPr>
          <w:rtl w:val="true"/>
        </w:rPr>
        <w:t>לשעה קלה</w:t>
      </w:r>
      <w:r>
        <w:rPr>
          <w:rtl w:val="true"/>
        </w:rPr>
        <w:t xml:space="preserve">, </w:t>
      </w:r>
      <w:r>
        <w:rPr>
          <w:rtl w:val="true"/>
        </w:rPr>
        <w:t>לבראשית</w:t>
      </w:r>
      <w:r>
        <w:rPr>
          <w:rtl w:val="true"/>
        </w:rPr>
        <w:t>.</w:t>
      </w:r>
    </w:p>
    <w:p>
      <w:pPr>
        <w:pStyle w:val="Ruller43"/>
        <w:keepNext w:val="true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גלגולי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לרצח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שכותרתו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לרצח</w:t>
      </w:r>
      <w:r>
        <w:rPr>
          <w:rtl w:val="true"/>
        </w:rPr>
        <w:t xml:space="preserve">", </w:t>
      </w:r>
      <w:r>
        <w:rPr>
          <w:rtl w:val="true"/>
        </w:rPr>
        <w:t>קובע כך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מאלה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".</w:t>
      </w:r>
    </w:p>
    <w:p>
      <w:pPr>
        <w:pStyle w:val="Ruller5"/>
        <w:ind w:start="2014" w:end="1282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 xml:space="preserve">ל בא לעולם חלף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 החוק הפלילי</w:t>
      </w:r>
      <w:r>
        <w:rPr>
          <w:rtl w:val="true"/>
        </w:rPr>
        <w:t xml:space="preserve">, </w:t>
      </w:r>
      <w:r>
        <w:rPr/>
        <w:t>1936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הפלילי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הפקודה</w:t>
      </w:r>
      <w:r>
        <w:rPr>
          <w:rtl w:val="true"/>
        </w:rPr>
        <w:t xml:space="preserve">), </w:t>
      </w:r>
      <w:r>
        <w:rPr>
          <w:rtl w:val="true"/>
        </w:rPr>
        <w:t>שכותרתו הייתה ״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tl w:val="true"/>
        </w:rPr>
        <w:t>״ ובו נקבע כך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בלתי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חוקי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לגרום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למיתתו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יאשם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בפשע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ויהיה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צפוי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למאסר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עולם</w:t>
      </w:r>
      <w:r>
        <w:rPr>
          <w:rtl w:val="true"/>
        </w:rPr>
        <w:t xml:space="preserve">".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 xml:space="preserve">כי אמנם 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קובע עונש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על ניסיון לרצח</w:t>
      </w:r>
      <w:r>
        <w:rPr>
          <w:rtl w:val="true"/>
        </w:rPr>
        <w:t xml:space="preserve">, </w:t>
      </w:r>
      <w:r>
        <w:rPr>
          <w:rtl w:val="true"/>
        </w:rPr>
        <w:t xml:space="preserve">תחת עונש של מאסר עולם שהיה קבוע </w:t>
      </w:r>
      <w:hyperlink r:id="rId43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; </w:t>
      </w:r>
      <w:r>
        <w:rPr>
          <w:rtl w:val="true"/>
        </w:rPr>
        <w:t>אך מדובר בהבדל סמנטי בעיקרו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כבר ב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לתיקון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דיני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דרכי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color w:val="0000FF"/>
            <w:u w:val="single"/>
            <w:rtl w:val="true"/>
          </w:rPr>
          <w:t xml:space="preserve">), </w:t>
        </w:r>
        <w:r>
          <w:rPr>
            <w:rStyle w:val="Hyperlink"/>
            <w:color w:val="0000FF"/>
            <w:u w:val="single"/>
            <w:rtl w:val="true"/>
          </w:rPr>
          <w:t>התשי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1954</w:t>
        </w:r>
      </w:hyperlink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hyperlink r:id="rId45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</w:t>
        </w:r>
      </w:hyperlink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נקבע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חובה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שיטיל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תעלה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שנה</w:t>
      </w:r>
      <w:r>
        <w:rPr>
          <w:rtl w:val="true"/>
        </w:rPr>
        <w:t>" (</w:t>
      </w:r>
      <w:r>
        <w:rPr>
          <w:rtl w:val="true"/>
        </w:rPr>
        <w:t>לגלגוליה של הוראה זו</w:t>
      </w:r>
      <w:r>
        <w:rPr>
          <w:rtl w:val="true"/>
        </w:rPr>
        <w:t xml:space="preserve">, </w:t>
      </w:r>
      <w:r>
        <w:rPr>
          <w:rtl w:val="true"/>
        </w:rPr>
        <w:t xml:space="preserve">שהתקבעה לבסוף </w:t>
      </w:r>
      <w:hyperlink r:id="rId46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פלר</w:t>
        </w:r>
        <w:r>
          <w:rPr>
            <w:rStyle w:val="Hyperlink"/>
            <w:color w:val="0000FF"/>
            <w:u w:val="single"/>
            <w:rtl w:val="true"/>
          </w:rPr>
          <w:t>, "</w:t>
        </w:r>
        <w:r>
          <w:rPr>
            <w:rStyle w:val="Hyperlink"/>
            <w:color w:val="0000FF"/>
            <w:u w:val="single"/>
            <w:rtl w:val="true"/>
          </w:rPr>
          <w:t>מאסר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  <w:rtl w:val="true"/>
          </w:rPr>
          <w:t>עולם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חובה</w:t>
        </w:r>
        <w:r>
          <w:rPr>
            <w:rStyle w:val="Hyperlink"/>
            <w:color w:val="0000FF"/>
            <w:u w:val="single"/>
            <w:rtl w:val="true"/>
          </w:rPr>
          <w:t xml:space="preserve">', </w:t>
        </w:r>
        <w:r>
          <w:rPr>
            <w:rStyle w:val="Hyperlink"/>
            <w:color w:val="0000FF"/>
            <w:u w:val="single"/>
            <w:rtl w:val="true"/>
          </w:rPr>
          <w:t>מאסר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עולם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 xml:space="preserve">ומאסר </w:t>
      </w:r>
      <w:r>
        <w:rPr>
          <w:rtl w:val="true"/>
        </w:rPr>
        <w:t>'</w:t>
      </w:r>
      <w:r>
        <w:rPr>
          <w:rtl w:val="true"/>
        </w:rPr>
        <w:t>עשרים שנה</w:t>
      </w:r>
      <w:r>
        <w:rPr>
          <w:rtl w:val="true"/>
        </w:rPr>
        <w:t xml:space="preserve">'",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וממשל</w:t>
      </w:r>
      <w:r>
        <w:rPr>
          <w:rtl w:val="true"/>
        </w:rPr>
        <w:t xml:space="preserve"> ב </w:t>
      </w:r>
      <w:r>
        <w:rPr/>
        <w:t>507</w:t>
      </w:r>
      <w:r>
        <w:rPr>
          <w:rtl w:val="true"/>
        </w:rPr>
        <w:t xml:space="preserve">, </w:t>
      </w:r>
      <w:r>
        <w:rPr/>
        <w:t>516-514</w:t>
      </w:r>
      <w:r>
        <w:rPr>
          <w:rtl w:val="true"/>
        </w:rPr>
        <w:t xml:space="preserve"> (</w:t>
      </w:r>
      <w:r>
        <w:rPr>
          <w:rtl w:val="true"/>
        </w:rPr>
        <w:t>תשנ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)). </w:t>
      </w:r>
      <w:r>
        <w:rPr>
          <w:rtl w:val="true"/>
        </w:rPr>
        <w:t>יוצא אפוא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לא נועד לשנות באופן מהותי מהוראת </w:t>
      </w:r>
      <w:hyperlink r:id="rId5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ובחזרה לענייננו</w:t>
      </w:r>
      <w:r>
        <w:rPr>
          <w:rtl w:val="true"/>
        </w:rPr>
        <w:t xml:space="preserve">. </w:t>
      </w:r>
      <w:r>
        <w:rPr>
          <w:rtl w:val="true"/>
        </w:rPr>
        <w:t xml:space="preserve">לצד הוראת </w:t>
      </w:r>
      <w:hyperlink r:id="rId5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 החוק הפלילי</w:t>
      </w:r>
      <w:r>
        <w:rPr>
          <w:rtl w:val="true"/>
        </w:rPr>
        <w:t xml:space="preserve">, </w:t>
      </w:r>
      <w:r>
        <w:rPr>
          <w:rtl w:val="true"/>
        </w:rPr>
        <w:t xml:space="preserve">נקבעה הוראה נוספת </w:t>
      </w:r>
      <w:hyperlink r:id="rId53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לאותה הפקודה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צפוי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לעונשים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דלקמן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לעשותה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הריגת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מארבע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שנה</w:t>
      </w:r>
      <w:r>
        <w:rPr>
          <w:rtl w:val="true"/>
        </w:rPr>
        <w:t xml:space="preserve">". </w:t>
      </w:r>
      <w:r>
        <w:rPr>
          <w:rtl w:val="true"/>
        </w:rPr>
        <w:t>הוראה זו הוחלפה</w:t>
      </w:r>
      <w:r>
        <w:rPr>
          <w:rtl w:val="true"/>
        </w:rPr>
        <w:t xml:space="preserve">, </w:t>
      </w:r>
      <w:r>
        <w:rPr>
          <w:rtl w:val="true"/>
        </w:rPr>
        <w:t>בשינויים מעטים</w:t>
      </w:r>
      <w:r>
        <w:rPr>
          <w:rtl w:val="true"/>
        </w:rPr>
        <w:t xml:space="preserve">, </w:t>
      </w:r>
      <w:r>
        <w:rPr>
          <w:rtl w:val="true"/>
        </w:rPr>
        <w:t xml:space="preserve">עם חקיקת </w:t>
      </w:r>
      <w:hyperlink r:id="rId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בשנת </w:t>
      </w:r>
      <w:r>
        <w:rPr/>
        <w:t>1977</w:t>
      </w:r>
      <w:r>
        <w:rPr>
          <w:rtl w:val="true"/>
        </w:rPr>
        <w:t xml:space="preserve">, </w:t>
      </w:r>
      <w:hyperlink r:id="rId55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שקבע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הריגה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softHyphen/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שנים</w:t>
      </w:r>
      <w:r>
        <w:rPr>
          <w:rtl w:val="true"/>
        </w:rPr>
        <w:t>".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הוראות אלו</w:t>
      </w:r>
      <w:r>
        <w:rPr>
          <w:rtl w:val="true"/>
        </w:rPr>
        <w:t xml:space="preserve">, </w:t>
      </w:r>
      <w:r>
        <w:rPr>
          <w:rtl w:val="true"/>
        </w:rPr>
        <w:t>שנחקקו זו לצד זו</w:t>
      </w:r>
      <w:r>
        <w:rPr>
          <w:rtl w:val="true"/>
        </w:rPr>
        <w:t xml:space="preserve">, </w:t>
      </w:r>
      <w:r>
        <w:rPr>
          <w:rtl w:val="true"/>
        </w:rPr>
        <w:t>הובילו לכתיבה ענפה באשר ליחס ביניהן</w:t>
      </w:r>
      <w:r>
        <w:rPr>
          <w:rtl w:val="true"/>
        </w:rPr>
        <w:t xml:space="preserve">, </w:t>
      </w:r>
      <w:r>
        <w:rPr>
          <w:rtl w:val="true"/>
        </w:rPr>
        <w:t>ולא בכדי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 xml:space="preserve">הקושי המתעורר למקרא </w:t>
      </w:r>
      <w:hyperlink r:id="rId56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7">
        <w:r>
          <w:rPr>
            <w:rStyle w:val="Hyperlink"/>
          </w:rPr>
          <w:t>222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הוא ברור וגלוי</w:t>
      </w:r>
      <w:r>
        <w:rPr>
          <w:rtl w:val="true"/>
        </w:rPr>
        <w:t xml:space="preserve">. </w:t>
      </w:r>
      <w:r>
        <w:rPr>
          <w:rtl w:val="true"/>
        </w:rPr>
        <w:t>שהרי על פני הדברים</w:t>
      </w:r>
      <w:r>
        <w:rPr>
          <w:rtl w:val="true"/>
        </w:rPr>
        <w:t xml:space="preserve">, </w:t>
      </w:r>
      <w:r>
        <w:rPr>
          <w:rtl w:val="true"/>
        </w:rPr>
        <w:t xml:space="preserve">שני הסעיפים הללו עוסקים במי שניסה לגרום למותו של אדם שלא כדין </w:t>
      </w:r>
      <w:r>
        <w:rPr>
          <w:rtl w:val="true"/>
        </w:rPr>
        <w:t>'</w:t>
      </w:r>
      <w:r>
        <w:rPr>
          <w:rtl w:val="true"/>
        </w:rPr>
        <w:t>בכוונה</w:t>
      </w:r>
      <w:r>
        <w:rPr>
          <w:rtl w:val="true"/>
        </w:rPr>
        <w:t xml:space="preserve">', </w:t>
      </w:r>
      <w:r>
        <w:rPr>
          <w:rtl w:val="true"/>
        </w:rPr>
        <w:t xml:space="preserve">אך בעוד שהעונש על אחד מהם הוא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</w:t>
      </w:r>
      <w:r>
        <w:rPr>
          <w:rtl w:val="true"/>
        </w:rPr>
        <w:t>(</w:t>
      </w:r>
      <w:hyperlink r:id="rId5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), </w:t>
      </w:r>
      <w:r>
        <w:rPr>
          <w:rtl w:val="true"/>
        </w:rPr>
        <w:t xml:space="preserve">העונש על השני הוא מאסר עולם </w:t>
      </w:r>
      <w:r>
        <w:rPr>
          <w:rtl w:val="true"/>
        </w:rPr>
        <w:t>(</w:t>
      </w:r>
      <w:hyperlink r:id="rId5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). </w:t>
      </w:r>
      <w:r>
        <w:rPr>
          <w:rtl w:val="true"/>
        </w:rPr>
        <w:t>ויוזכר</w:t>
      </w:r>
      <w:r>
        <w:rPr>
          <w:rtl w:val="true"/>
        </w:rPr>
        <w:t xml:space="preserve">, </w:t>
      </w:r>
      <w:r>
        <w:rPr>
          <w:rtl w:val="true"/>
        </w:rPr>
        <w:t>כי בתקופה שבה נחקקו שני הסעיפים הללו</w:t>
      </w:r>
      <w:r>
        <w:rPr>
          <w:rtl w:val="true"/>
        </w:rPr>
        <w:t xml:space="preserve">, </w:t>
      </w:r>
      <w:r>
        <w:rPr>
          <w:rtl w:val="true"/>
        </w:rPr>
        <w:t>זה לצד זה</w:t>
      </w:r>
      <w:r>
        <w:rPr>
          <w:rtl w:val="true"/>
        </w:rPr>
        <w:t xml:space="preserve">, </w:t>
      </w:r>
      <w:r>
        <w:rPr>
          <w:rtl w:val="true"/>
        </w:rPr>
        <w:t>עונש מאסר עולם היה</w:t>
      </w:r>
      <w:r>
        <w:rPr>
          <w:rtl w:val="true"/>
        </w:rPr>
        <w:t xml:space="preserve">, </w:t>
      </w:r>
      <w:r>
        <w:rPr>
          <w:rtl w:val="true"/>
        </w:rPr>
        <w:t>כפשוטו</w:t>
      </w:r>
      <w:r>
        <w:rPr>
          <w:rtl w:val="true"/>
        </w:rPr>
        <w:t xml:space="preserve">, </w:t>
      </w:r>
      <w:r>
        <w:rPr>
          <w:rtl w:val="true"/>
        </w:rPr>
        <w:t>מאסר לכל אורך חייו של הנאשם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ייאמר מיד</w:t>
      </w:r>
      <w:r>
        <w:rPr>
          <w:rtl w:val="true"/>
        </w:rPr>
        <w:t xml:space="preserve">, </w:t>
      </w:r>
      <w:r>
        <w:rPr>
          <w:rtl w:val="true"/>
        </w:rPr>
        <w:t>כי בכל הקשור לעבירת ׳הניסיון להריגה׳</w:t>
      </w:r>
      <w:r>
        <w:rPr>
          <w:rtl w:val="true"/>
        </w:rPr>
        <w:t xml:space="preserve">, </w:t>
      </w:r>
      <w:r>
        <w:rPr>
          <w:rtl w:val="true"/>
        </w:rPr>
        <w:t xml:space="preserve">שהייתה קבועה </w:t>
      </w:r>
      <w:hyperlink r:id="rId6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לא הייתה מחלוקת על כך שעבירה זו דרשה</w:t>
      </w:r>
      <w:r>
        <w:rPr>
          <w:rtl w:val="true"/>
        </w:rPr>
        <w:t xml:space="preserve">, </w:t>
      </w:r>
      <w:r>
        <w:rPr>
          <w:rtl w:val="true"/>
        </w:rPr>
        <w:t>לכל הפחות</w:t>
      </w:r>
      <w:r>
        <w:rPr>
          <w:rtl w:val="true"/>
        </w:rPr>
        <w:t xml:space="preserve">, </w:t>
      </w:r>
      <w:r>
        <w:rPr>
          <w:rtl w:val="true"/>
        </w:rPr>
        <w:t>כוונה רגילה</w:t>
      </w:r>
      <w:r>
        <w:rPr>
          <w:rtl w:val="true"/>
        </w:rPr>
        <w:t xml:space="preserve">;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ללא כוונה כלל</w:t>
      </w:r>
      <w:r>
        <w:rPr>
          <w:rtl w:val="true"/>
        </w:rPr>
        <w:t xml:space="preserve">, </w:t>
      </w:r>
      <w:r>
        <w:rPr>
          <w:rtl w:val="true"/>
        </w:rPr>
        <w:t xml:space="preserve">לא ניתן להאשים את הנאשם בכך שהוא </w:t>
      </w:r>
      <w:r>
        <w:rPr>
          <w:rtl w:val="true"/>
        </w:rPr>
        <w:t>'</w:t>
      </w:r>
      <w:r>
        <w:rPr>
          <w:rtl w:val="true"/>
        </w:rPr>
        <w:t>מנסה</w:t>
      </w:r>
      <w:r>
        <w:rPr>
          <w:rtl w:val="true"/>
        </w:rPr>
        <w:t xml:space="preserve">' </w:t>
      </w:r>
      <w:r>
        <w:rPr>
          <w:rtl w:val="true"/>
        </w:rPr>
        <w:t>להביא להריגתו של אחר</w:t>
      </w:r>
      <w:r>
        <w:rPr>
          <w:rtl w:val="true"/>
        </w:rPr>
        <w:t xml:space="preserve">. </w:t>
      </w:r>
      <w:r>
        <w:rPr>
          <w:rtl w:val="true"/>
        </w:rPr>
        <w:t>הניסיון לבצע עבירה דורש</w:t>
      </w:r>
      <w:r>
        <w:rPr>
          <w:rtl w:val="true"/>
        </w:rPr>
        <w:t xml:space="preserve">, </w:t>
      </w:r>
      <w:r>
        <w:rPr>
          <w:rtl w:val="true"/>
        </w:rPr>
        <w:t>מיניה וביה</w:t>
      </w:r>
      <w:r>
        <w:rPr>
          <w:rtl w:val="true"/>
        </w:rPr>
        <w:t xml:space="preserve">, </w:t>
      </w:r>
      <w:r>
        <w:rPr>
          <w:rtl w:val="true"/>
        </w:rPr>
        <w:t xml:space="preserve">כי הנאשם יבצע את מעשיו במטרה להשלים את ביצוע העבירה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61/51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1249</w:t>
      </w:r>
      <w:r>
        <w:rPr>
          <w:rtl w:val="true"/>
        </w:rPr>
        <w:t xml:space="preserve">, </w:t>
      </w:r>
      <w:r>
        <w:rPr/>
        <w:t>1252</w:t>
      </w:r>
      <w:r>
        <w:rPr>
          <w:rtl w:val="true"/>
        </w:rPr>
        <w:t xml:space="preserve"> (</w:t>
      </w:r>
      <w:r>
        <w:rPr/>
        <w:t>1951</w:t>
      </w:r>
      <w:r>
        <w:rPr>
          <w:rtl w:val="true"/>
        </w:rPr>
        <w:t>)).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כי זה היה הטעם העיקרי שעמד בבסיס דברי מ</w:t>
      </w:r>
      <w:r>
        <w:rPr>
          <w:rtl w:val="true"/>
        </w:rPr>
        <w:t>"</w:t>
      </w:r>
      <w:r>
        <w:rPr>
          <w:rtl w:val="true"/>
        </w:rPr>
        <w:t>מ הנשיא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ש״ז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6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272/55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מתאנה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י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142</w:t>
      </w:r>
      <w:r>
        <w:rPr>
          <w:rtl w:val="true"/>
        </w:rPr>
        <w:t xml:space="preserve">, </w:t>
      </w:r>
      <w:r>
        <w:rPr/>
        <w:t>143</w:t>
      </w:r>
      <w:r>
        <w:rPr>
          <w:rtl w:val="true"/>
        </w:rPr>
        <w:t xml:space="preserve"> (</w:t>
      </w:r>
      <w:r>
        <w:rPr/>
        <w:t>1956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מתאנה</w:t>
      </w:r>
      <w:r>
        <w:rPr>
          <w:rtl w:val="true"/>
        </w:rPr>
        <w:t xml:space="preserve">), </w:t>
      </w:r>
      <w:r>
        <w:rPr>
          <w:rtl w:val="true"/>
        </w:rPr>
        <w:t xml:space="preserve">עת קבע כי העבירה של ניסיון לרצח לפי </w:t>
      </w:r>
      <w:hyperlink r:id="rId6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לפקודה </w:t>
      </w:r>
      <w:r>
        <w:rPr>
          <w:rtl w:val="true"/>
        </w:rPr>
        <w:t>(</w:t>
      </w:r>
      <w:r>
        <w:rPr>
          <w:rtl w:val="true"/>
        </w:rPr>
        <w:t>וכיום</w:t>
      </w:r>
      <w:r>
        <w:rPr>
          <w:rtl w:val="true"/>
        </w:rPr>
        <w:t xml:space="preserve">, </w:t>
      </w:r>
      <w:hyperlink r:id="rId6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דורשת יסוד נפשי של כוונה תחילה</w:t>
      </w:r>
      <w:r>
        <w:rPr>
          <w:rtl w:val="true"/>
        </w:rPr>
        <w:t xml:space="preserve">. </w:t>
      </w:r>
      <w:r>
        <w:rPr>
          <w:rtl w:val="true"/>
        </w:rPr>
        <w:t>ובלשונו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>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222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>: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החלט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להרוג</w:t>
      </w:r>
      <w:r>
        <w:rPr>
          <w:rtl w:val="true"/>
        </w:rPr>
        <w:t>;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התכוננות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להרוג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שקדמ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הרגזה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eastAsia="Arial TUR;Arial" w:cs="Arial TUR;Arial"/>
          <w:rtl w:val="true"/>
        </w:rPr>
        <w:t xml:space="preserve"> </w:t>
      </w:r>
      <w:r>
        <w:rPr/>
        <w:t>214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216</w:t>
      </w:r>
      <w:r>
        <w:rPr>
          <w:rtl w:val="true"/>
        </w:rPr>
        <w:t xml:space="preserve"> </w:t>
      </w:r>
      <w:r>
        <w:rPr>
          <w:rtl w:val="true"/>
        </w:rPr>
        <w:t>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</w:t>
      </w:r>
      <w:r>
        <w:rPr>
          <w:rtl w:val="true"/>
        </w:rPr>
        <w:t>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ס</w:t>
      </w:r>
      <w:r>
        <w:rPr>
          <w:rtl w:val="true"/>
        </w:rPr>
        <w:t>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>".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 xml:space="preserve">בהתאם להלכת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מתאנה</w:t>
      </w:r>
      <w:r>
        <w:rPr>
          <w:rtl w:val="true"/>
        </w:rPr>
        <w:t xml:space="preserve">, </w:t>
      </w:r>
      <w:hyperlink r:id="rId6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 החוק הפלילי עוסק במי שניסה לבצע את עבירת הרצח בכוונה תחילה</w:t>
      </w:r>
      <w:r>
        <w:rPr>
          <w:rtl w:val="true"/>
        </w:rPr>
        <w:t xml:space="preserve">; </w:t>
      </w:r>
      <w:r>
        <w:rPr>
          <w:rtl w:val="true"/>
        </w:rPr>
        <w:t xml:space="preserve">בעוד </w:t>
      </w:r>
      <w:hyperlink r:id="rId67">
        <w:r>
          <w:rPr>
            <w:rStyle w:val="Hyperlink"/>
            <w:rtl w:val="true"/>
          </w:rPr>
          <w:t>שסעיף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 עוסק במי שניסה לעבור עבירה של המתה בכוונה רגילה</w:t>
      </w:r>
      <w:r>
        <w:rPr>
          <w:rtl w:val="true"/>
        </w:rPr>
        <w:t xml:space="preserve">, </w:t>
      </w:r>
      <w:r>
        <w:rPr>
          <w:rtl w:val="true"/>
        </w:rPr>
        <w:t>אך ללא כוונה תחילה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 xml:space="preserve">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מתאנה</w:t>
      </w:r>
      <w:r>
        <w:rPr>
          <w:rtl w:val="true"/>
        </w:rPr>
        <w:t xml:space="preserve"> לא האריכה ימים</w:t>
      </w:r>
      <w:r>
        <w:rPr>
          <w:rtl w:val="true"/>
        </w:rPr>
        <w:t xml:space="preserve">. </w:t>
      </w:r>
      <w:r>
        <w:rPr>
          <w:rtl w:val="true"/>
        </w:rPr>
        <w:t>כעבור זמן לא רב היא נהפכה ב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155/59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דרעי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/>
        <w:t>233</w:t>
      </w:r>
      <w:r>
        <w:rPr>
          <w:rtl w:val="true"/>
        </w:rPr>
        <w:t xml:space="preserve">, </w:t>
      </w:r>
      <w:r>
        <w:rPr/>
        <w:t>237</w:t>
      </w:r>
      <w:r>
        <w:rPr>
          <w:rtl w:val="true"/>
        </w:rPr>
        <w:t xml:space="preserve"> (</w:t>
      </w:r>
      <w:r>
        <w:rPr/>
        <w:t>1960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דרעי</w:t>
      </w:r>
      <w:r>
        <w:rPr>
          <w:rtl w:val="true"/>
        </w:rPr>
        <w:t xml:space="preserve">). </w:t>
      </w:r>
      <w:r>
        <w:rPr>
          <w:rtl w:val="true"/>
        </w:rPr>
        <w:t xml:space="preserve">באותה הלכה נקבע מפי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ש׳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אגרנט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 xml:space="preserve">כי היסוד הנפשי הנדרש בעבירה של ניסיון לרצח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6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) </w:t>
      </w:r>
      <w:r>
        <w:rPr>
          <w:rtl w:val="true"/>
        </w:rPr>
        <w:t>הוא מודעות לעובדות המהוות את העבירה</w:t>
      </w:r>
      <w:r>
        <w:rPr>
          <w:rtl w:val="true"/>
        </w:rPr>
        <w:t xml:space="preserve">, </w:t>
      </w:r>
      <w:r>
        <w:rPr>
          <w:rtl w:val="true"/>
        </w:rPr>
        <w:t>לצד כוונה רגילה להביא למותו של אדם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 xml:space="preserve">הטעם העיקרי להפיכת 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מתאנה</w:t>
      </w:r>
      <w:r>
        <w:rPr>
          <w:rtl w:val="true"/>
        </w:rPr>
        <w:t xml:space="preserve"> היה נעוץ בלשון 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שצוטט לעיל</w:t>
      </w:r>
      <w:r>
        <w:rPr>
          <w:rtl w:val="true"/>
        </w:rPr>
        <w:t xml:space="preserve">, </w:t>
      </w:r>
      <w:r>
        <w:rPr>
          <w:rtl w:val="true"/>
        </w:rPr>
        <w:t>אשר לא נמצא בה כל עיגון</w:t>
      </w:r>
      <w:r>
        <w:rPr>
          <w:rtl w:val="true"/>
        </w:rPr>
        <w:t xml:space="preserve">, </w:t>
      </w:r>
      <w:r>
        <w:rPr>
          <w:rtl w:val="true"/>
        </w:rPr>
        <w:t>ולו מינימלי</w:t>
      </w:r>
      <w:r>
        <w:rPr>
          <w:rtl w:val="true"/>
        </w:rPr>
        <w:t xml:space="preserve">, </w:t>
      </w:r>
      <w:r>
        <w:rPr>
          <w:rtl w:val="true"/>
        </w:rPr>
        <w:t>לדרישה שהניסיון להמית ייעשה בכוונה תחילה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נקבע כי כל שנדרש לשם הרשעה בעבירה של ניסיון לרצח הוא כי הנאשם </w:t>
      </w:r>
      <w:r>
        <w:rPr>
          <w:rtl w:val="true"/>
        </w:rPr>
        <w:t>"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לגרום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למיתתו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</w:t>
      </w:r>
      <w:r>
        <w:rPr>
          <w:rtl w:val="true"/>
        </w:rPr>
        <w:t xml:space="preserve">", </w:t>
      </w:r>
      <w:r>
        <w:rPr>
          <w:rtl w:val="true"/>
        </w:rPr>
        <w:t xml:space="preserve">כאשר ניסיון כולל </w:t>
      </w:r>
      <w:r>
        <w:rPr>
          <w:rtl w:val="true"/>
        </w:rPr>
        <w:t>"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מושלמת</w:t>
      </w:r>
      <w:r>
        <w:rPr>
          <w:rFonts w:cs="Miriam" w:ascii="Century" w:hAnsi="Century"/>
          <w:b/>
          <w:spacing w:val="0"/>
          <w:szCs w:val="24"/>
          <w:rtl w:val="true"/>
        </w:rPr>
        <w:t>; (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גלויה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לתוצאה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בעמודים </w:t>
      </w:r>
      <w:r>
        <w:rPr/>
        <w:t>239-238</w:t>
      </w:r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עוד נקבע ב</w:t>
      </w:r>
      <w:r>
        <w:rPr>
          <w:rFonts w:ascii="Century" w:hAnsi="Century" w:cs="Century"/>
          <w:sz w:val="22"/>
          <w:sz w:val="22"/>
          <w:rtl w:val="true"/>
        </w:rPr>
        <w:t>הלכת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דרעי</w:t>
      </w:r>
      <w:r>
        <w:rPr>
          <w:rtl w:val="true"/>
        </w:rPr>
        <w:t xml:space="preserve">, </w:t>
      </w:r>
      <w:r>
        <w:rPr>
          <w:rtl w:val="true"/>
        </w:rPr>
        <w:t>כי מאחר שלשון הסעיף ברורה וחד משמעית</w:t>
      </w:r>
      <w:r>
        <w:rPr>
          <w:rtl w:val="true"/>
        </w:rPr>
        <w:t xml:space="preserve">, </w:t>
      </w:r>
      <w:r>
        <w:rPr>
          <w:rtl w:val="true"/>
        </w:rPr>
        <w:t xml:space="preserve">אין מקום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להיעזר</w:t>
      </w:r>
      <w:r>
        <w:rPr>
          <w:rtl w:val="true"/>
        </w:rPr>
        <w:t xml:space="preserve">" </w:t>
      </w:r>
      <w:r>
        <w:rPr>
          <w:rtl w:val="true"/>
        </w:rPr>
        <w:t xml:space="preserve">בכותרת הסעיף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כדי ללמוד על דרישה שהניסיון ייעשה בכוונה תחילה</w:t>
      </w:r>
      <w:r>
        <w:rPr>
          <w:rtl w:val="true"/>
        </w:rPr>
        <w:t xml:space="preserve">, </w:t>
      </w:r>
      <w:r>
        <w:rPr>
          <w:rtl w:val="true"/>
        </w:rPr>
        <w:t>בדומה לעבירות הרצח שהייתה קבועה בפקודה באותה עת</w:t>
      </w:r>
      <w:r>
        <w:rPr>
          <w:rtl w:val="true"/>
        </w:rPr>
        <w:t xml:space="preserve">; </w:t>
      </w:r>
      <w:r>
        <w:rPr>
          <w:rtl w:val="true"/>
        </w:rPr>
        <w:t>מה גם ש</w:t>
      </w:r>
      <w:r>
        <w:rPr>
          <w:rFonts w:ascii="Century" w:hAnsi="Century" w:cs="Century"/>
          <w:rtl w:val="true"/>
        </w:rPr>
        <w:t>יתכן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כותרת הסעיף נוסחה כפי שנוסחה בשל טעות של מנסח החוק המנדטורי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הלכת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דרעי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בעמוד </w:t>
      </w:r>
      <w:r>
        <w:rPr>
          <w:rFonts w:cs="Century" w:ascii="Century" w:hAnsi="Century"/>
        </w:rPr>
        <w:t>241</w:t>
      </w:r>
      <w:r>
        <w:rPr>
          <w:rFonts w:cs="Century" w:ascii="Century" w:hAnsi="Century"/>
          <w:rtl w:val="true"/>
        </w:rPr>
        <w:t>).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 xml:space="preserve">במסגרת הלכת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דרעי</w:t>
      </w:r>
      <w:r>
        <w:rPr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אגרנט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הוסיף והתייחס לקושי הנובע מכך שקיימות שתי עבירות שונות המתייחסות לאותם יסודות עובדתיים ונפשיים</w:t>
      </w:r>
      <w:r>
        <w:rPr>
          <w:rtl w:val="true"/>
        </w:rPr>
        <w:t xml:space="preserve">, </w:t>
      </w:r>
      <w:r>
        <w:rPr>
          <w:rtl w:val="true"/>
        </w:rPr>
        <w:t>ובפרט כאשר לצדן קיימים עונשים שונים</w:t>
      </w:r>
      <w:r>
        <w:rPr>
          <w:rtl w:val="true"/>
        </w:rPr>
        <w:t xml:space="preserve">; </w:t>
      </w:r>
      <w:r>
        <w:rPr>
          <w:rtl w:val="true"/>
        </w:rPr>
        <w:t>ובלשונו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נשאלת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: </w:t>
      </w:r>
      <w:r>
        <w:rPr>
          <w:rtl w:val="true"/>
        </w:rPr>
        <w:t>הייתכן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ס</w:t>
      </w:r>
      <w:r>
        <w:rPr>
          <w:rtl w:val="true"/>
        </w:rPr>
        <w:t>ודותיהן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</w:t>
      </w:r>
      <w:r>
        <w:rPr>
          <w:rtl w:val="true"/>
        </w:rPr>
        <w:t>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זהים</w:t>
      </w:r>
      <w:r>
        <w:rPr>
          <w:rtl w:val="true"/>
        </w:rPr>
        <w:t>?</w:t>
      </w:r>
      <w:r>
        <w:rPr>
          <w:rtl w:val="true"/>
        </w:rPr>
        <w:t xml:space="preserve"> </w:t>
      </w:r>
      <w:r>
        <w:rPr>
          <w:rtl w:val="true"/>
        </w:rPr>
        <w:t>תשובתי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: </w:t>
      </w:r>
      <w:r>
        <w:rPr>
          <w:rtl w:val="true"/>
        </w:rPr>
        <w:t>ייתכן</w:t>
      </w:r>
      <w:r>
        <w:rPr>
          <w:rtl w:val="true"/>
        </w:rPr>
        <w:t>!</w:t>
      </w:r>
      <w:r>
        <w:rPr>
          <w:rtl w:val="true"/>
        </w:rPr>
        <w:t xml:space="preserve"> –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</w:t>
      </w:r>
      <w:r>
        <w:rPr>
          <w:rtl w:val="true"/>
        </w:rPr>
        <w:t>ית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הבחינה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התיאורטית</w:t>
      </w:r>
      <w:r>
        <w:rPr>
          <w:rtl w:val="true"/>
        </w:rPr>
        <w:t xml:space="preserve">: [...]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אש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ס</w:t>
      </w:r>
      <w:r>
        <w:rPr>
          <w:rtl w:val="true"/>
        </w:rPr>
        <w:t>ודותיהן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חופפים</w:t>
      </w:r>
      <w:r>
        <w:rPr>
          <w:rtl w:val="true"/>
        </w:rPr>
        <w:t xml:space="preserve">, </w:t>
      </w:r>
      <w:r>
        <w:rPr>
          <w:rtl w:val="true"/>
        </w:rPr>
        <w:t>ידורו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</w:t>
      </w:r>
      <w:r>
        <w:rPr>
          <w:rtl w:val="true"/>
        </w:rPr>
        <w:t>ח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השתיים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הבחינה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המעשית</w:t>
      </w:r>
      <w:r>
        <w:rPr>
          <w:rtl w:val="true"/>
        </w:rPr>
        <w:t xml:space="preserve">: </w:t>
      </w:r>
      <w:r>
        <w:rPr>
          <w:rtl w:val="true"/>
        </w:rPr>
        <w:t>נסיון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ההתנהגות</w:t>
      </w:r>
      <w:r>
        <w:rPr>
          <w:rtl w:val="true"/>
        </w:rPr>
        <w:t xml:space="preserve">, </w:t>
      </w:r>
      <w:r>
        <w:rPr>
          <w:rtl w:val="true"/>
        </w:rPr>
        <w:t>המתבטאת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מיתתו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וריאציות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ומגוונות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, </w:t>
      </w:r>
      <w:r>
        <w:rPr>
          <w:rtl w:val="true"/>
        </w:rPr>
        <w:t>תובעת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באפיים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מוסרית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שהמזימה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תוגשם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."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אגרנט</w:t>
      </w:r>
      <w:r>
        <w:rPr>
          <w:rtl w:val="true"/>
        </w:rPr>
        <w:t xml:space="preserve"> הוסיף והצביע על שורה של דוגמאות להבדלים משמעותיים שעשויים להימצא בין מקרים שונים של ניסיון לרצח</w:t>
      </w:r>
      <w:r>
        <w:rPr>
          <w:rtl w:val="true"/>
        </w:rPr>
        <w:t xml:space="preserve">, </w:t>
      </w:r>
      <w:r>
        <w:rPr>
          <w:rtl w:val="true"/>
        </w:rPr>
        <w:t xml:space="preserve">אשר יכול שיהא בהם כדי להצדיק נקיטת גישה מוסרית שונה לחלוטין ביחס לכל מקרה </w:t>
      </w:r>
      <w:r>
        <w:rPr>
          <w:rtl w:val="true"/>
        </w:rPr>
        <w:t>–</w:t>
      </w:r>
      <w:r>
        <w:rPr>
          <w:rtl w:val="true"/>
        </w:rPr>
        <w:t xml:space="preserve"> כגון ההבדל המוסרי בין מי שהתחרט במהלך ביצוע ניסיון ההמתה ובין מי שניסה בכל מאודו להגשים את מטרתו אך מסיבות שלא היו תלויות בו</w:t>
      </w:r>
      <w:r>
        <w:rPr>
          <w:rtl w:val="true"/>
        </w:rPr>
        <w:t xml:space="preserve">, </w:t>
      </w:r>
      <w:r>
        <w:rPr>
          <w:rtl w:val="true"/>
        </w:rPr>
        <w:t>נבצר ממנו לעשות כן</w:t>
      </w:r>
      <w:r>
        <w:rPr>
          <w:rtl w:val="true"/>
        </w:rPr>
        <w:t xml:space="preserve">. </w:t>
      </w:r>
      <w:r>
        <w:rPr>
          <w:rtl w:val="true"/>
        </w:rPr>
        <w:t>בשים לב לאמור</w:t>
      </w:r>
      <w:r>
        <w:rPr>
          <w:rtl w:val="true"/>
        </w:rPr>
        <w:t xml:space="preserve">, </w:t>
      </w:r>
      <w:r>
        <w:rPr>
          <w:rtl w:val="true"/>
        </w:rPr>
        <w:t>הוטעם על</w:t>
      </w:r>
      <w:r>
        <w:rPr>
          <w:rtl w:val="true"/>
        </w:rPr>
        <w:t>-</w:t>
      </w:r>
      <w:r>
        <w:rPr>
          <w:rtl w:val="true"/>
        </w:rPr>
        <w:t>ידו כי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בק</w:t>
      </w:r>
      <w:r>
        <w:rPr>
          <w:rtl w:val="true"/>
        </w:rPr>
        <w:t>ב</w:t>
      </w:r>
      <w:r>
        <w:rPr>
          <w:rtl w:val="true"/>
        </w:rPr>
        <w:t>עו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המתפשטות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האופרטיביים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ריאה</w:t>
      </w:r>
      <w:r>
        <w:rPr>
          <w:rtl w:val="true"/>
        </w:rPr>
        <w:t>'</w:t>
      </w:r>
      <w:r>
        <w:rPr>
          <w:rtl w:val="true"/>
        </w:rPr>
        <w:t xml:space="preserve"> – </w:t>
      </w:r>
      <w:r>
        <w:rPr>
          <w:rtl w:val="true"/>
        </w:rPr>
        <w:t>נושאים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</w:t>
      </w:r>
      <w:r>
        <w:rPr>
          <w:rtl w:val="true"/>
        </w:rPr>
        <w:t xml:space="preserve">, </w:t>
      </w:r>
      <w:r>
        <w:rPr>
          <w:rtl w:val="true"/>
        </w:rPr>
        <w:t>[</w:t>
      </w:r>
      <w:r>
        <w:rPr>
          <w:rtl w:val="true"/>
        </w:rPr>
        <w:t>המחוקק</w:t>
      </w:r>
      <w:r>
        <w:rPr>
          <w:rtl w:val="true"/>
        </w:rPr>
        <w:t xml:space="preserve">] </w:t>
      </w:r>
      <w:r>
        <w:rPr>
          <w:rtl w:val="true"/>
        </w:rPr>
        <w:t>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המכסימלית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בעטיה</w:t>
      </w:r>
      <w:r>
        <w:rPr>
          <w:rtl w:val="true"/>
        </w:rPr>
        <w:t xml:space="preserve">. </w:t>
      </w:r>
      <w:r>
        <w:rPr>
          <w:rtl w:val="true"/>
        </w:rPr>
        <w:t>בהפעילו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שיוו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הבלטת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נסיו</w:t>
      </w:r>
      <w:r>
        <w:rPr>
          <w:rtl w:val="true"/>
        </w:rPr>
        <w:t>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קטילה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אש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האחרת</w:t>
      </w:r>
      <w:r>
        <w:rPr>
          <w:rtl w:val="true"/>
        </w:rPr>
        <w:t xml:space="preserve">, </w:t>
      </w:r>
      <w:r>
        <w:rPr>
          <w:rtl w:val="true"/>
        </w:rPr>
        <w:t>גוררת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מכסימלית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29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))</w:t>
      </w:r>
      <w:r>
        <w:rPr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מ</w:t>
      </w:r>
      <w:r>
        <w:rPr>
          <w:rtl w:val="true"/>
        </w:rPr>
        <w:t>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ההפחדה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עיף</w:t>
      </w:r>
      <w:r>
        <w:rPr>
          <w:rFonts w:eastAsia="Arial TUR;Arial" w:cs="Arial TUR;Arial"/>
          <w:rtl w:val="true"/>
        </w:rPr>
        <w:t xml:space="preserve"> </w:t>
      </w:r>
      <w:r>
        <w:rPr/>
        <w:t>222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>);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נתינת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ר</w:t>
      </w:r>
      <w:r>
        <w:rPr>
          <w:rtl w:val="true"/>
        </w:rPr>
        <w:t>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להצלחת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חזקה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המגמה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ההתחשבות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בסכנה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במיון</w:t>
      </w:r>
      <w:r>
        <w:rPr>
          <w:rtl w:val="true"/>
        </w:rPr>
        <w:t>-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כ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>
          <w:rtl w:val="true"/>
        </w:rPr>
        <w:t>הרצון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הכללית</w:t>
      </w:r>
      <w:r>
        <w:rPr>
          <w:rtl w:val="true"/>
        </w:rPr>
        <w:t>."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בסיכומו של דבר</w:t>
      </w:r>
      <w:r>
        <w:rPr>
          <w:rtl w:val="true"/>
        </w:rPr>
        <w:t xml:space="preserve">, </w:t>
      </w:r>
      <w:r>
        <w:rPr>
          <w:rtl w:val="true"/>
        </w:rPr>
        <w:t xml:space="preserve">בהלכת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דרעי</w:t>
      </w:r>
      <w:r>
        <w:rPr>
          <w:rtl w:val="true"/>
        </w:rPr>
        <w:t xml:space="preserve"> נקבע כי קיימות שתי עבירות נפרדות של ניסיון לרצח</w:t>
      </w:r>
      <w:r>
        <w:rPr>
          <w:rtl w:val="true"/>
        </w:rPr>
        <w:t xml:space="preserve">, </w:t>
      </w:r>
      <w:r>
        <w:rPr>
          <w:rtl w:val="true"/>
        </w:rPr>
        <w:t>אשר זהות לחלוטין ביסודותיהן</w:t>
      </w:r>
      <w:r>
        <w:rPr>
          <w:rtl w:val="true"/>
        </w:rPr>
        <w:t xml:space="preserve">, </w:t>
      </w:r>
      <w:r>
        <w:rPr>
          <w:rtl w:val="true"/>
        </w:rPr>
        <w:t>וכי המחוקק הפקיד בידי התביעה את הברירה לבחור</w:t>
      </w:r>
      <w:r>
        <w:rPr>
          <w:rtl w:val="true"/>
        </w:rPr>
        <w:t xml:space="preserve">, </w:t>
      </w:r>
      <w:r>
        <w:rPr>
          <w:rtl w:val="true"/>
        </w:rPr>
        <w:t>בכל מקרה</w:t>
      </w:r>
      <w:r>
        <w:rPr>
          <w:rtl w:val="true"/>
        </w:rPr>
        <w:t xml:space="preserve">, </w:t>
      </w:r>
      <w:r>
        <w:rPr>
          <w:rtl w:val="true"/>
        </w:rPr>
        <w:t xml:space="preserve">מהו הסעיף שבו יואשם הנאשם </w:t>
      </w:r>
      <w:r>
        <w:rPr>
          <w:rtl w:val="true"/>
        </w:rPr>
        <w:t>(</w:t>
      </w:r>
      <w:hyperlink r:id="rId7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או </w:t>
      </w:r>
      <w:hyperlink r:id="rId7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); </w:t>
      </w:r>
      <w:r>
        <w:rPr>
          <w:rtl w:val="true"/>
        </w:rPr>
        <w:t>וכנגזרת מכך</w:t>
      </w:r>
      <w:r>
        <w:rPr>
          <w:rtl w:val="true"/>
        </w:rPr>
        <w:t xml:space="preserve">, </w:t>
      </w:r>
      <w:r>
        <w:rPr>
          <w:rtl w:val="true"/>
        </w:rPr>
        <w:t xml:space="preserve">מה יהא העונש המקסימלי שאליו הנאשם יהא חשוף </w:t>
      </w:r>
      <w:r>
        <w:rPr>
          <w:rtl w:val="true"/>
        </w:rPr>
        <w:t>(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 או מאסר עולם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>).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 xml:space="preserve">במרוצת השנים נמתחה ביקורת נוקבת כלפי 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דרעי</w:t>
      </w:r>
      <w:r>
        <w:rPr>
          <w:rtl w:val="true"/>
        </w:rPr>
        <w:t xml:space="preserve">. </w:t>
      </w:r>
      <w:r>
        <w:rPr>
          <w:rtl w:val="true"/>
        </w:rPr>
        <w:t xml:space="preserve">פרופסור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קרמניצר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 xml:space="preserve">סבר כי לא זו בלבד שהלכת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דרעי</w:t>
      </w:r>
      <w:r>
        <w:rPr>
          <w:rtl w:val="true"/>
        </w:rPr>
        <w:t xml:space="preserve"> אינה מתחייבת מלשון החוק</w:t>
      </w:r>
      <w:r>
        <w:rPr>
          <w:rtl w:val="true"/>
        </w:rPr>
        <w:t xml:space="preserve">, </w:t>
      </w:r>
      <w:r>
        <w:rPr>
          <w:rtl w:val="true"/>
        </w:rPr>
        <w:t>אלא שתוצאתה מנוגדת לעקרון החוקיות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עקרון החוקיות מחייב כי הנאשם יוכל לדעת</w:t>
      </w:r>
      <w:r>
        <w:rPr>
          <w:rtl w:val="true"/>
        </w:rPr>
        <w:t xml:space="preserve">,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באיזו עבירה הוא צפוי להיות מואשם בגין מעשיו</w:t>
      </w:r>
      <w:r>
        <w:rPr>
          <w:rtl w:val="true"/>
        </w:rPr>
        <w:t xml:space="preserve">, </w:t>
      </w:r>
      <w:r>
        <w:rPr>
          <w:rtl w:val="true"/>
        </w:rPr>
        <w:t>ואין זה ראוי ליתן בידי התביעה הכללית שיקול דעת כה רחב באשר לבחירת סעיף העבירה שייוחס לנאשם</w:t>
      </w:r>
      <w:r>
        <w:rPr>
          <w:rtl w:val="true"/>
        </w:rPr>
        <w:t xml:space="preserve">, </w:t>
      </w:r>
      <w:r>
        <w:rPr>
          <w:rtl w:val="true"/>
        </w:rPr>
        <w:t xml:space="preserve">כאשר שתי העבירות חלות על אותם יסודות עובדתיים ואותם יסודות נפשיים בדיוק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מרדכי</w:t>
      </w:r>
      <w:r>
        <w:rPr>
          <w:rtl w:val="true"/>
        </w:rPr>
        <w:t xml:space="preserve"> </w:t>
      </w:r>
      <w:hyperlink r:id="rId73">
        <w:r>
          <w:rPr>
            <w:rStyle w:val="Hyperlink"/>
            <w:color w:val="0000FF"/>
            <w:u w:val="single"/>
            <w:rtl w:val="true"/>
          </w:rPr>
          <w:t>קרמניצר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הניסיון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לרצח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במשפטנו</w:t>
        </w:r>
        <w:r>
          <w:rPr>
            <w:rStyle w:val="Hyperlink"/>
            <w:color w:val="0000FF"/>
            <w:u w:val="single"/>
            <w:rtl w:val="true"/>
          </w:rPr>
          <w:t>"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משפטים</w:t>
      </w:r>
      <w:r>
        <w:rPr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/>
        <w:t>487</w:t>
      </w:r>
      <w:r>
        <w:rPr>
          <w:rtl w:val="true"/>
        </w:rPr>
        <w:t xml:space="preserve"> (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קרמניצר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74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4256-06-09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בחוס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בעמודים </w:t>
      </w:r>
      <w:r>
        <w:rPr>
          <w:rFonts w:cs="Century" w:ascii="Century" w:hAnsi="Century"/>
          <w:sz w:val="22"/>
        </w:rPr>
        <w:t>433-431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</w:t>
      </w:r>
      <w:r>
        <w:rPr/>
        <w:t>0</w:t>
      </w:r>
      <w:r>
        <w:rPr/>
        <w:t>7.2013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וכן </w:t>
      </w:r>
      <w:r>
        <w:rPr>
          <w:rtl w:val="true"/>
        </w:rPr>
        <w:t>יורם</w:t>
      </w:r>
      <w:r>
        <w:rPr>
          <w:rtl w:val="true"/>
        </w:rPr>
        <w:t xml:space="preserve"> </w:t>
      </w:r>
      <w:r>
        <w:rPr>
          <w:rtl w:val="true"/>
        </w:rPr>
        <w:t>רבין</w:t>
      </w:r>
      <w:r>
        <w:rPr>
          <w:rtl w:val="true"/>
        </w:rPr>
        <w:t xml:space="preserve"> </w:t>
      </w:r>
      <w:r>
        <w:rPr>
          <w:rtl w:val="true"/>
        </w:rPr>
        <w:t>ויניב</w:t>
      </w:r>
      <w:r>
        <w:rPr>
          <w:rtl w:val="true"/>
        </w:rPr>
        <w:t xml:space="preserve"> </w:t>
      </w:r>
      <w:r>
        <w:rPr>
          <w:rtl w:val="true"/>
        </w:rPr>
        <w:t>ואקי</w:t>
      </w:r>
      <w:r>
        <w:rPr>
          <w:rtl w:val="true"/>
        </w:rPr>
        <w:t xml:space="preserve"> </w:t>
      </w:r>
      <w:hyperlink r:id="rId75"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rtl w:val="true"/>
          </w:rPr>
          <w:t>עונשין</w:t>
        </w:r>
      </w:hyperlink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 </w:t>
      </w:r>
      <w:r>
        <w:rPr/>
        <w:t>566</w:t>
      </w:r>
      <w:r>
        <w:rPr>
          <w:rtl w:val="true"/>
        </w:rPr>
        <w:t xml:space="preserve">, </w:t>
      </w:r>
      <w:r>
        <w:rPr/>
        <w:t>581-580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מהדורה</w:t>
      </w:r>
      <w:r>
        <w:rPr>
          <w:rtl w:val="true"/>
        </w:rPr>
        <w:t xml:space="preserve">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/>
        <w:t>2014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חרף הביקורת שנמתחה על 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דרעי</w:t>
      </w:r>
      <w:r>
        <w:rPr>
          <w:rtl w:val="true"/>
        </w:rPr>
        <w:t xml:space="preserve">, </w:t>
      </w:r>
      <w:r>
        <w:rPr>
          <w:rtl w:val="true"/>
        </w:rPr>
        <w:t xml:space="preserve">הלכה זו הוסיפה לעמוד בתוקפה שנות דור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4711/03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15.01.2009</w:t>
      </w:r>
      <w:r>
        <w:rPr>
          <w:rtl w:val="true"/>
        </w:rPr>
        <w:t xml:space="preserve">); 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6468/13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צרפתי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03.05.2015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צרפתי</w:t>
      </w:r>
      <w:r>
        <w:rPr>
          <w:rtl w:val="true"/>
        </w:rPr>
        <w:t xml:space="preserve">)).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 אף שלאורך השנים היו מי משופטי ישראל שבחנו</w:t>
      </w:r>
      <w:r>
        <w:rPr>
          <w:rtl w:val="true"/>
        </w:rPr>
        <w:t xml:space="preserve">, </w:t>
      </w:r>
      <w:r>
        <w:rPr>
          <w:rtl w:val="true"/>
        </w:rPr>
        <w:t>׳למעלה מן הצורך׳</w:t>
      </w:r>
      <w:r>
        <w:rPr>
          <w:rtl w:val="true"/>
        </w:rPr>
        <w:t xml:space="preserve">, </w:t>
      </w:r>
      <w:r>
        <w:rPr>
          <w:rtl w:val="true"/>
        </w:rPr>
        <w:t xml:space="preserve">את היסוד הנפשי הנדרש בעבירת הניסיון לרצח באספקלריה של כוונה תחילה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1788/92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רחמיאן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04.07.1994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צרפתי</w:t>
      </w:r>
      <w:r>
        <w:rPr>
          <w:rtl w:val="true"/>
        </w:rPr>
        <w:t xml:space="preserve"> בפסקאות </w:t>
      </w:r>
      <w:r>
        <w:rPr/>
        <w:t>46-43</w:t>
      </w:r>
      <w:r>
        <w:rPr>
          <w:rtl w:val="true"/>
        </w:rPr>
        <w:t>).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בשלהי שנת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 xml:space="preserve">נהפכה 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דרעי</w:t>
      </w:r>
      <w:r>
        <w:rPr>
          <w:rtl w:val="true"/>
        </w:rPr>
        <w:t xml:space="preserve">, </w:t>
      </w:r>
      <w:r>
        <w:rPr>
          <w:rtl w:val="true"/>
        </w:rPr>
        <w:t>באופן רשמי</w:t>
      </w:r>
      <w:r>
        <w:rPr>
          <w:rtl w:val="true"/>
        </w:rPr>
        <w:t xml:space="preserve">, </w:t>
      </w:r>
      <w:r>
        <w:rPr>
          <w:rtl w:val="true"/>
        </w:rPr>
        <w:t xml:space="preserve">בגדרי 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1474/14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15.12.2015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). </w:t>
      </w:r>
      <w:r>
        <w:rPr>
          <w:rtl w:val="true"/>
        </w:rPr>
        <w:t>בהלכה זו נקבע</w:t>
      </w:r>
      <w:r>
        <w:rPr>
          <w:rtl w:val="true"/>
        </w:rPr>
        <w:t xml:space="preserve">, </w:t>
      </w:r>
      <w:r>
        <w:rPr>
          <w:rtl w:val="true"/>
        </w:rPr>
        <w:t xml:space="preserve">בין היתר על בסיס ביקורתו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קרמניצר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; </w:t>
      </w:r>
      <w:r>
        <w:rPr>
          <w:rtl w:val="true"/>
        </w:rPr>
        <w:t>הכנה</w:t>
      </w:r>
      <w:r>
        <w:rPr>
          <w:rtl w:val="true"/>
        </w:rPr>
        <w:t xml:space="preserve">; </w:t>
      </w:r>
      <w:r>
        <w:rPr>
          <w:rtl w:val="true"/>
        </w:rPr>
        <w:t>והיעדר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קנטור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המוסרי</w:t>
      </w:r>
      <w:r>
        <w:rPr>
          <w:rtl w:val="true"/>
        </w:rPr>
        <w:t xml:space="preserve">"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>.</w:t>
      </w:r>
      <w:r>
        <w:rPr>
          <w:rtl w:val="true"/>
        </w:rPr>
        <w:t>"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 xml:space="preserve">אינני בטוח שנכון היה להפוך את 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דרעי</w:t>
      </w:r>
      <w:r>
        <w:rPr>
          <w:rtl w:val="true"/>
        </w:rPr>
        <w:t xml:space="preserve"> בשלהי שנת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 xml:space="preserve">תוך הישענות על הביקורת שנשמעה על הלכה זו כמעט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שנה קודם לכן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tl w:val="true"/>
        </w:rPr>
        <w:t xml:space="preserve">, </w:t>
      </w:r>
      <w:r>
        <w:rPr>
          <w:rtl w:val="true"/>
        </w:rPr>
        <w:t>שביקורת זו</w:t>
      </w:r>
      <w:r>
        <w:rPr>
          <w:rtl w:val="true"/>
        </w:rPr>
        <w:t xml:space="preserve">, </w:t>
      </w:r>
      <w:r>
        <w:rPr>
          <w:rtl w:val="true"/>
        </w:rPr>
        <w:t>שהיה בה טעם רב כאשר הבחירה בין שתי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זו </w:t>
      </w:r>
      <w:hyperlink r:id="rId80">
        <w:r>
          <w:rPr>
            <w:rStyle w:val="Hyperlink"/>
            <w:rtl w:val="true"/>
          </w:rPr>
          <w:t>שבסעיף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וזו </w:t>
      </w:r>
      <w:hyperlink r:id="rId81">
        <w:r>
          <w:rPr>
            <w:rStyle w:val="Hyperlink"/>
            <w:rtl w:val="true"/>
          </w:rPr>
          <w:t>שבסעיף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הובילה לשינוי משמעותי בענישה</w:t>
      </w:r>
      <w:r>
        <w:rPr>
          <w:rtl w:val="true"/>
        </w:rPr>
        <w:t xml:space="preserve">, </w:t>
      </w:r>
      <w:r>
        <w:rPr>
          <w:rtl w:val="true"/>
        </w:rPr>
        <w:t xml:space="preserve">כבר איבדה מעוקצה כאשר נכנס לתוקפו תיקון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 גם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39</w:t>
      </w:r>
      <w:r>
        <w:rPr>
          <w:rtl w:val="true"/>
        </w:rPr>
        <w:t xml:space="preserve">). </w:t>
      </w:r>
      <w:r>
        <w:rPr>
          <w:rtl w:val="true"/>
        </w:rPr>
        <w:t>ואסביר</w:t>
      </w:r>
      <w:r>
        <w:rPr>
          <w:rtl w:val="true"/>
        </w:rPr>
        <w:t>.</w:t>
      </w:r>
    </w:p>
    <w:p>
      <w:pPr>
        <w:pStyle w:val="Ruller43"/>
        <w:keepNext w:val="true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cs="Miriam" w:ascii="Century" w:hAnsi="Century"/>
          <w:b/>
          <w:spacing w:val="0"/>
          <w:sz w:val="22"/>
          <w:szCs w:val="24"/>
        </w:rPr>
        <w:t>2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נפקות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39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hyperlink r:id="rId83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)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לרצח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 xml:space="preserve">במסגרת תיקון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 xml:space="preserve">בוטל </w:t>
      </w:r>
      <w:hyperlink r:id="rId8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שבא כאמור חלף </w:t>
      </w:r>
      <w:hyperlink r:id="rId8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 xml:space="preserve">ותחתיו נקבע כלל לפיו העונש המקסימלי על עבירת ניסיון יהיה זהה לזה של העבירה המושלמת </w:t>
      </w:r>
      <w:r>
        <w:rPr>
          <w:rtl w:val="true"/>
        </w:rPr>
        <w:t>(</w:t>
      </w:r>
      <w:hyperlink r:id="rId8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ד</w:t>
        </w:r>
      </w:hyperlink>
      <w:r>
        <w:rPr>
          <w:rtl w:val="true"/>
        </w:rPr>
        <w:t xml:space="preserve"> לחוק העונשין</w:t>
      </w:r>
      <w:r>
        <w:rPr>
          <w:rtl w:val="true"/>
        </w:rPr>
        <w:t xml:space="preserve">).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בוטלה העבירה של ניסיון להריגה בכוונה</w:t>
      </w:r>
      <w:r>
        <w:rPr>
          <w:rtl w:val="true"/>
        </w:rPr>
        <w:t xml:space="preserve">, </w:t>
      </w:r>
      <w:r>
        <w:rPr>
          <w:rtl w:val="true"/>
        </w:rPr>
        <w:t>ובמקום זאת</w:t>
      </w:r>
      <w:r>
        <w:rPr>
          <w:rtl w:val="true"/>
        </w:rPr>
        <w:t xml:space="preserve">, </w:t>
      </w:r>
      <w:r>
        <w:rPr>
          <w:rtl w:val="true"/>
        </w:rPr>
        <w:t xml:space="preserve">המחוקק השווה בין העונש על ניסיון לבצע עבירה של הריגה </w:t>
      </w:r>
      <w:r>
        <w:rPr>
          <w:rtl w:val="true"/>
        </w:rPr>
        <w:t>(</w:t>
      </w:r>
      <w:r>
        <w:rPr>
          <w:rtl w:val="true"/>
        </w:rPr>
        <w:t>כהגדרתה אז</w:t>
      </w:r>
      <w:r>
        <w:rPr>
          <w:rtl w:val="true"/>
        </w:rPr>
        <w:t xml:space="preserve">, </w:t>
      </w:r>
      <w:hyperlink r:id="rId88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 xml:space="preserve">ובין העונש על ניסיון לרצח </w:t>
      </w:r>
      <w:r>
        <w:rPr>
          <w:rtl w:val="true"/>
        </w:rPr>
        <w:t>(</w:t>
      </w:r>
      <w:hyperlink r:id="rId9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עת נקבע כי העונש על שתי העבירות הללו יהא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במילים אחרות</w:t>
      </w:r>
      <w:r>
        <w:rPr>
          <w:rtl w:val="true"/>
        </w:rPr>
        <w:t xml:space="preserve">, </w:t>
      </w:r>
      <w:r>
        <w:rPr>
          <w:rtl w:val="true"/>
        </w:rPr>
        <w:t xml:space="preserve">לאחר תיקון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לא הייתה עוד נפקות לשאלה אם עבירת הניסיון לרצח דורשת כוונה תחילה או כוונה רגילה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מרגע שהוכח כי הייתה ׳כוונה להמית׳</w:t>
      </w:r>
      <w:r>
        <w:rPr>
          <w:rtl w:val="true"/>
        </w:rPr>
        <w:t xml:space="preserve">, </w:t>
      </w:r>
      <w:r>
        <w:rPr>
          <w:rtl w:val="true"/>
        </w:rPr>
        <w:t>תהא כוונה זו אשר תהא</w:t>
      </w:r>
      <w:r>
        <w:rPr>
          <w:rtl w:val="true"/>
        </w:rPr>
        <w:t xml:space="preserve">, </w:t>
      </w:r>
      <w:r>
        <w:rPr>
          <w:rtl w:val="true"/>
        </w:rPr>
        <w:t xml:space="preserve">ניתן היה להאשים את הנאשם בעבירה של ניסיון להריגה </w:t>
      </w:r>
      <w:r>
        <w:rPr>
          <w:rtl w:val="true"/>
        </w:rPr>
        <w:t>(</w:t>
      </w:r>
      <w:r>
        <w:rPr>
          <w:rtl w:val="true"/>
        </w:rPr>
        <w:t xml:space="preserve">הנובעת מצירוף </w:t>
      </w:r>
      <w:hyperlink r:id="rId91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92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 xml:space="preserve">שעונשה היה זהה לעבירת הניסיון לרצח </w:t>
      </w:r>
      <w:r>
        <w:rPr>
          <w:rtl w:val="true"/>
        </w:rPr>
        <w:t>(</w:t>
      </w:r>
      <w:hyperlink r:id="rId9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 xml:space="preserve">לאחר תיקון </w:t>
      </w:r>
      <w:r>
        <w:rPr/>
        <w:t>39</w:t>
      </w:r>
      <w:r>
        <w:rPr>
          <w:rtl w:val="true"/>
        </w:rPr>
        <w:t xml:space="preserve">, </w:t>
      </w:r>
      <w:r>
        <w:rPr>
          <w:rtl w:val="true"/>
        </w:rPr>
        <w:t xml:space="preserve">הלכת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דרעי</w:t>
      </w:r>
      <w:r>
        <w:rPr>
          <w:rtl w:val="true"/>
        </w:rPr>
        <w:t xml:space="preserve"> חזרה להיות בעלת היגיון רב</w:t>
      </w:r>
      <w:r>
        <w:rPr>
          <w:rtl w:val="true"/>
        </w:rPr>
        <w:t xml:space="preserve">, </w:t>
      </w:r>
      <w:r>
        <w:rPr>
          <w:rtl w:val="true"/>
        </w:rPr>
        <w:t>שכן שוב ניתן היה לתהות מהו הטעם המבורר ליצור עבירה נפרדת ל׳ניסיון הריגה בכוונה</w:t>
      </w:r>
      <w:r>
        <w:rPr>
          <w:rtl w:val="true"/>
        </w:rPr>
        <w:t xml:space="preserve">', </w:t>
      </w:r>
      <w:r>
        <w:rPr>
          <w:rtl w:val="true"/>
        </w:rPr>
        <w:t>ו</w:t>
      </w:r>
      <w:r>
        <w:rPr>
          <w:rtl w:val="true"/>
        </w:rPr>
        <w:t>'</w:t>
      </w:r>
      <w:r>
        <w:rPr>
          <w:rtl w:val="true"/>
        </w:rPr>
        <w:t>ניסיון לרצח בכוונה תחילה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כאשר העונש לשתי העבירות הללו הוא זהה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שאלה זו אינה עומדת בפניי</w:t>
      </w:r>
      <w:r>
        <w:rPr>
          <w:rtl w:val="true"/>
        </w:rPr>
        <w:t xml:space="preserve">, </w:t>
      </w:r>
      <w:r>
        <w:rPr>
          <w:rtl w:val="true"/>
        </w:rPr>
        <w:t>ועל כן אינני נדרש להכריע בה</w:t>
      </w:r>
      <w:r>
        <w:rPr>
          <w:rtl w:val="true"/>
        </w:rPr>
        <w:t xml:space="preserve">. </w:t>
      </w:r>
      <w:r>
        <w:rPr>
          <w:rtl w:val="true"/>
        </w:rPr>
        <w:t xml:space="preserve">השאלה שבפניי היא מהו היסוד הנפשי הנדרש להרשעה בעבירה של ניסיון לרצח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tl w:val="true"/>
        </w:rPr>
        <w:t xml:space="preserve">. </w:t>
      </w:r>
      <w:r>
        <w:rPr>
          <w:rtl w:val="true"/>
        </w:rPr>
        <w:t>לשאלה זו אפנה כעת</w:t>
      </w:r>
      <w:r>
        <w:rPr>
          <w:rtl w:val="true"/>
        </w:rPr>
        <w:t>.</w:t>
      </w:r>
    </w:p>
    <w:p>
      <w:pPr>
        <w:pStyle w:val="Ruller43"/>
        <w:keepNext w:val="true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cs="Miriam" w:ascii="Century" w:hAnsi="Century"/>
          <w:b/>
          <w:spacing w:val="0"/>
          <w:sz w:val="22"/>
          <w:szCs w:val="24"/>
        </w:rPr>
        <w:t>3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נפקות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137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hyperlink r:id="rId9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)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לרצח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ניתן היה לסבור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 xml:space="preserve">כי מאחר </w:t>
      </w:r>
      <w:hyperlink r:id="rId96">
        <w:r>
          <w:rPr>
            <w:rStyle w:val="Hyperlink"/>
            <w:rtl w:val="true"/>
          </w:rPr>
          <w:t>שסעיף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לא שוּנה במסגרת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 xml:space="preserve">היסוד הנפשי שבו נותר כפי שהיה בהתאם להלכת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דהיינו</w:t>
      </w:r>
      <w:r>
        <w:rPr>
          <w:rtl w:val="true"/>
        </w:rPr>
        <w:t xml:space="preserve">, </w:t>
      </w:r>
      <w:r>
        <w:rPr>
          <w:rtl w:val="true"/>
        </w:rPr>
        <w:t>כוונה תחילה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בבית משפט זה נשמעו מספר אמרות אגב</w:t>
      </w:r>
      <w:r>
        <w:rPr>
          <w:rtl w:val="true"/>
        </w:rPr>
        <w:t xml:space="preserve">, </w:t>
      </w:r>
      <w:r>
        <w:rPr>
          <w:rtl w:val="true"/>
        </w:rPr>
        <w:t xml:space="preserve">מהן עלה כי היסוד הנפשי הנדרש בעבירה של ניסיון לרצח לאחר הרפורמה בעבירות ההמתה הוא של כוונה תחילה </w:t>
      </w:r>
      <w:r>
        <w:rPr>
          <w:rtl w:val="true"/>
        </w:rPr>
        <w:t>(</w:t>
      </w:r>
      <w:hyperlink r:id="rId9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2377/19</w:t>
        </w:r>
      </w:hyperlink>
      <w:r>
        <w:rPr>
          <w:rFonts w:cs="Century" w:ascii="Century" w:hAnsi="Century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אפגאני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22.05.2022</w:t>
      </w:r>
      <w:r>
        <w:rPr>
          <w:rFonts w:cs="Century" w:ascii="Century" w:hAnsi="Century"/>
          <w:rtl w:val="true"/>
        </w:rPr>
        <w:t xml:space="preserve">); </w:t>
      </w:r>
      <w:hyperlink r:id="rId9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3879/21</w:t>
        </w:r>
      </w:hyperlink>
      <w:r>
        <w:rPr>
          <w:rFonts w:cs="Century" w:ascii="Century" w:hAnsi="Century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סלומון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  <w:rtl w:val="true"/>
        </w:rPr>
        <w:t>‏</w:t>
      </w:r>
      <w:r>
        <w:rPr>
          <w:rFonts w:cs="Century" w:ascii="Century" w:hAnsi="Century"/>
        </w:rPr>
        <w:t>10.8.2022</w:t>
      </w:r>
      <w:r>
        <w:rPr>
          <w:rFonts w:cs="Century" w:ascii="Century" w:hAnsi="Century"/>
          <w:rtl w:val="true"/>
        </w:rPr>
        <w:t xml:space="preserve">); </w:t>
      </w:r>
      <w:hyperlink r:id="rId10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3312/19</w:t>
        </w:r>
      </w:hyperlink>
      <w:r>
        <w:rPr>
          <w:rFonts w:cs="Century" w:ascii="Century" w:hAnsi="Century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22.01.2023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); </w:t>
      </w:r>
      <w:r>
        <w:rPr>
          <w:rtl w:val="true"/>
        </w:rPr>
        <w:t>אך עם זאת</w:t>
      </w:r>
      <w:r>
        <w:rPr>
          <w:rtl w:val="true"/>
        </w:rPr>
        <w:t xml:space="preserve">, </w:t>
      </w:r>
      <w:r>
        <w:rPr>
          <w:rtl w:val="true"/>
        </w:rPr>
        <w:t>לא ניתן לומר שנקבעה הלכה בעניין זה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 xml:space="preserve">דרישת כוונה תחילה כתנאי לתחולתו של </w:t>
      </w:r>
      <w:hyperlink r:id="rId10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לאחר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>יוצרת תוצאה מוקשית</w:t>
      </w:r>
      <w:r>
        <w:rPr>
          <w:rtl w:val="true"/>
        </w:rPr>
        <w:t xml:space="preserve">. </w:t>
      </w:r>
      <w:r>
        <w:rPr>
          <w:rtl w:val="true"/>
        </w:rPr>
        <w:t>ואבאר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0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rtl w:val="true"/>
        </w:rPr>
        <w:t>ובהתאם</w:t>
      </w:r>
      <w:r>
        <w:rPr>
          <w:rFonts w:eastAsia="Arial TUR;Arial" w:cs="Arial TUR;Arial"/>
          <w:rtl w:val="true"/>
        </w:rPr>
        <w:t xml:space="preserve"> </w:t>
      </w:r>
      <w:hyperlink r:id="rId105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311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להטיל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תעלה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שנים</w:t>
      </w:r>
      <w:r>
        <w:rPr>
          <w:rtl w:val="true"/>
        </w:rPr>
        <w:t xml:space="preserve">"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שככלל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0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כמצוות</w:t>
      </w:r>
      <w:r>
        <w:rPr>
          <w:rFonts w:eastAsia="Arial TUR;Arial" w:cs="Arial TUR;Arial"/>
          <w:rtl w:val="true"/>
        </w:rPr>
        <w:t xml:space="preserve"> </w:t>
      </w:r>
      <w:hyperlink r:id="rId10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ד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hyperlink r:id="rId10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תעלה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שנים</w:t>
      </w:r>
      <w:r>
        <w:rPr>
          <w:rtl w:val="true"/>
        </w:rPr>
        <w:t xml:space="preserve">",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מצירוף</w:t>
      </w:r>
      <w:r>
        <w:rPr>
          <w:rFonts w:eastAsia="Arial TUR;Arial" w:cs="Arial TUR;Arial"/>
          <w:rtl w:val="true"/>
        </w:rPr>
        <w:t xml:space="preserve"> </w:t>
      </w:r>
      <w:hyperlink r:id="rId110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, </w:t>
      </w:r>
      <w:hyperlink r:id="rId111">
        <w:r>
          <w:rPr>
            <w:rStyle w:val="Hyperlink"/>
          </w:rPr>
          <w:t>34</w:t>
        </w:r>
        <w:r>
          <w:rPr>
            <w:rStyle w:val="Hyperlink"/>
            <w:rtl w:val="true"/>
          </w:rPr>
          <w:t>ד</w:t>
        </w:r>
      </w:hyperlink>
      <w:r>
        <w:rPr>
          <w:rtl w:val="true"/>
        </w:rPr>
        <w:t xml:space="preserve">, </w:t>
      </w:r>
      <w:hyperlink r:id="rId112"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13">
        <w:r>
          <w:rPr>
            <w:rStyle w:val="Hyperlink"/>
          </w:rPr>
          <w:t>311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hyperlink r:id="rId11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אבסורדית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יהא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היותר</w:t>
      </w:r>
      <w:r>
        <w:rPr>
          <w:rtl w:val="true"/>
        </w:rPr>
        <w:t xml:space="preserve">,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1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קצוב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אחד הטעמים שעמדו ביסוד ביקורתו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קרמניצר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על הלכת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דרעי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היה קשור בכותרת </w:t>
      </w:r>
      <w:hyperlink r:id="rId1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לפקודה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tl w:val="true"/>
        </w:rPr>
        <w:t xml:space="preserve">". </w:t>
      </w:r>
      <w:r>
        <w:rPr>
          <w:rtl w:val="true"/>
        </w:rPr>
        <w:t>לפי תפיסה זו</w:t>
      </w:r>
      <w:r>
        <w:rPr>
          <w:rtl w:val="true"/>
        </w:rPr>
        <w:t xml:space="preserve">, </w:t>
      </w:r>
      <w:r>
        <w:rPr>
          <w:rtl w:val="true"/>
        </w:rPr>
        <w:t>ניתן לראות בכותרת הסעיף הנ</w:t>
      </w:r>
      <w:r>
        <w:rPr>
          <w:rtl w:val="true"/>
        </w:rPr>
        <w:t>"</w:t>
      </w:r>
      <w:r>
        <w:rPr>
          <w:rtl w:val="true"/>
        </w:rPr>
        <w:t>ל אינדיקציה לכך שהסעיף מכוון לניסיון לבצע את עבירת הרצח</w:t>
      </w:r>
      <w:r>
        <w:rPr>
          <w:rtl w:val="true"/>
        </w:rPr>
        <w:t xml:space="preserve">, </w:t>
      </w:r>
      <w:r>
        <w:rPr>
          <w:rtl w:val="true"/>
        </w:rPr>
        <w:t>שהוגדרה אז כ</w:t>
      </w:r>
      <w:r>
        <w:rPr>
          <w:rtl w:val="true"/>
        </w:rPr>
        <w:t>"</w:t>
      </w:r>
      <w:r>
        <w:rPr>
          <w:rtl w:val="true"/>
        </w:rPr>
        <w:t>רצח בכוונה תחילה</w:t>
      </w:r>
      <w:r>
        <w:rPr>
          <w:rtl w:val="true"/>
        </w:rPr>
        <w:t>" (</w:t>
      </w:r>
      <w:hyperlink r:id="rId118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19">
        <w:r>
          <w:rPr>
            <w:rStyle w:val="Hyperlink"/>
          </w:rPr>
          <w:t>216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). </w:t>
      </w:r>
      <w:r>
        <w:rPr>
          <w:rtl w:val="true"/>
        </w:rPr>
        <w:t xml:space="preserve">ביקורת זו הייתה רלוונטית גם לאחר חקיקת </w:t>
      </w:r>
      <w:hyperlink r:id="rId1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אך זאת רק עד לתיקון </w:t>
      </w:r>
      <w:r>
        <w:rPr/>
        <w:t>137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לאחר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>עבירת הרצח הוגדרה כמתייחסת למי ש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בכוונה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באדישות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tl w:val="true"/>
        </w:rPr>
        <w:t>" (</w:t>
      </w:r>
      <w:hyperlink r:id="rId1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גם אם ניתן לראות בכותרת </w:t>
      </w:r>
      <w:hyperlink r:id="rId12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305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ששרד את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ללא שינוי</w:t>
      </w:r>
      <w:r>
        <w:rPr>
          <w:rtl w:val="true"/>
        </w:rPr>
        <w:t xml:space="preserve">, </w:t>
      </w:r>
      <w:r>
        <w:rPr>
          <w:rtl w:val="true"/>
        </w:rPr>
        <w:t>משום הפניה לעבירת הרצח המושלמת</w:t>
      </w:r>
      <w:r>
        <w:rPr>
          <w:rtl w:val="true"/>
        </w:rPr>
        <w:t xml:space="preserve">, </w:t>
      </w:r>
      <w:r>
        <w:rPr>
          <w:rtl w:val="true"/>
        </w:rPr>
        <w:t>הרי שעבירה זו אינה דורשת עוד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הוכחת יסוד נפשי של כוונה תחילה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 xml:space="preserve">מן המקובץ עולה כי אף אם היה מקום להפיכת 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דרעי</w:t>
      </w:r>
      <w:r>
        <w:rPr>
          <w:rtl w:val="true"/>
        </w:rPr>
        <w:t xml:space="preserve"> לפני כניסתה לתוקף של הרפורמה בעבירות ההמתה </w:t>
      </w:r>
      <w:r>
        <w:rPr>
          <w:rtl w:val="true"/>
        </w:rPr>
        <w:t>(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 xml:space="preserve">לאחר תיקון </w:t>
      </w:r>
      <w:r>
        <w:rPr/>
        <w:t>39</w:t>
      </w:r>
      <w:r>
        <w:rPr>
          <w:rtl w:val="true"/>
        </w:rPr>
        <w:t xml:space="preserve">, </w:t>
      </w:r>
      <w:r>
        <w:rPr>
          <w:rtl w:val="true"/>
        </w:rPr>
        <w:t>אינני משוכנע בכך</w:t>
      </w:r>
      <w:r>
        <w:rPr>
          <w:rtl w:val="true"/>
        </w:rPr>
        <w:t xml:space="preserve">); </w:t>
      </w:r>
      <w:r>
        <w:rPr>
          <w:rtl w:val="true"/>
        </w:rPr>
        <w:t xml:space="preserve">מהטעמים שמניתי לעיל סבורני כי לאחר הרפורמה בעבירות ההמתה עלינו להשיב את 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דרעי</w:t>
      </w:r>
      <w:r>
        <w:rPr>
          <w:rtl w:val="true"/>
        </w:rPr>
        <w:t xml:space="preserve"> על מכונה</w:t>
      </w:r>
      <w:r>
        <w:rPr>
          <w:rtl w:val="true"/>
        </w:rPr>
        <w:t xml:space="preserve">, </w:t>
      </w:r>
      <w:r>
        <w:rPr>
          <w:rtl w:val="true"/>
        </w:rPr>
        <w:t xml:space="preserve">תוך שנקבע כי לשם הרשעה בעבירת ניסיון לרצח לפי </w:t>
      </w:r>
      <w:hyperlink r:id="rId1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די בהוכחה של כוונה רגילה ולא נדרשת הוכחת כוונה תחילה</w:t>
      </w:r>
      <w:r>
        <w:rPr>
          <w:rtl w:val="true"/>
        </w:rPr>
        <w:t xml:space="preserve">. </w:t>
      </w:r>
      <w:r>
        <w:rPr>
          <w:rtl w:val="true"/>
        </w:rPr>
        <w:t>מטעם זה</w:t>
      </w:r>
      <w:r>
        <w:rPr>
          <w:rtl w:val="true"/>
        </w:rPr>
        <w:t xml:space="preserve">, </w:t>
      </w:r>
      <w:r>
        <w:rPr>
          <w:rtl w:val="true"/>
        </w:rPr>
        <w:t>איני סבור כי נפל פגם בהכרעת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בגדרה הורשע המערער בעבירת ניסיון לרצח</w:t>
      </w:r>
      <w:r>
        <w:rPr>
          <w:rtl w:val="true"/>
        </w:rPr>
        <w:t xml:space="preserve">, </w:t>
      </w:r>
      <w:r>
        <w:rPr>
          <w:rtl w:val="true"/>
        </w:rPr>
        <w:t>אף מבלי להידרש להוכחת יסוד נפשי של כוונה תחילה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שונים הם פני הדברים בכל הנוגע לגזר הדין שיצא תחת ידו של בית משפט קמא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אף שניתן כיום להרשיע נאשם בעבירה של ניסיון לרצח מבלי להוכיח יסוד נפשי של כוונה תחילה</w:t>
      </w:r>
      <w:r>
        <w:rPr>
          <w:rtl w:val="true"/>
        </w:rPr>
        <w:t xml:space="preserve">, </w:t>
      </w:r>
      <w:r>
        <w:rPr>
          <w:rtl w:val="true"/>
        </w:rPr>
        <w:t>טיב היסוד הנפשי המיוחס לנאשם הוא שיקול משמעותי בכל הקשור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חומרת</w:t>
      </w:r>
      <w:r>
        <w:rPr>
          <w:rtl w:val="true"/>
        </w:rPr>
        <w:t xml:space="preserve"> העבירה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עד לרפורמה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>יסוד הכוונה תחילה עמד בבסיס ההבדל בין מי שדינו הוא מאסר עולם חובה</w:t>
      </w:r>
      <w:r>
        <w:rPr>
          <w:rtl w:val="true"/>
        </w:rPr>
        <w:t xml:space="preserve">, </w:t>
      </w:r>
      <w:r>
        <w:rPr>
          <w:rtl w:val="true"/>
        </w:rPr>
        <w:t>לבין מי שעונשו מוגבל 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ברי אפוא</w:t>
      </w:r>
      <w:r>
        <w:rPr>
          <w:rtl w:val="true"/>
        </w:rPr>
        <w:t xml:space="preserve">, </w:t>
      </w:r>
      <w:r>
        <w:rPr>
          <w:rtl w:val="true"/>
        </w:rPr>
        <w:t xml:space="preserve">כי היסוד הנפשי המיוחס לנאשם שניסה לעבור את עבירת הרצח </w:t>
      </w:r>
      <w:r>
        <w:rPr>
          <w:rtl w:val="true"/>
        </w:rPr>
        <w:t>–</w:t>
      </w:r>
      <w:r>
        <w:rPr>
          <w:rtl w:val="true"/>
        </w:rPr>
        <w:t xml:space="preserve"> בין אם כוונה רגילה או כוונה תחילה </w:t>
      </w:r>
      <w:r>
        <w:rPr>
          <w:rtl w:val="true"/>
        </w:rPr>
        <w:t>–</w:t>
      </w:r>
      <w:r>
        <w:rPr>
          <w:rtl w:val="true"/>
        </w:rPr>
        <w:t xml:space="preserve"> ראוי שישפיע על קביעת העונש הראוי גם במצב המשפטי הנוהג היום</w:t>
      </w:r>
      <w:r>
        <w:rPr>
          <w:rtl w:val="true"/>
        </w:rPr>
        <w:t xml:space="preserve">. </w:t>
      </w:r>
      <w:r>
        <w:rPr>
          <w:rtl w:val="true"/>
        </w:rPr>
        <w:t>לסוגיה זו אפנה כעת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ניסיון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עד לתיקון מס</w:t>
      </w:r>
      <w:r>
        <w:rPr>
          <w:rtl w:val="true"/>
        </w:rPr>
        <w:t xml:space="preserve">'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נהג כלל שלפיו העונש על עבירות ניסיון</w:t>
      </w:r>
      <w:r>
        <w:rPr>
          <w:rtl w:val="true"/>
        </w:rPr>
        <w:t xml:space="preserve">, </w:t>
      </w:r>
      <w:r>
        <w:rPr>
          <w:rtl w:val="true"/>
        </w:rPr>
        <w:t xml:space="preserve">היה ככלל </w:t>
      </w:r>
      <w:r>
        <w:rPr>
          <w:rtl w:val="true"/>
        </w:rPr>
        <w:t>(</w:t>
      </w:r>
      <w:r>
        <w:rPr>
          <w:rtl w:val="true"/>
        </w:rPr>
        <w:t>למעט חריגים שחלקם נדונו לעיל</w:t>
      </w:r>
      <w:r>
        <w:rPr>
          <w:rtl w:val="true"/>
        </w:rPr>
        <w:t xml:space="preserve">), </w:t>
      </w:r>
      <w:r>
        <w:rPr>
          <w:rtl w:val="true"/>
        </w:rPr>
        <w:t>מחצית מהעונש שהיה מוטל בגין ביצוע העבירה הראשית</w:t>
      </w:r>
      <w:r>
        <w:rPr>
          <w:rtl w:val="true"/>
        </w:rPr>
        <w:t xml:space="preserve">. </w:t>
      </w:r>
      <w:r>
        <w:rPr>
          <w:rtl w:val="true"/>
        </w:rPr>
        <w:t xml:space="preserve">ראשיתו של כלל זה בהוראת </w:t>
      </w:r>
      <w:hyperlink r:id="rId12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 החוק הפלילי</w:t>
      </w:r>
      <w:r>
        <w:rPr>
          <w:rtl w:val="true"/>
        </w:rPr>
        <w:t xml:space="preserve">; </w:t>
      </w:r>
      <w:r>
        <w:rPr>
          <w:rtl w:val="true"/>
        </w:rPr>
        <w:t xml:space="preserve">והוא אומץ מאוחר יותר </w:t>
      </w:r>
      <w:hyperlink r:id="rId128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שקבע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דינו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מחציתו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שנקבע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tl w:val="true"/>
        </w:rPr>
        <w:t>".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כלל זה ביטא את התפיסה שלפיה עיקרון הגמול בענישה קשור בקשר הדוק לתוצאות של התנהגות הנאשם ולהשפעתן על קורבן העבירה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התפיסה הייתה כי יש מקום להקל באופן ממשי בעונשו של מי שניסה לעבור עבירה</w:t>
      </w:r>
      <w:r>
        <w:rPr>
          <w:rtl w:val="true"/>
        </w:rPr>
        <w:t xml:space="preserve">, </w:t>
      </w:r>
      <w:r>
        <w:rPr>
          <w:rtl w:val="true"/>
        </w:rPr>
        <w:t>אך במבחן התוצאה לא הצליח לבצע אותה</w:t>
      </w:r>
      <w:r>
        <w:rPr>
          <w:rtl w:val="true"/>
        </w:rPr>
        <w:t xml:space="preserve">. </w:t>
      </w:r>
      <w:r>
        <w:rPr>
          <w:rtl w:val="true"/>
        </w:rPr>
        <w:t>היו שהציעו הסבר נוסף</w:t>
      </w:r>
      <w:r>
        <w:rPr>
          <w:rtl w:val="true"/>
        </w:rPr>
        <w:t xml:space="preserve">, </w:t>
      </w:r>
      <w:r>
        <w:rPr>
          <w:rtl w:val="true"/>
        </w:rPr>
        <w:t>מעין פסיכולוגי</w:t>
      </w:r>
      <w:r>
        <w:rPr>
          <w:rtl w:val="true"/>
        </w:rPr>
        <w:t xml:space="preserve">, </w:t>
      </w:r>
      <w:r>
        <w:rPr>
          <w:rtl w:val="true"/>
        </w:rPr>
        <w:t>להקלה בעונשו של מי שניסה לעבור עבירה</w:t>
      </w:r>
      <w:r>
        <w:rPr>
          <w:rtl w:val="true"/>
        </w:rPr>
        <w:t xml:space="preserve">, </w:t>
      </w:r>
      <w:r>
        <w:rPr>
          <w:rtl w:val="true"/>
        </w:rPr>
        <w:t>שלפיו ההקלה בעונש קשורה בכך שאי</w:t>
      </w:r>
      <w:r>
        <w:rPr>
          <w:rtl w:val="true"/>
        </w:rPr>
        <w:t>-</w:t>
      </w:r>
      <w:r>
        <w:rPr>
          <w:rtl w:val="true"/>
        </w:rPr>
        <w:t>ההצלחה להשלים את העבירה יכולה ללמד על כך ש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מלכתחילה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כוונתו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נחושה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במלואה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ויתכן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שגורמים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הכרתיים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הסולדים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אצל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לסיכול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tl w:val="true"/>
        </w:rPr>
        <w:t>" (</w:t>
      </w:r>
      <w:r>
        <w:rPr>
          <w:rtl w:val="true"/>
        </w:rPr>
        <w:t xml:space="preserve">דן </w:t>
      </w:r>
      <w:hyperlink r:id="rId130">
        <w:r>
          <w:rPr>
            <w:rStyle w:val="Hyperlink"/>
            <w:color w:val="0000FF"/>
            <w:u w:val="single"/>
            <w:rtl w:val="true"/>
          </w:rPr>
          <w:t>ביין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הערות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לעבירת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הניסיון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לאור תיקון </w:t>
      </w:r>
      <w:r>
        <w:rPr>
          <w:rFonts w:cs="Century" w:ascii="Century" w:hAnsi="Century"/>
          <w:sz w:val="22"/>
        </w:rPr>
        <w:t>39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13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cs="Century"/>
          <w:sz w:val="22"/>
          <w:sz w:val="22"/>
          <w:rtl w:val="true"/>
        </w:rPr>
        <w:t xml:space="preserve"> ג</w:t>
      </w:r>
      <w:r>
        <w:rPr>
          <w:rtl w:val="true"/>
        </w:rPr>
        <w:t xml:space="preserve"> </w:t>
      </w:r>
      <w:r>
        <w:rPr/>
        <w:t>297</w:t>
      </w:r>
      <w:r>
        <w:rPr>
          <w:rtl w:val="true"/>
        </w:rPr>
        <w:t xml:space="preserve">, </w:t>
      </w:r>
      <w:r>
        <w:rPr/>
        <w:t>302</w:t>
      </w:r>
      <w:r>
        <w:rPr>
          <w:rtl w:val="true"/>
        </w:rPr>
        <w:t xml:space="preserve"> (</w:t>
      </w:r>
      <w:r>
        <w:rPr>
          <w:rtl w:val="true"/>
        </w:rPr>
        <w:t>תשנ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ביין</w:t>
      </w:r>
      <w:r>
        <w:rPr>
          <w:rtl w:val="true"/>
        </w:rPr>
        <w:t>)).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על תפיסה זו נמתחה מידה לא מבוטלת של ביקורת</w:t>
      </w:r>
      <w:r>
        <w:rPr>
          <w:rtl w:val="true"/>
        </w:rPr>
        <w:t xml:space="preserve">. </w:t>
      </w:r>
      <w:r>
        <w:rPr>
          <w:rtl w:val="true"/>
        </w:rPr>
        <w:t>בתוך כך נטען</w:t>
      </w:r>
      <w:r>
        <w:rPr>
          <w:rtl w:val="true"/>
        </w:rPr>
        <w:t xml:space="preserve">, </w:t>
      </w:r>
      <w:r>
        <w:rPr>
          <w:rtl w:val="true"/>
        </w:rPr>
        <w:t>כי היא מאפשרת לנאשם</w:t>
      </w:r>
      <w:r>
        <w:rPr>
          <w:rtl w:val="true"/>
        </w:rPr>
        <w:t xml:space="preserve">, </w:t>
      </w:r>
      <w:r>
        <w:rPr>
          <w:rtl w:val="true"/>
        </w:rPr>
        <w:t>שעשה את כל הנדרש כדי להשלים את העבירה</w:t>
      </w:r>
      <w:r>
        <w:rPr>
          <w:rtl w:val="true"/>
        </w:rPr>
        <w:t xml:space="preserve">, </w:t>
      </w:r>
      <w:r>
        <w:rPr>
          <w:rtl w:val="true"/>
        </w:rPr>
        <w:t>ליהנות מ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המוסרי</w:t>
      </w:r>
      <w:r>
        <w:rPr>
          <w:rtl w:val="true"/>
        </w:rPr>
        <w:t xml:space="preserve">", </w:t>
      </w:r>
      <w:r>
        <w:rPr>
          <w:rtl w:val="true"/>
        </w:rPr>
        <w:t>ולהימלט מעונש חמור רק בשל העובדה שנסיבות שלא היו תלויות בו מנעו ממנו להשלים את ביצוע העבירה</w:t>
      </w:r>
      <w:r>
        <w:rPr>
          <w:rtl w:val="true"/>
        </w:rPr>
        <w:t xml:space="preserve">. </w:t>
      </w:r>
      <w:r>
        <w:rPr>
          <w:rtl w:val="true"/>
        </w:rPr>
        <w:t xml:space="preserve">פרופסור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פלר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 xml:space="preserve">עמד בספרו על הטעמים המצדיקים הטלת ענישה משמעותית גם על מי שלא השלים את ביצוע העבירה </w:t>
      </w:r>
      <w:r>
        <w:rPr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ז פלר</w:t>
      </w:r>
      <w:r>
        <w:rPr>
          <w:rtl w:val="true"/>
        </w:rPr>
        <w:t xml:space="preserve"> </w:t>
      </w:r>
      <w:hyperlink r:id="rId13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יסודות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בדיני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עונשין</w:t>
        </w:r>
      </w:hyperlink>
      <w:r>
        <w:rPr>
          <w:rtl w:val="true"/>
        </w:rPr>
        <w:t xml:space="preserve"> </w:t>
      </w:r>
      <w:r>
        <w:rPr>
          <w:rtl w:val="true"/>
        </w:rPr>
        <w:t>כרך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 </w:t>
      </w:r>
      <w:r>
        <w:rPr>
          <w:rtl w:val="true"/>
        </w:rPr>
        <w:t xml:space="preserve">בעמוד </w:t>
      </w:r>
      <w:r>
        <w:rPr/>
        <w:t>61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פלר</w:t>
      </w:r>
      <w:r>
        <w:rPr>
          <w:rtl w:val="true"/>
        </w:rPr>
        <w:t xml:space="preserve">)). 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לפי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פלר</w:t>
      </w:r>
      <w:r>
        <w:rPr>
          <w:rtl w:val="true"/>
        </w:rPr>
        <w:t xml:space="preserve">, </w:t>
      </w:r>
      <w:r>
        <w:rPr>
          <w:rtl w:val="true"/>
        </w:rPr>
        <w:t xml:space="preserve">הניסיון לבצע עבירה שנכשל בשל נסיבות שאינן תלויות בנאשם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מחשבה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פלילית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מגובשת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סופית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ואיתנה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מצליח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להשלים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אלמלא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פועלן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סיבות</w:t>
      </w:r>
      <w:r>
        <w:rPr>
          <w:rtl w:val="true"/>
        </w:rPr>
        <w:t xml:space="preserve">".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פלר</w:t>
      </w:r>
      <w:r>
        <w:rPr>
          <w:rtl w:val="true"/>
        </w:rPr>
        <w:t xml:space="preserve"> הוסיף בהקשר זה עוד מספר תובנות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tl w:val="true"/>
        </w:rPr>
        <w:t xml:space="preserve">, </w:t>
      </w:r>
      <w:r>
        <w:rPr>
          <w:rtl w:val="true"/>
        </w:rPr>
        <w:t>כי אם לא הייתה ענישה הולמת על ניסיון</w:t>
      </w:r>
      <w:r>
        <w:rPr>
          <w:rtl w:val="true"/>
        </w:rPr>
        <w:t xml:space="preserve">, </w:t>
      </w:r>
      <w:r>
        <w:rPr>
          <w:rtl w:val="true"/>
        </w:rPr>
        <w:t>המנסה עלול היה לשוב לסורו</w:t>
      </w:r>
      <w:r>
        <w:rPr>
          <w:rtl w:val="true"/>
        </w:rPr>
        <w:t xml:space="preserve">, </w:t>
      </w:r>
      <w:r>
        <w:rPr>
          <w:rtl w:val="true"/>
        </w:rPr>
        <w:t>ואף להצליח ביתר שאת במשימתו</w:t>
      </w:r>
      <w:r>
        <w:rPr>
          <w:rtl w:val="true"/>
        </w:rPr>
        <w:t xml:space="preserve">, </w:t>
      </w:r>
      <w:r>
        <w:rPr>
          <w:rtl w:val="true"/>
        </w:rPr>
        <w:t>לאחר שלמד מכישלונו הקודם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בנוסף ציין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גלומה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אנטי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חברתיות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שאיננה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נופלת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הטמונה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המושלמת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שהעושה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לבצעה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ונכשל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tl w:val="true"/>
        </w:rPr>
        <w:t xml:space="preserve">"; </w:t>
      </w:r>
      <w:r>
        <w:rPr>
          <w:rtl w:val="true"/>
        </w:rPr>
        <w:t>וכי הניסיון לעבור את העבירה עלול לפגוע בתחושת הביטחון והמוגנות של הציבור</w:t>
      </w:r>
      <w:r>
        <w:rPr>
          <w:rtl w:val="true"/>
        </w:rPr>
        <w:t xml:space="preserve">, </w:t>
      </w:r>
      <w:r>
        <w:rPr>
          <w:rtl w:val="true"/>
        </w:rPr>
        <w:t xml:space="preserve">לא פחות מאשר הביצוע המושלם של העבירה </w:t>
      </w:r>
      <w:r>
        <w:rPr>
          <w:rtl w:val="true"/>
        </w:rPr>
        <w:t>(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פלר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85</w:t>
      </w:r>
      <w:r>
        <w:rPr>
          <w:rtl w:val="true"/>
        </w:rPr>
        <w:t>).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 xml:space="preserve">עמדה זו באה לידי ביטוי במסגרת תיקון </w:t>
      </w:r>
      <w:r>
        <w:rPr/>
        <w:t>39</w:t>
      </w:r>
      <w:r>
        <w:rPr>
          <w:rtl w:val="true"/>
        </w:rPr>
        <w:t xml:space="preserve">, </w:t>
      </w:r>
      <w:r>
        <w:rPr>
          <w:rtl w:val="true"/>
        </w:rPr>
        <w:t>בגדרו אימץ המחוקק</w:t>
      </w:r>
      <w:r>
        <w:rPr>
          <w:rtl w:val="true"/>
        </w:rPr>
        <w:t xml:space="preserve">, </w:t>
      </w:r>
      <w:r>
        <w:rPr>
          <w:rtl w:val="true"/>
        </w:rPr>
        <w:t>בעיקרה</w:t>
      </w:r>
      <w:r>
        <w:rPr>
          <w:rtl w:val="true"/>
        </w:rPr>
        <w:t xml:space="preserve">, </w:t>
      </w:r>
      <w:r>
        <w:rPr>
          <w:rtl w:val="true"/>
        </w:rPr>
        <w:t xml:space="preserve">את הצעתם של המלומדים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פלר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קרמניצר</w:t>
      </w:r>
      <w:r>
        <w:rPr>
          <w:rtl w:val="true"/>
        </w:rPr>
        <w:t xml:space="preserve"> לחקיקת חלק מקדמי וחלק כללי ל</w:t>
      </w:r>
      <w:hyperlink r:id="rId1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hyperlink r:id="rId1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ד</w:t>
        </w:r>
      </w:hyperlink>
      <w:r>
        <w:rPr>
          <w:rtl w:val="true"/>
        </w:rPr>
        <w:t xml:space="preserve"> ל</w:t>
      </w:r>
      <w:hyperlink r:id="rId1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לאחר התיקון</w:t>
      </w:r>
      <w:r>
        <w:rPr>
          <w:rtl w:val="true"/>
        </w:rPr>
        <w:t xml:space="preserve">, </w:t>
      </w:r>
      <w:r>
        <w:rPr>
          <w:rtl w:val="true"/>
        </w:rPr>
        <w:t xml:space="preserve">קובע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בחיקוק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משתמע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המושלמת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עבירה</w:t>
      </w:r>
      <w:r>
        <w:rPr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שינוי זה נועד לבטא את ההשקפה לפיה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מבחינה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מוסרית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להבדיל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המושלמת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שבמקריות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ביין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; </w:t>
      </w:r>
      <w:r>
        <w:rPr>
          <w:rtl w:val="true"/>
        </w:rPr>
        <w:t>וראו גם</w:t>
      </w:r>
      <w:r>
        <w:rPr>
          <w:rtl w:val="true"/>
        </w:rPr>
        <w:t xml:space="preserve">: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2098</w:t>
      </w:r>
      <w:r>
        <w:rPr>
          <w:rtl w:val="true"/>
        </w:rPr>
        <w:t xml:space="preserve"> </w:t>
      </w:r>
      <w:hyperlink r:id="rId1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חלק מקדמי וחלק כללי</w:t>
      </w:r>
      <w:r>
        <w:rPr>
          <w:rtl w:val="true"/>
        </w:rPr>
        <w:t xml:space="preserve">),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1992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129</w:t>
      </w:r>
      <w:r>
        <w:rPr>
          <w:rtl w:val="true"/>
        </w:rPr>
        <w:t>).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גם לאחר תיקון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נותרו מספר הבדלים משמעותיים ביחסו של המחוקק אל נאשם שניסה לעבור עבירה לעומת זה שהצליח בביצועה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hyperlink r:id="rId13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קובע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שנקבע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מזערי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לעבור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tl w:val="true"/>
        </w:rPr>
        <w:t xml:space="preserve">".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אף שעונש המקסימום לעבירת הניסיון הושווה לזה של מי שהשלים את ביצוע העבירה</w:t>
      </w:r>
      <w:r>
        <w:rPr>
          <w:rtl w:val="true"/>
        </w:rPr>
        <w:t xml:space="preserve">; </w:t>
      </w:r>
      <w:r>
        <w:rPr>
          <w:rtl w:val="true"/>
        </w:rPr>
        <w:t>נקבע כי הוראות לגבי עונש מזערי או עונש חובה לא יחולו בעבירות הניסיון</w:t>
      </w:r>
      <w:r>
        <w:rPr>
          <w:rtl w:val="true"/>
        </w:rPr>
        <w:t xml:space="preserve">. </w:t>
      </w:r>
      <w:r>
        <w:rPr>
          <w:rtl w:val="true"/>
        </w:rPr>
        <w:t>הוראה זו מקנה שיקול דעת רחב לבית המשפט בבואו לקבוע מהו העונש הראוי לעבירת הניסיון</w:t>
      </w:r>
      <w:r>
        <w:rPr>
          <w:rtl w:val="true"/>
        </w:rPr>
        <w:t xml:space="preserve">, </w:t>
      </w:r>
      <w:r>
        <w:rPr>
          <w:rtl w:val="true"/>
        </w:rPr>
        <w:t>בכל מקרה ומקרה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ההסדר הכללי שקבע המחוקק בכל הנוגע לעבירות ניסיון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ישנו הבדל נוסף</w:t>
      </w:r>
      <w:r>
        <w:rPr>
          <w:rtl w:val="true"/>
        </w:rPr>
        <w:t xml:space="preserve">, </w:t>
      </w:r>
      <w:r>
        <w:rPr>
          <w:rtl w:val="true"/>
        </w:rPr>
        <w:t>המצוי ביחסו של המחוקק לעבירת הניסיון לרצח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כפי שפורט לעיל</w:t>
      </w:r>
      <w:r>
        <w:rPr>
          <w:rtl w:val="true"/>
        </w:rPr>
        <w:t xml:space="preserve">, </w:t>
      </w:r>
      <w:hyperlink r:id="rId13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קובע כי העונש על עבירת הניסיון לרצח הוא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וזאת חלף העונש על עבירת הרצח המושלמת</w:t>
      </w:r>
      <w:r>
        <w:rPr>
          <w:rtl w:val="true"/>
        </w:rPr>
        <w:t xml:space="preserve">. </w:t>
      </w:r>
      <w:r>
        <w:rPr>
          <w:rtl w:val="true"/>
        </w:rPr>
        <w:t>הוראה זו משקפת את התפיסה שלפיה יש הבדל ממשי בין העונש שראוי לגזור על מי שהצליח במזימתו הקטלנית</w:t>
      </w:r>
      <w:r>
        <w:rPr>
          <w:rtl w:val="true"/>
        </w:rPr>
        <w:t xml:space="preserve">, </w:t>
      </w:r>
      <w:r>
        <w:rPr>
          <w:rtl w:val="true"/>
        </w:rPr>
        <w:t>לבין העונש שראוי להשית על מי שתוצאות מעשיו לא היו קטלניות</w:t>
      </w:r>
      <w:r>
        <w:rPr>
          <w:rtl w:val="true"/>
        </w:rPr>
        <w:t xml:space="preserve">. </w:t>
      </w:r>
      <w:r>
        <w:rPr>
          <w:rtl w:val="true"/>
        </w:rPr>
        <w:t>הוראה זו משקפת גם את החשש שהובע בפסיקה בעבר</w:t>
      </w:r>
      <w:r>
        <w:rPr>
          <w:rtl w:val="true"/>
        </w:rPr>
        <w:t xml:space="preserve">, </w:t>
      </w:r>
      <w:r>
        <w:rPr>
          <w:rtl w:val="true"/>
        </w:rPr>
        <w:t>שלפיו אם העונש על עבירת הניסיון לרצח היה זהה לעונש על העבירה המושלמת</w:t>
      </w:r>
      <w:r>
        <w:rPr>
          <w:rtl w:val="true"/>
        </w:rPr>
        <w:t xml:space="preserve">, </w:t>
      </w:r>
      <w:r>
        <w:rPr>
          <w:rtl w:val="true"/>
        </w:rPr>
        <w:t>היה בכך כדי ליצור תמריץ שלילי לנאשם</w:t>
      </w:r>
      <w:r>
        <w:rPr>
          <w:rtl w:val="true"/>
        </w:rPr>
        <w:t xml:space="preserve">, </w:t>
      </w:r>
      <w:r>
        <w:rPr>
          <w:rtl w:val="true"/>
        </w:rPr>
        <w:t>להשלים את ביצוע העבירה שבה הוא כבר החל</w:t>
      </w:r>
      <w:r>
        <w:rPr>
          <w:rtl w:val="true"/>
        </w:rPr>
        <w:t xml:space="preserve">, </w:t>
      </w:r>
      <w:r>
        <w:rPr>
          <w:rtl w:val="true"/>
        </w:rPr>
        <w:t xml:space="preserve">על מנת לוודא שהאדם שאותו הוא ניסה לרצוח לא יוכל להעיד נגדו </w:t>
      </w:r>
      <w:r>
        <w:rPr>
          <w:rtl w:val="true"/>
        </w:rPr>
        <w:t>(</w:t>
      </w:r>
      <w:r>
        <w:rPr>
          <w:rtl w:val="true"/>
        </w:rPr>
        <w:t xml:space="preserve">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דרעי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244</w:t>
      </w:r>
      <w:r>
        <w:rPr>
          <w:rtl w:val="true"/>
        </w:rPr>
        <w:t xml:space="preserve">). </w:t>
      </w:r>
      <w:r>
        <w:rPr>
          <w:rtl w:val="true"/>
        </w:rPr>
        <w:t>הנה</w:t>
      </w:r>
      <w:r>
        <w:rPr>
          <w:rtl w:val="true"/>
        </w:rPr>
        <w:t xml:space="preserve">, </w:t>
      </w:r>
      <w:r>
        <w:rPr>
          <w:rtl w:val="true"/>
        </w:rPr>
        <w:t>חרף ההשוואה העקרונית בין מי שניסה לעבור עבירה ובין מי שהצליח במזימתו</w:t>
      </w:r>
      <w:r>
        <w:rPr>
          <w:rtl w:val="true"/>
        </w:rPr>
        <w:t xml:space="preserve">, </w:t>
      </w:r>
      <w:r>
        <w:rPr>
          <w:rtl w:val="true"/>
        </w:rPr>
        <w:t xml:space="preserve">שבאה לידי ביטוי כאמור </w:t>
      </w:r>
      <w:hyperlink r:id="rId14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ד</w:t>
        </w:r>
      </w:hyperlink>
      <w:r>
        <w:rPr>
          <w:rtl w:val="true"/>
        </w:rPr>
        <w:t xml:space="preserve"> ל</w:t>
      </w:r>
      <w:hyperlink r:id="rId1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בכל הקשור לעבירת הניסיון לרצח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קיימים שיקולים נוספים שרלוונטיים לצורך קביעת העונש וביניהם טיב הכוונה המיוחסת לנאשם והנזקים שנגרמו לקרבן העבירה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המסקנה העולה מהדברים היא אפוא כי כיום</w:t>
      </w:r>
      <w:r>
        <w:rPr>
          <w:rtl w:val="true"/>
        </w:rPr>
        <w:t xml:space="preserve">, </w:t>
      </w:r>
      <w:r>
        <w:rPr>
          <w:rtl w:val="true"/>
        </w:rPr>
        <w:t>לאחר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>קיימת עבירה אחת</w:t>
      </w:r>
      <w:r>
        <w:rPr>
          <w:rtl w:val="true"/>
        </w:rPr>
        <w:t xml:space="preserve">, </w:t>
      </w:r>
      <w:r>
        <w:rPr>
          <w:rtl w:val="true"/>
        </w:rPr>
        <w:t>כוללת</w:t>
      </w:r>
      <w:r>
        <w:rPr>
          <w:rtl w:val="true"/>
        </w:rPr>
        <w:t xml:space="preserve">, </w:t>
      </w:r>
      <w:r>
        <w:rPr>
          <w:rtl w:val="true"/>
        </w:rPr>
        <w:t>לעבירת הניסיון לרצח שבוצעה בכוונת קטילה</w:t>
      </w:r>
      <w:r>
        <w:rPr>
          <w:rtl w:val="true"/>
        </w:rPr>
        <w:t xml:space="preserve">, </w:t>
      </w:r>
      <w:r>
        <w:rPr>
          <w:rtl w:val="true"/>
        </w:rPr>
        <w:t>בין אם בכוונה רגילה בין אם בכוונה תחילה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אין משמעות הדברים היא כי אין לייחס עוד משקל לטיב הכוונה המיוחסת לנאשם או לתוצאה שנגרמה ממעשיו</w:t>
      </w:r>
      <w:r>
        <w:rPr>
          <w:rtl w:val="true"/>
        </w:rPr>
        <w:t xml:space="preserve">; </w:t>
      </w:r>
      <w:r>
        <w:rPr>
          <w:rtl w:val="true"/>
        </w:rPr>
        <w:t>שיקולים אלו נדרשים בעת קביעת מתחם העונש לנאשם</w:t>
      </w:r>
      <w:r>
        <w:rPr>
          <w:rtl w:val="true"/>
        </w:rPr>
        <w:t xml:space="preserve">, </w:t>
      </w:r>
      <w:r>
        <w:rPr>
          <w:rtl w:val="true"/>
        </w:rPr>
        <w:t>הכול כפי שיפורט מיד</w:t>
      </w:r>
      <w:r>
        <w:rPr>
          <w:rtl w:val="true"/>
        </w:rPr>
        <w:t>.</w:t>
      </w:r>
    </w:p>
    <w:p>
      <w:pPr>
        <w:pStyle w:val="Ruller43"/>
        <w:keepNext w:val="true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הנוהגת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לרצח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שיקול הדעת המסור לבתי המשפט בגזירת העונש בעבירות של ניסיון בכלל ובעבירות ניסיון לרצח בפרט</w:t>
      </w:r>
      <w:r>
        <w:rPr>
          <w:rtl w:val="true"/>
        </w:rPr>
        <w:t xml:space="preserve">, </w:t>
      </w:r>
      <w:r>
        <w:rPr>
          <w:rtl w:val="true"/>
        </w:rPr>
        <w:t>הוא רחב ביותר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ניתן למצוא בפסיקה מנעד רחב של עונשים שנגזרו על נאשמים בעבירות של ניסיון לרצח</w:t>
      </w:r>
      <w:r>
        <w:rPr>
          <w:rtl w:val="true"/>
        </w:rPr>
        <w:t xml:space="preserve">, </w:t>
      </w:r>
      <w:r>
        <w:rPr>
          <w:rtl w:val="true"/>
        </w:rPr>
        <w:t>וזאת בין היתר</w:t>
      </w:r>
      <w:r>
        <w:rPr>
          <w:rtl w:val="true"/>
        </w:rPr>
        <w:t xml:space="preserve">, </w:t>
      </w:r>
      <w:r>
        <w:rPr>
          <w:rtl w:val="true"/>
        </w:rPr>
        <w:t>בשים לב לנסיבות העבירה הכוללות</w:t>
      </w:r>
      <w:r>
        <w:rPr>
          <w:rtl w:val="true"/>
        </w:rPr>
        <w:t xml:space="preserve">, </w:t>
      </w:r>
      <w:r>
        <w:rPr>
          <w:rtl w:val="true"/>
        </w:rPr>
        <w:t>וכן לנזק שנגרם לקורבן העבירה</w:t>
      </w:r>
      <w:r>
        <w:rPr>
          <w:rtl w:val="true"/>
        </w:rPr>
        <w:t xml:space="preserve">, </w:t>
      </w:r>
      <w:r>
        <w:rPr>
          <w:rtl w:val="true"/>
        </w:rPr>
        <w:t xml:space="preserve">כמצוות </w:t>
      </w:r>
      <w:hyperlink r:id="rId14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4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1244/17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21.06.2018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לאחר ניהול הוכחות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הורשע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בין היתר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בתשע עבירות של ניסיון לרצח בצוותא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בתמצית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באותו מקרה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המערער קשר קֶשֶר עם אשתו של המתלונן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סיפק לה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רעל מסוג זרחן אורגני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וביקש ממנה להרעיל את המתלונן באמצעות הכנסת הרעל למזונו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כפי שתואר בפסק הדין 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בתשע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הזדמנויות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שונות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למתלונן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ושתיה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לתוכם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הוחדר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במינונים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שונים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שהמתלונן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והובהל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הפעמים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הוחדרה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גדולה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וכתוצאה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הדרדר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ונשקפה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לחייו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ליחידה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לטיפול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נמרץ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ומונשם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וקיבל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טיפול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שהציל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חייו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על המערער שם נגזר עונש של </w:t>
      </w:r>
      <w:r>
        <w:rPr>
          <w:rFonts w:cs="Century" w:ascii="Century" w:hAnsi="Century"/>
          <w:sz w:val="22"/>
        </w:rPr>
        <w:t>10.5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שנות מאסר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146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5767/14</w:t>
        </w:r>
      </w:hyperlink>
      <w:r>
        <w:rPr>
          <w:rFonts w:cs="Century" w:ascii="Century" w:hAnsi="Century"/>
          <w:rtl w:val="true"/>
        </w:rPr>
        <w:t>‏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16.06.2015</w:t>
      </w:r>
      <w:r>
        <w:rPr>
          <w:rtl w:val="true"/>
        </w:rPr>
        <w:t xml:space="preserve">),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6.5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שהורשע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לאחר ניהול הליך הוכחות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בכך שחנק את בתו הקטינה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בידיו ולאחר מכן באמצעות חגורתו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עד ש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פניה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הכחילו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השתרבבה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איבדה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הכרתה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מחוסרת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מחניקתה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מהדירה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שכנתו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הטלפון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המשטרה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לדירתו</w:t>
      </w:r>
      <w:r>
        <w:rPr>
          <w:rtl w:val="true"/>
        </w:rPr>
        <w:t>".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 xml:space="preserve">בהלכת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שנדונה לעיל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הורשע בעבירות של </w:t>
      </w:r>
      <w:r>
        <w:rPr>
          <w:rtl w:val="true"/>
        </w:rPr>
        <w:t>ניסיון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חסר</w:t>
      </w:r>
      <w:r>
        <w:rPr>
          <w:rtl w:val="true"/>
        </w:rPr>
        <w:t xml:space="preserve"> </w:t>
      </w:r>
      <w:r>
        <w:rPr>
          <w:rtl w:val="true"/>
        </w:rPr>
        <w:t>ישע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 </w:t>
      </w:r>
      <w:r>
        <w:rPr>
          <w:rtl w:val="true"/>
        </w:rPr>
        <w:t>כלפי</w:t>
      </w:r>
      <w:r>
        <w:rPr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 </w:t>
      </w:r>
      <w:r>
        <w:rPr>
          <w:rtl w:val="true"/>
        </w:rPr>
        <w:t>חסר</w:t>
      </w:r>
      <w:r>
        <w:rPr>
          <w:rtl w:val="true"/>
        </w:rPr>
        <w:t xml:space="preserve"> </w:t>
      </w:r>
      <w:r>
        <w:rPr>
          <w:rtl w:val="true"/>
        </w:rPr>
        <w:t>ישע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אחראי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פגיעה</w:t>
      </w:r>
      <w:r>
        <w:rPr>
          <w:rtl w:val="true"/>
        </w:rPr>
        <w:t xml:space="preserve"> </w:t>
      </w:r>
      <w:r>
        <w:rPr>
          <w:rtl w:val="true"/>
        </w:rPr>
        <w:t>בפרטיות</w:t>
      </w:r>
      <w:r>
        <w:rPr>
          <w:rtl w:val="true"/>
        </w:rPr>
        <w:t xml:space="preserve">, </w:t>
      </w:r>
      <w:r>
        <w:rPr>
          <w:rtl w:val="true"/>
        </w:rPr>
        <w:t>והפרת</w:t>
      </w:r>
      <w:r>
        <w:rPr>
          <w:rtl w:val="true"/>
        </w:rPr>
        <w:t xml:space="preserve"> </w:t>
      </w:r>
      <w:r>
        <w:rPr>
          <w:rtl w:val="true"/>
        </w:rPr>
        <w:t>הוראה</w:t>
      </w:r>
      <w:r>
        <w:rPr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באותו מקרה מצמרר</w:t>
      </w:r>
      <w:r>
        <w:rPr>
          <w:rtl w:val="true"/>
        </w:rPr>
        <w:t xml:space="preserve">, </w:t>
      </w:r>
      <w:r>
        <w:rPr>
          <w:rtl w:val="true"/>
        </w:rPr>
        <w:t>מדובר היה באדם שהתנהל באובססיביות כלפי בת זוגו לשעבר ואם ילדיו</w:t>
      </w:r>
      <w:r>
        <w:rPr>
          <w:rtl w:val="true"/>
        </w:rPr>
        <w:t xml:space="preserve">, </w:t>
      </w:r>
      <w:r>
        <w:rPr>
          <w:rtl w:val="true"/>
        </w:rPr>
        <w:t>ומחמת איומיו כלפיה</w:t>
      </w:r>
      <w:r>
        <w:rPr>
          <w:rtl w:val="true"/>
        </w:rPr>
        <w:t xml:space="preserve">, </w:t>
      </w:r>
      <w:r>
        <w:rPr>
          <w:rtl w:val="true"/>
        </w:rPr>
        <w:t>הוצא נגדו צו הרחקה שיפוטי</w:t>
      </w:r>
      <w:r>
        <w:rPr>
          <w:rtl w:val="true"/>
        </w:rPr>
        <w:t xml:space="preserve">. </w:t>
      </w:r>
      <w:r>
        <w:rPr>
          <w:rtl w:val="true"/>
        </w:rPr>
        <w:t>לילה אחד</w:t>
      </w:r>
      <w:r>
        <w:rPr>
          <w:rtl w:val="true"/>
        </w:rPr>
        <w:t xml:space="preserve">, </w:t>
      </w:r>
      <w:r>
        <w:rPr>
          <w:rtl w:val="true"/>
        </w:rPr>
        <w:t>הגיע אותו אדם לדירתה של המתלוננת</w:t>
      </w:r>
      <w:r>
        <w:rPr>
          <w:rtl w:val="true"/>
        </w:rPr>
        <w:t xml:space="preserve">, </w:t>
      </w:r>
      <w:r>
        <w:rPr>
          <w:rtl w:val="true"/>
        </w:rPr>
        <w:t>באמצע הלילה</w:t>
      </w:r>
      <w:r>
        <w:rPr>
          <w:rtl w:val="true"/>
        </w:rPr>
        <w:t xml:space="preserve">, </w:t>
      </w:r>
      <w:r>
        <w:rPr>
          <w:rtl w:val="true"/>
        </w:rPr>
        <w:t>תוך הפרת צו ההרחקה השיפוטי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כשהוא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מצויד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במוט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ברזל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נכנס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חדר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הילדים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שהתה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אותה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המתלוננת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יחד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ילדיהם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הקטינים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גידף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</w:t>
      </w:r>
      <w:r>
        <w:rPr>
          <w:rFonts w:ascii="Century" w:hAnsi="Century" w:cs="Century"/>
          <w:sz w:val="22"/>
          <w:sz w:val="22"/>
          <w:rtl w:val="true"/>
        </w:rPr>
        <w:t>מתלוננת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ואמר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שהוא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הגיע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להרוג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מיד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בסמוך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הוא </w:t>
      </w:r>
      <w:r>
        <w:rPr>
          <w:rFonts w:ascii="Century" w:hAnsi="Century" w:cs="Century"/>
          <w:sz w:val="22"/>
          <w:sz w:val="22"/>
          <w:rtl w:val="true"/>
        </w:rPr>
        <w:t>החל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להכות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המתלוננת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ascii="Century" w:hAnsi="Century" w:cs="Century"/>
          <w:sz w:val="22"/>
          <w:sz w:val="22"/>
          <w:rtl w:val="true"/>
        </w:rPr>
        <w:t>ראשה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באמצעות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מוט</w:t>
      </w:r>
      <w:r>
        <w:rPr>
          <w:rFonts w:ascii="Century" w:hAnsi="Century" w:cs="Century"/>
          <w:sz w:val="22"/>
          <w:sz w:val="22"/>
          <w:rtl w:val="true"/>
        </w:rPr>
        <w:t xml:space="preserve"> הברזל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תוך שהוא מתעלם מתחינותיה </w:t>
      </w:r>
      <w:r>
        <w:rPr>
          <w:rFonts w:ascii="Century" w:hAnsi="Century" w:cs="Century"/>
          <w:sz w:val="22"/>
          <w:sz w:val="22"/>
          <w:rtl w:val="true"/>
        </w:rPr>
        <w:t>שלא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יהרוג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אותה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לעיני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ילדיה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ילדי</w:t>
      </w:r>
      <w:r>
        <w:rPr>
          <w:rFonts w:ascii="Century" w:hAnsi="Century" w:cs="Century"/>
          <w:sz w:val="22"/>
          <w:sz w:val="22"/>
          <w:rtl w:val="true"/>
        </w:rPr>
        <w:t>ו של המערער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פנו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אל</w:t>
      </w:r>
      <w:r>
        <w:rPr>
          <w:rFonts w:ascii="Century" w:hAnsi="Century" w:cs="Century"/>
          <w:sz w:val="22"/>
          <w:sz w:val="22"/>
          <w:rtl w:val="true"/>
        </w:rPr>
        <w:t>יו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והתחננו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יהרוג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אמם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אך </w:t>
      </w:r>
      <w:r>
        <w:rPr>
          <w:rFonts w:ascii="Century" w:hAnsi="Century" w:cs="Century"/>
          <w:sz w:val="22"/>
          <w:sz w:val="22"/>
          <w:rtl w:val="true"/>
        </w:rPr>
        <w:t>הוא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בתגובה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החל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להכות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גם </w:t>
      </w:r>
      <w:r>
        <w:rPr>
          <w:rFonts w:ascii="Century" w:hAnsi="Century" w:cs="Century"/>
          <w:sz w:val="22"/>
          <w:sz w:val="22"/>
          <w:rtl w:val="true"/>
        </w:rPr>
        <w:t>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הילדים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באמצעות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ידיו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כמתואר בפסק הדין</w:t>
      </w:r>
      <w:r>
        <w:rPr>
          <w:rFonts w:cs="Century" w:ascii="Century" w:hAnsi="Century"/>
          <w:sz w:val="22"/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להטיח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בראשה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בהמשך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חנק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והמשיך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להכותה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באמצעות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בידיה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בגבה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ובבטנה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במהלך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המתואר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לעיל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פעמים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ובעט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באמצעות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רגלו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התמוטטה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צנחה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הרצפה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נמלט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מהמקום</w:t>
      </w:r>
      <w:r>
        <w:rPr>
          <w:rFonts w:cs="Century" w:ascii="Century" w:hAnsi="Century"/>
          <w:sz w:val="22"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על המערער שם</w:t>
      </w:r>
      <w:r>
        <w:rPr>
          <w:rtl w:val="true"/>
        </w:rPr>
        <w:t xml:space="preserve"> </w:t>
      </w:r>
      <w:r>
        <w:rPr>
          <w:rtl w:val="true"/>
        </w:rPr>
        <w:t xml:space="preserve">נגזר עונש של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המערער בענייננו</w:t>
      </w:r>
      <w:r>
        <w:rPr>
          <w:rtl w:val="true"/>
        </w:rPr>
        <w:t>-</w:t>
      </w:r>
      <w:r>
        <w:rPr>
          <w:rtl w:val="true"/>
        </w:rPr>
        <w:t>אנו טען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 מקרים אלו ואחרים ממחישים את העובדה שהעונש שנגזר עליו חורג באופן משמעותי מהענישה הנוהגת בנסיבות העניין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עמדה על חומרת מעשיו של המערער</w:t>
      </w:r>
      <w:r>
        <w:rPr>
          <w:rtl w:val="true"/>
        </w:rPr>
        <w:t xml:space="preserve">, </w:t>
      </w:r>
      <w:r>
        <w:rPr>
          <w:rtl w:val="true"/>
        </w:rPr>
        <w:t>שעליה אין כל חולק</w:t>
      </w:r>
      <w:r>
        <w:rPr>
          <w:rtl w:val="true"/>
        </w:rPr>
        <w:t xml:space="preserve">, </w:t>
      </w:r>
      <w:r>
        <w:rPr>
          <w:rtl w:val="true"/>
        </w:rPr>
        <w:t>אך התקשתה להפנות לפסיקה במסגרתה נגזר עונש דומה לזה שנגזר על המערער בנסיבות דומות לענייננו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אף עיון בפסיקה שאליה הפנה בית המשפט המחוזי מלמד כי העונש שנגזר על המערער חורג באופן משמעותי מהענישה הנהוגה במקרים כגון דא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בית המשפט המחוזי הפנה ל</w:t>
      </w:r>
      <w:hyperlink r:id="rId1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23.03.2011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שם הורשע המערער בניסיון לרצח</w:t>
      </w:r>
      <w:r>
        <w:rPr>
          <w:rtl w:val="true"/>
        </w:rPr>
        <w:t xml:space="preserve">, </w:t>
      </w:r>
      <w:r>
        <w:rPr>
          <w:rtl w:val="true"/>
        </w:rPr>
        <w:t>לאחר שניהל הליך הוכחות מלא</w:t>
      </w:r>
      <w:r>
        <w:rPr>
          <w:rtl w:val="true"/>
        </w:rPr>
        <w:t xml:space="preserve">, </w:t>
      </w:r>
      <w:r>
        <w:rPr>
          <w:rtl w:val="true"/>
        </w:rPr>
        <w:t>בכך ש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3:00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לערך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גרזן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מונח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למזרן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מיטתו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וחבט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בראשה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ובצווארה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נראית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כתוצאה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מהחבטות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נגרמו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למתלוננת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היתר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וחתכים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מרובים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ובצוואר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בחלקים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גולגולתה</w:t>
      </w:r>
      <w:r>
        <w:rPr>
          <w:rFonts w:cs="Century" w:ascii="Century" w:hAnsi="Century"/>
          <w:sz w:val="22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 xml:space="preserve">על המערער שם נגזרו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hyperlink r:id="rId1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4737/18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12.05.2020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שלילת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והיזק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ועודד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שלתוכה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וכדור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משנתערפלו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חושיו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נשכב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הספה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החדר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הפשיט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רגליו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בסכין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יפנית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והתיישב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בטנו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התעורר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בתגובה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למתלונן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לנשקו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והמתלונן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סירב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שהמתלונן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נרדם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חתך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באמצעות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היפנית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צווארו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והחל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לחנוק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באמצעות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התעורר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משנתו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וביקש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לחדול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מצליח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לנשום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לחנוק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ולהיאבק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הטיח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ברצפה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באגרופיו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לבסוף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הצליח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להלום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בראשו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להימלט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מהדירה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בעודו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עירום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ושותת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דם</w:t>
      </w:r>
      <w:r>
        <w:rPr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ניתן להביא דוגמאות נוספות מהפסיקה</w:t>
      </w:r>
      <w:r>
        <w:rPr>
          <w:rtl w:val="true"/>
        </w:rPr>
        <w:t xml:space="preserve">, </w:t>
      </w:r>
      <w:r>
        <w:rPr>
          <w:rtl w:val="true"/>
        </w:rPr>
        <w:t>אך דומני כי הנקודה הובהרה</w:t>
      </w:r>
      <w:r>
        <w:rPr>
          <w:rtl w:val="true"/>
        </w:rPr>
        <w:t xml:space="preserve">. </w:t>
      </w:r>
      <w:r>
        <w:rPr>
          <w:rtl w:val="true"/>
        </w:rPr>
        <w:t>מבלי להקל ראש כלל ועיקר במעשיו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הרי שבמקרים שבהם האלימות הייתה קשה ומשמעותית מזו שבענייננו </w:t>
      </w:r>
      <w:r>
        <w:rPr>
          <w:rtl w:val="true"/>
        </w:rPr>
        <w:t>–</w:t>
      </w:r>
      <w:r>
        <w:rPr>
          <w:rtl w:val="true"/>
        </w:rPr>
        <w:t xml:space="preserve"> כאשר התקיימו יסודות הכוונה תחילה </w:t>
      </w:r>
      <w:r>
        <w:rPr>
          <w:rtl w:val="true"/>
        </w:rPr>
        <w:t>'</w:t>
      </w:r>
      <w:r>
        <w:rPr>
          <w:rtl w:val="true"/>
        </w:rPr>
        <w:t>למהדרין</w:t>
      </w:r>
      <w:r>
        <w:rPr>
          <w:rtl w:val="true"/>
        </w:rPr>
        <w:t xml:space="preserve">', </w:t>
      </w:r>
      <w:r>
        <w:rPr>
          <w:rtl w:val="true"/>
        </w:rPr>
        <w:t xml:space="preserve">וקורבנות העבירה ספגו פציעות פיזיות משמעותיות ונזקקו להתערבות מצילת חיים </w:t>
      </w:r>
      <w:r>
        <w:rPr>
          <w:rtl w:val="true"/>
        </w:rPr>
        <w:t>–</w:t>
      </w:r>
      <w:r>
        <w:rPr>
          <w:rtl w:val="true"/>
        </w:rPr>
        <w:t xml:space="preserve"> נגזרו עונשים דומים לזה שנגזר על המערער בענייננו</w:t>
      </w:r>
      <w:r>
        <w:rPr>
          <w:rtl w:val="true"/>
        </w:rPr>
        <w:t xml:space="preserve">, </w:t>
      </w:r>
      <w:r>
        <w:rPr>
          <w:rtl w:val="true"/>
        </w:rPr>
        <w:t>ולעתים אף עונשים קלים יותר</w:t>
      </w:r>
      <w:r>
        <w:rPr>
          <w:rtl w:val="true"/>
        </w:rPr>
        <w:t>.</w:t>
      </w:r>
    </w:p>
    <w:p>
      <w:pPr>
        <w:pStyle w:val="Ruller43"/>
        <w:keepNext w:val="true"/>
        <w:numPr>
          <w:ilvl w:val="0"/>
          <w:numId w:val="0"/>
        </w:numPr>
        <w:spacing w:before="24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הפרט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 xml:space="preserve">מכל האמור לעיל ניתן ללמוד כי העונש שנגזר על המערער </w:t>
      </w:r>
      <w:r>
        <w:rPr>
          <w:rtl w:val="true"/>
        </w:rPr>
        <w:t>–</w:t>
      </w:r>
      <w:r>
        <w:rPr>
          <w:rtl w:val="true"/>
        </w:rPr>
        <w:t xml:space="preserve"> שלא הוכחה בעניינו כוונה תחילה</w:t>
      </w:r>
      <w:r>
        <w:rPr>
          <w:rtl w:val="true"/>
        </w:rPr>
        <w:t xml:space="preserve">, </w:t>
      </w:r>
      <w:r>
        <w:rPr>
          <w:rtl w:val="true"/>
        </w:rPr>
        <w:t>ושלא גרם למתלוננת לחבלות פיזיות חמורות</w:t>
      </w:r>
      <w:r>
        <w:rPr>
          <w:rtl w:val="true"/>
        </w:rPr>
        <w:t xml:space="preserve">, </w:t>
      </w:r>
      <w:r>
        <w:rPr>
          <w:rtl w:val="true"/>
        </w:rPr>
        <w:t xml:space="preserve">כפי שאף המשיבה ציינה בהגינותה </w:t>
      </w:r>
      <w:r>
        <w:rPr>
          <w:rtl w:val="true"/>
        </w:rPr>
        <w:t>–</w:t>
      </w:r>
      <w:r>
        <w:rPr>
          <w:rtl w:val="true"/>
        </w:rPr>
        <w:t xml:space="preserve"> חורג באופן משמעותי מהענישה המקובלת במקרים דומים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מקרה אחר</w:t>
      </w:r>
      <w:r>
        <w:rPr>
          <w:rtl w:val="true"/>
        </w:rPr>
        <w:t xml:space="preserve">, </w:t>
      </w:r>
      <w:r>
        <w:rPr>
          <w:rtl w:val="true"/>
        </w:rPr>
        <w:t>שקרוב במידה מסוימת לנסיבות ענייננו</w:t>
      </w:r>
      <w:r>
        <w:rPr>
          <w:rtl w:val="true"/>
        </w:rPr>
        <w:t xml:space="preserve">, </w:t>
      </w:r>
      <w:r>
        <w:rPr>
          <w:rtl w:val="true"/>
        </w:rPr>
        <w:t>נדון ב</w:t>
      </w:r>
      <w:hyperlink r:id="rId1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7093/15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25.04.2017</w:t>
      </w:r>
      <w:r>
        <w:rPr>
          <w:rtl w:val="true"/>
        </w:rPr>
        <w:t xml:space="preserve">), </w:t>
      </w:r>
      <w:r>
        <w:rPr>
          <w:rtl w:val="true"/>
        </w:rPr>
        <w:t>שם דובר באדם שבינו ובין המתלונן התגלע סכסוך ו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מאחורי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יורד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במדרגות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צווארו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ברזל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סגר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והידק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בליפוף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עורפו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הוסיף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באגרופים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ובבעיטות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גופו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שהמתלונן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ארצה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להכותו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ולחנוק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לגרום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למותו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כתוצאה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ממעשיו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נגרמו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למתלונן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בארובת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וחבלות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בגופו</w:t>
      </w:r>
      <w:r>
        <w:rPr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באותו מקרה</w:t>
      </w:r>
      <w:r>
        <w:rPr>
          <w:rtl w:val="true"/>
        </w:rPr>
        <w:t xml:space="preserve">, </w:t>
      </w:r>
      <w:r>
        <w:rPr>
          <w:rtl w:val="true"/>
        </w:rPr>
        <w:t>בית משפט זה קיבל את הערעור</w:t>
      </w:r>
      <w:r>
        <w:rPr>
          <w:rtl w:val="true"/>
        </w:rPr>
        <w:t xml:space="preserve">, </w:t>
      </w:r>
      <w:r>
        <w:rPr>
          <w:rtl w:val="true"/>
        </w:rPr>
        <w:t>והפחית את העונש מ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 מאסר ל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בהקשר זה יצוין</w:t>
      </w:r>
      <w:r>
        <w:rPr>
          <w:rtl w:val="true"/>
        </w:rPr>
        <w:t xml:space="preserve">, </w:t>
      </w:r>
      <w:r>
        <w:rPr>
          <w:rtl w:val="true"/>
        </w:rPr>
        <w:t>כי האלימות שהופעלה באותו מקרה</w:t>
      </w:r>
      <w:r>
        <w:rPr>
          <w:rtl w:val="true"/>
        </w:rPr>
        <w:t xml:space="preserve">, </w:t>
      </w:r>
      <w:r>
        <w:rPr>
          <w:rtl w:val="true"/>
        </w:rPr>
        <w:t>הייתה משמעותית יותר</w:t>
      </w:r>
      <w:r>
        <w:rPr>
          <w:rtl w:val="true"/>
        </w:rPr>
        <w:t xml:space="preserve">, </w:t>
      </w:r>
      <w:r>
        <w:rPr>
          <w:rtl w:val="true"/>
        </w:rPr>
        <w:t>מבחינת החבלות שנגרמו למתלונן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בענייננו קיים אלמנט מחמיר שעניינו בכך שהמתלוננת היא אישה באה בימים</w:t>
      </w:r>
      <w:r>
        <w:rPr>
          <w:rtl w:val="true"/>
        </w:rPr>
        <w:t xml:space="preserve">, </w:t>
      </w:r>
      <w:r>
        <w:rPr>
          <w:rtl w:val="true"/>
        </w:rPr>
        <w:t>אשר המערער גמל לה רעה תחת טובה</w:t>
      </w:r>
      <w:r>
        <w:rPr>
          <w:rtl w:val="true"/>
        </w:rPr>
        <w:t xml:space="preserve">, </w:t>
      </w:r>
      <w:r>
        <w:rPr>
          <w:rtl w:val="true"/>
        </w:rPr>
        <w:t>ותקף אותה בתוך ביתה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>בבחינת העונש שראוי לגזור על המערער</w:t>
      </w:r>
      <w:r>
        <w:rPr>
          <w:rtl w:val="true"/>
        </w:rPr>
        <w:t xml:space="preserve">, </w:t>
      </w:r>
      <w:r>
        <w:rPr>
          <w:rtl w:val="true"/>
        </w:rPr>
        <w:t>יש להביא בחשבון גם את נסיבותיו האישיות</w:t>
      </w:r>
      <w:r>
        <w:rPr>
          <w:rtl w:val="true"/>
        </w:rPr>
        <w:t xml:space="preserve">. </w:t>
      </w:r>
      <w:r>
        <w:rPr>
          <w:rtl w:val="true"/>
        </w:rPr>
        <w:t>כפי שעולה מתסקיר שירות המבחן בעניינו</w:t>
      </w:r>
      <w:r>
        <w:rPr>
          <w:rtl w:val="true"/>
        </w:rPr>
        <w:t xml:space="preserve">, </w:t>
      </w:r>
      <w:r>
        <w:rPr>
          <w:rtl w:val="true"/>
        </w:rPr>
        <w:t>גורל המערער לא שפר עליו</w:t>
      </w:r>
      <w:r>
        <w:rPr>
          <w:rtl w:val="true"/>
        </w:rPr>
        <w:t xml:space="preserve">, </w:t>
      </w:r>
      <w:r>
        <w:rPr>
          <w:rtl w:val="true"/>
        </w:rPr>
        <w:t>לשון המעטה</w:t>
      </w:r>
      <w:r>
        <w:rPr>
          <w:rtl w:val="true"/>
        </w:rPr>
        <w:t xml:space="preserve">. </w:t>
      </w:r>
      <w:r>
        <w:rPr>
          <w:rtl w:val="true"/>
        </w:rPr>
        <w:t>הוא גרוש ואב לשני ילדים</w:t>
      </w:r>
      <w:r>
        <w:rPr>
          <w:rtl w:val="true"/>
        </w:rPr>
        <w:t xml:space="preserve">, </w:t>
      </w:r>
      <w:r>
        <w:rPr>
          <w:rtl w:val="true"/>
        </w:rPr>
        <w:t>שאינם בקשר עמו למעלה מעשור</w:t>
      </w:r>
      <w:r>
        <w:rPr>
          <w:rtl w:val="true"/>
        </w:rPr>
        <w:t xml:space="preserve">, </w:t>
      </w:r>
      <w:r>
        <w:rPr>
          <w:rtl w:val="true"/>
        </w:rPr>
        <w:t>וסובל מבידול חברתי ומבעיית התמכרות ארוכת שנים לסמים שלא טופלה</w:t>
      </w:r>
      <w:r>
        <w:rPr>
          <w:rtl w:val="true"/>
        </w:rPr>
        <w:t xml:space="preserve">. </w:t>
      </w:r>
      <w:r>
        <w:rPr>
          <w:rtl w:val="true"/>
        </w:rPr>
        <w:t>נסיבות אלו אמנם נלקחו בחשבון על</w:t>
      </w:r>
      <w:r>
        <w:rPr>
          <w:rtl w:val="true"/>
        </w:rPr>
        <w:t>-</w:t>
      </w:r>
      <w:r>
        <w:rPr>
          <w:rtl w:val="true"/>
        </w:rPr>
        <w:t>ידי בית משפט קמא</w:t>
      </w:r>
      <w:r>
        <w:rPr>
          <w:rtl w:val="true"/>
        </w:rPr>
        <w:t xml:space="preserve">, </w:t>
      </w:r>
      <w:r>
        <w:rPr>
          <w:rtl w:val="true"/>
        </w:rPr>
        <w:t>אך דומה כי המשקל שניתן להן לא היה מספק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tl w:val="true"/>
        </w:rPr>
        <w:t>במכלול הנסיבות סברנו אפוא</w:t>
      </w:r>
      <w:r>
        <w:rPr>
          <w:rtl w:val="true"/>
        </w:rPr>
        <w:t xml:space="preserve">, </w:t>
      </w:r>
      <w:r>
        <w:rPr>
          <w:rtl w:val="true"/>
        </w:rPr>
        <w:t>כי יש להקל קמעא בעונשו של המערער</w:t>
      </w:r>
      <w:r>
        <w:rPr>
          <w:rtl w:val="true"/>
        </w:rPr>
        <w:t xml:space="preserve">. </w:t>
      </w:r>
      <w:r>
        <w:rPr>
          <w:rtl w:val="true"/>
        </w:rPr>
        <w:t>יש לקוות כי חזרת המערער מערעורו על הכרעת הדין משקפת לקיחת אחריות</w:t>
      </w:r>
      <w:r>
        <w:rPr>
          <w:rtl w:val="true"/>
        </w:rPr>
        <w:t xml:space="preserve">, </w:t>
      </w:r>
      <w:r>
        <w:rPr>
          <w:rtl w:val="true"/>
        </w:rPr>
        <w:t>גם אם מוגבלת</w:t>
      </w:r>
      <w:r>
        <w:rPr>
          <w:rtl w:val="true"/>
        </w:rPr>
        <w:t xml:space="preserve">, </w:t>
      </w:r>
      <w:r>
        <w:rPr>
          <w:rtl w:val="true"/>
        </w:rPr>
        <w:t>מצדו</w:t>
      </w:r>
      <w:r>
        <w:rPr>
          <w:rtl w:val="true"/>
        </w:rPr>
        <w:t xml:space="preserve">; </w:t>
      </w:r>
      <w:r>
        <w:rPr>
          <w:rtl w:val="true"/>
        </w:rPr>
        <w:t xml:space="preserve">וכי הוא ישכיל לנצל את שהותו מאחורי סורג ובריח על מנת להשתלב בטיפול שיסייע לו לשקם את הריסות חייו </w:t>
      </w:r>
      <w:r>
        <w:rPr>
          <w:rtl w:val="true"/>
        </w:rPr>
        <w:t>–</w:t>
      </w:r>
      <w:r>
        <w:rPr>
          <w:rtl w:val="true"/>
        </w:rPr>
        <w:t xml:space="preserve"> למענו ולמען החברה כולה</w:t>
      </w:r>
      <w:r>
        <w:rPr>
          <w:rtl w:val="true"/>
        </w:rPr>
        <w:t>.</w:t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907" w:leader="none"/>
        </w:tabs>
        <w:spacing w:before="240" w:after="240"/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לו תשמע דעתי</w:t>
      </w:r>
      <w:r>
        <w:rPr>
          <w:rtl w:val="true"/>
        </w:rPr>
        <w:t xml:space="preserve">, </w:t>
      </w:r>
      <w:r>
        <w:rPr>
          <w:rtl w:val="true"/>
        </w:rPr>
        <w:t xml:space="preserve">על יסוד האמור לעיל נקבל את הערעור על גזר הדין במובן זה שהמערער ירצה עונש מאסר בן </w:t>
      </w:r>
      <w:r>
        <w:rPr/>
        <w:t>11.5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חלף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 שנגזרו עליו בבית המשפט המחוזי</w:t>
      </w:r>
      <w:r>
        <w:rPr>
          <w:rtl w:val="true"/>
        </w:rPr>
        <w:t xml:space="preserve">. </w:t>
      </w:r>
      <w:r>
        <w:rPr>
          <w:rtl w:val="true"/>
        </w:rPr>
        <w:t>יתר רכיבי גזר הדין יעמדו בעינם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end"/>
        <w:rPr/>
      </w:pPr>
      <w:r>
        <w:rPr>
          <w:rtl w:val="true"/>
        </w:rPr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סולברג</w:t>
      </w:r>
      <w:r>
        <w:rPr>
          <w:rtl w:val="true"/>
        </w:rPr>
        <w:t>: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אני מסכים</w:t>
      </w:r>
      <w:r>
        <w:rPr>
          <w:rtl w:val="true"/>
        </w:rPr>
        <w:t xml:space="preserve">. </w:t>
      </w:r>
      <w:r>
        <w:rPr>
          <w:rtl w:val="true"/>
        </w:rPr>
        <w:t>הקלה מדודה בעונשו של המערער</w:t>
      </w:r>
      <w:r>
        <w:rPr>
          <w:rtl w:val="true"/>
        </w:rPr>
        <w:t xml:space="preserve">, </w:t>
      </w:r>
      <w:r>
        <w:rPr>
          <w:rtl w:val="true"/>
        </w:rPr>
        <w:t>הריהי מוצדקת בנסיבות העניין</w:t>
      </w:r>
      <w:r>
        <w:rPr>
          <w:rtl w:val="true"/>
        </w:rPr>
        <w:t xml:space="preserve">, </w:t>
      </w:r>
      <w:r>
        <w:rPr>
          <w:rtl w:val="true"/>
        </w:rPr>
        <w:t>מטעמיו הנכוחים של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כבוב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אני מסכים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spacing w:before="240" w:after="24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כבוב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bookmarkStart w:id="25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13.8.2023</w:t>
      </w:r>
      <w:r>
        <w:rPr>
          <w:rtl w:val="true"/>
        </w:rPr>
        <w:t xml:space="preserve">). </w:t>
      </w:r>
      <w:bookmarkEnd w:id="25"/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1"/>
        <w:gridCol w:w="2786"/>
        <w:gridCol w:w="2786"/>
      </w:tblGrid>
      <w:tr>
        <w:trPr/>
        <w:tc>
          <w:tcPr>
            <w:tcW w:w="2791" w:type="dxa"/>
            <w:tcBorders/>
          </w:tcPr>
          <w:p>
            <w:pPr>
              <w:pStyle w:val="Ruller42"/>
              <w:bidi w:val="0"/>
              <w:jc w:val="end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6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6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</w:t>
      </w:r>
      <w:r>
        <w:rPr>
          <w:rFonts w:cs="Times New Roman"/>
          <w:sz w:val="16"/>
          <w:rtl w:val="true"/>
        </w:rPr>
        <w:t xml:space="preserve"> </w:t>
      </w:r>
      <w:r>
        <w:rPr>
          <w:sz w:val="16"/>
        </w:rPr>
        <w:t>22059220</w:t>
      </w:r>
      <w:r>
        <w:rPr>
          <w:sz w:val="16"/>
          <w:rtl w:val="true"/>
        </w:rPr>
        <w:t>_</w:t>
      </w:r>
      <w:r>
        <w:rPr>
          <w:sz w:val="16"/>
        </w:rPr>
        <w:t>C09.docx</w:t>
      </w:r>
      <w:r>
        <w:rPr>
          <w:sz w:val="16"/>
          <w:rtl w:val="true"/>
        </w:rPr>
        <w:t xml:space="preserve">  </w:t>
      </w:r>
      <w:r>
        <w:rPr>
          <w:sz w:val="16"/>
          <w:sz w:val="16"/>
          <w:rtl w:val="true"/>
        </w:rPr>
        <w:t>עכ</w:t>
      </w:r>
      <w:r>
        <w:rPr>
          <w:rtl w:val="true"/>
        </w:rPr>
        <w:t>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</w:t>
      </w:r>
      <w:hyperlink r:id="rId150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54678313-5922/22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5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52"/>
      <w:footerReference w:type="default" r:id="rId15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 Light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5922/22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ודים קוזלוב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dstrike w:val="false"/>
        <w:strike w:val="false"/>
        <w:sz w:val="28"/>
        <w:b w:val="false"/>
        <w:szCs w:val="28"/>
        <w:bCs w:val="false"/>
        <w:rFonts w:ascii="FrankRuehl" w:hAnsi="FrankRuehl" w:cs="FrankRuehl"/>
        <w:color w:val="000000"/>
        <w:lang w:val="en-US" w:bidi="he-I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lineRule="auto" w:line="360" w:before="40" w:after="0"/>
      <w:outlineLvl w:val="4"/>
    </w:pPr>
    <w:rPr>
      <w:rFonts w:ascii="Calibri Light" w:hAnsi="Calibri Light" w:eastAsia="Times New Roman" w:cs="Times New Roman"/>
      <w:color w:val="2E74B5"/>
      <w:spacing w:val="10"/>
      <w:szCs w:val="28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FrankRuehl" w:hAnsi="FrankRuehl" w:cs="FrankRuehl"/>
      <w:b w:val="false"/>
      <w:bCs w:val="false"/>
      <w:strike w:val="false"/>
      <w:dstrike w:val="false"/>
      <w:color w:val="000000"/>
      <w:sz w:val="28"/>
      <w:szCs w:val="28"/>
      <w:lang w:val="en-US" w:bidi="he-IL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sz w:val="24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Heading5Char">
    <w:name w:val="Heading 5 Char"/>
    <w:qFormat/>
    <w:rPr>
      <w:rFonts w:ascii="Calibri Light" w:hAnsi="Calibri Light" w:eastAsia="Times New Roman" w:cs="Times New Roman"/>
      <w:color w:val="2E74B5"/>
      <w:spacing w:val="10"/>
      <w:szCs w:val="28"/>
    </w:rPr>
  </w:style>
  <w:style w:type="character" w:styleId="FooterChar">
    <w:name w:val="Footer Char"/>
    <w:qFormat/>
    <w:rPr>
      <w:rFonts w:cs="David"/>
      <w:szCs w:val="24"/>
    </w:rPr>
  </w:style>
  <w:style w:type="character" w:styleId="HeaderChar">
    <w:name w:val="Header Char"/>
    <w:qFormat/>
    <w:rPr>
      <w:rFonts w:cs="David"/>
      <w:szCs w:val="24"/>
    </w:rPr>
  </w:style>
  <w:style w:type="character" w:styleId="Ruller4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Ruller41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3"/>
      </w:numPr>
    </w:pPr>
    <w:rPr/>
  </w:style>
  <w:style w:type="paragraph" w:styleId="NormalWeb">
    <w:name w:val="Normal (Web)"/>
    <w:basedOn w:val="Normal"/>
    <w:qFormat/>
    <w:pPr>
      <w:spacing w:lineRule="auto" w:line="360"/>
    </w:pPr>
    <w:rPr>
      <w:rFonts w:cs="Times New Roman"/>
      <w:spacing w:val="10"/>
      <w:sz w:val="24"/>
    </w:rPr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905753" TargetMode="External"/><Relationship Id="rId3" Type="http://schemas.openxmlformats.org/officeDocument/2006/relationships/hyperlink" Target="http://www.nevo.co.il/safrut/book/5061" TargetMode="External"/><Relationship Id="rId4" Type="http://schemas.openxmlformats.org/officeDocument/2006/relationships/hyperlink" Target="http://www.nevo.co.il/safrut/book/5061" TargetMode="External"/><Relationship Id="rId5" Type="http://schemas.openxmlformats.org/officeDocument/2006/relationships/hyperlink" Target="http://www.nevo.co.il/safrut/book/4276" TargetMode="External"/><Relationship Id="rId6" Type="http://schemas.openxmlformats.org/officeDocument/2006/relationships/hyperlink" Target="http://www.nevo.co.il/safrut/book/1054" TargetMode="External"/><Relationship Id="rId7" Type="http://schemas.openxmlformats.org/officeDocument/2006/relationships/hyperlink" Target="http://www.nevo.co.il/safrut/bookgroup/412" TargetMode="External"/><Relationship Id="rId8" Type="http://schemas.openxmlformats.org/officeDocument/2006/relationships/hyperlink" Target="http://www.nevo.co.il/safrut/bookgroup/41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5" TargetMode="External"/><Relationship Id="rId11" Type="http://schemas.openxmlformats.org/officeDocument/2006/relationships/hyperlink" Target="http://www.nevo.co.il/law/70301/27" TargetMode="External"/><Relationship Id="rId12" Type="http://schemas.openxmlformats.org/officeDocument/2006/relationships/hyperlink" Target="http://www.nevo.co.il/law/70301/32.2" TargetMode="External"/><Relationship Id="rId13" Type="http://schemas.openxmlformats.org/officeDocument/2006/relationships/hyperlink" Target="http://www.nevo.co.il/law/70301/32.4" TargetMode="External"/><Relationship Id="rId14" Type="http://schemas.openxmlformats.org/officeDocument/2006/relationships/hyperlink" Target="http://www.nevo.co.il/law/70301/34d" TargetMode="External"/><Relationship Id="rId15" Type="http://schemas.openxmlformats.org/officeDocument/2006/relationships/hyperlink" Target="http://www.nevo.co.il/law/70301/40i.a.4" TargetMode="External"/><Relationship Id="rId16" Type="http://schemas.openxmlformats.org/officeDocument/2006/relationships/hyperlink" Target="http://www.nevo.co.il/law/70301/41" TargetMode="External"/><Relationship Id="rId17" Type="http://schemas.openxmlformats.org/officeDocument/2006/relationships/hyperlink" Target="http://www.nevo.co.il/law/70301/298" TargetMode="External"/><Relationship Id="rId18" Type="http://schemas.openxmlformats.org/officeDocument/2006/relationships/hyperlink" Target="http://www.nevo.co.il/law/70301/300.a" TargetMode="External"/><Relationship Id="rId19" Type="http://schemas.openxmlformats.org/officeDocument/2006/relationships/hyperlink" Target="http://www.nevo.co.il/law/70301/305" TargetMode="External"/><Relationship Id="rId20" Type="http://schemas.openxmlformats.org/officeDocument/2006/relationships/hyperlink" Target="http://www.nevo.co.il/law/70301/305.1" TargetMode="External"/><Relationship Id="rId21" Type="http://schemas.openxmlformats.org/officeDocument/2006/relationships/hyperlink" Target="http://www.nevo.co.il/law/70301/311a" TargetMode="External"/><Relationship Id="rId22" Type="http://schemas.openxmlformats.org/officeDocument/2006/relationships/hyperlink" Target="http://www.nevo.co.il/law/131302" TargetMode="External"/><Relationship Id="rId23" Type="http://schemas.openxmlformats.org/officeDocument/2006/relationships/hyperlink" Target="http://www.nevo.co.il/law/131302/29.b" TargetMode="External"/><Relationship Id="rId24" Type="http://schemas.openxmlformats.org/officeDocument/2006/relationships/hyperlink" Target="http://www.nevo.co.il/law/131302/29.d" TargetMode="External"/><Relationship Id="rId25" Type="http://schemas.openxmlformats.org/officeDocument/2006/relationships/hyperlink" Target="http://www.nevo.co.il/law/131302/214.b" TargetMode="External"/><Relationship Id="rId26" Type="http://schemas.openxmlformats.org/officeDocument/2006/relationships/hyperlink" Target="http://www.nevo.co.il/law/131302/216" TargetMode="External"/><Relationship Id="rId27" Type="http://schemas.openxmlformats.org/officeDocument/2006/relationships/hyperlink" Target="http://www.nevo.co.il/law/131302/222.a" TargetMode="External"/><Relationship Id="rId28" Type="http://schemas.openxmlformats.org/officeDocument/2006/relationships/hyperlink" Target="http://www.nevo.co.il/law/131318" TargetMode="External"/><Relationship Id="rId29" Type="http://schemas.openxmlformats.org/officeDocument/2006/relationships/hyperlink" Target="http://www.nevo.co.il/law/131318/2" TargetMode="External"/><Relationship Id="rId30" Type="http://schemas.openxmlformats.org/officeDocument/2006/relationships/hyperlink" Target="http://www.nevo.co.il/case/25905753" TargetMode="External"/><Relationship Id="rId31" Type="http://schemas.openxmlformats.org/officeDocument/2006/relationships/hyperlink" Target="http://www.nevo.co.il/law/70301/305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20002108" TargetMode="External"/><Relationship Id="rId35" Type="http://schemas.openxmlformats.org/officeDocument/2006/relationships/hyperlink" Target="http://www.nevo.co.il/law/70301/305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305.1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305.1" TargetMode="External"/><Relationship Id="rId40" Type="http://schemas.openxmlformats.org/officeDocument/2006/relationships/hyperlink" Target="http://www.nevo.co.il/law/131302/222.a" TargetMode="External"/><Relationship Id="rId41" Type="http://schemas.openxmlformats.org/officeDocument/2006/relationships/hyperlink" Target="http://www.nevo.co.il/law/70301/305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131302/222.a" TargetMode="External"/><Relationship Id="rId44" Type="http://schemas.openxmlformats.org/officeDocument/2006/relationships/hyperlink" Target="http://www.nevo.co.il/law/131318" TargetMode="External"/><Relationship Id="rId45" Type="http://schemas.openxmlformats.org/officeDocument/2006/relationships/hyperlink" Target="http://www.nevo.co.il/law/131318/2" TargetMode="External"/><Relationship Id="rId46" Type="http://schemas.openxmlformats.org/officeDocument/2006/relationships/hyperlink" Target="http://www.nevo.co.il/law/70301/41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safrut/book/4276" TargetMode="External"/><Relationship Id="rId49" Type="http://schemas.openxmlformats.org/officeDocument/2006/relationships/hyperlink" Target="http://www.nevo.co.il/law/70301/305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131302/222.a" TargetMode="External"/><Relationship Id="rId52" Type="http://schemas.openxmlformats.org/officeDocument/2006/relationships/hyperlink" Target="http://www.nevo.co.il/law/131302/222.a" TargetMode="External"/><Relationship Id="rId53" Type="http://schemas.openxmlformats.org/officeDocument/2006/relationships/hyperlink" Target="http://www.nevo.co.il/law/131302/29.b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32.2" TargetMode="External"/><Relationship Id="rId56" Type="http://schemas.openxmlformats.org/officeDocument/2006/relationships/hyperlink" Target="http://www.nevo.co.il/law/131302/29.b" TargetMode="External"/><Relationship Id="rId57" Type="http://schemas.openxmlformats.org/officeDocument/2006/relationships/hyperlink" Target="http://www.nevo.co.il/law/131302/222.a" TargetMode="External"/><Relationship Id="rId58" Type="http://schemas.openxmlformats.org/officeDocument/2006/relationships/hyperlink" Target="http://www.nevo.co.il/law/131302/29.b" TargetMode="External"/><Relationship Id="rId59" Type="http://schemas.openxmlformats.org/officeDocument/2006/relationships/hyperlink" Target="http://www.nevo.co.il/law/131302/222.a" TargetMode="External"/><Relationship Id="rId60" Type="http://schemas.openxmlformats.org/officeDocument/2006/relationships/hyperlink" Target="http://www.nevo.co.il/law/131302/29.b" TargetMode="External"/><Relationship Id="rId61" Type="http://schemas.openxmlformats.org/officeDocument/2006/relationships/hyperlink" Target="http://www.nevo.co.il/case/17928826" TargetMode="External"/><Relationship Id="rId62" Type="http://schemas.openxmlformats.org/officeDocument/2006/relationships/hyperlink" Target="http://www.nevo.co.il/case/17941682" TargetMode="External"/><Relationship Id="rId63" Type="http://schemas.openxmlformats.org/officeDocument/2006/relationships/hyperlink" Target="http://www.nevo.co.il/law/131302/222.a" TargetMode="External"/><Relationship Id="rId64" Type="http://schemas.openxmlformats.org/officeDocument/2006/relationships/hyperlink" Target="http://www.nevo.co.il/law/70301/305.1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131302/222.a" TargetMode="External"/><Relationship Id="rId67" Type="http://schemas.openxmlformats.org/officeDocument/2006/relationships/hyperlink" Target="http://www.nevo.co.il/law/131302/29.b" TargetMode="External"/><Relationship Id="rId68" Type="http://schemas.openxmlformats.org/officeDocument/2006/relationships/hyperlink" Target="http://www.nevo.co.il/case/17941457" TargetMode="External"/><Relationship Id="rId69" Type="http://schemas.openxmlformats.org/officeDocument/2006/relationships/hyperlink" Target="http://www.nevo.co.il/law/131302/222.a" TargetMode="External"/><Relationship Id="rId70" Type="http://schemas.openxmlformats.org/officeDocument/2006/relationships/hyperlink" Target="http://www.nevo.co.il/law/131302/222.a" TargetMode="External"/><Relationship Id="rId71" Type="http://schemas.openxmlformats.org/officeDocument/2006/relationships/hyperlink" Target="http://www.nevo.co.il/law/131302/29.b" TargetMode="External"/><Relationship Id="rId72" Type="http://schemas.openxmlformats.org/officeDocument/2006/relationships/hyperlink" Target="http://www.nevo.co.il/law/131302/222.a" TargetMode="External"/><Relationship Id="rId73" Type="http://schemas.openxmlformats.org/officeDocument/2006/relationships/hyperlink" Target="http://www.nevo.co.il/safrut/book/5061" TargetMode="External"/><Relationship Id="rId74" Type="http://schemas.openxmlformats.org/officeDocument/2006/relationships/hyperlink" Target="http://www.nevo.co.il/case/4485679" TargetMode="External"/><Relationship Id="rId75" Type="http://schemas.openxmlformats.org/officeDocument/2006/relationships/hyperlink" Target="http://www.nevo.co.il/safrut/bookgroup/2258" TargetMode="External"/><Relationship Id="rId76" Type="http://schemas.openxmlformats.org/officeDocument/2006/relationships/hyperlink" Target="http://www.nevo.co.il/case/5870871" TargetMode="External"/><Relationship Id="rId77" Type="http://schemas.openxmlformats.org/officeDocument/2006/relationships/hyperlink" Target="http://www.nevo.co.il/case/8245314" TargetMode="External"/><Relationship Id="rId78" Type="http://schemas.openxmlformats.org/officeDocument/2006/relationships/hyperlink" Target="http://www.nevo.co.il/case/17913307" TargetMode="External"/><Relationship Id="rId79" Type="http://schemas.openxmlformats.org/officeDocument/2006/relationships/hyperlink" Target="http://www.nevo.co.il/case/13070531" TargetMode="External"/><Relationship Id="rId80" Type="http://schemas.openxmlformats.org/officeDocument/2006/relationships/hyperlink" Target="http://www.nevo.co.il/law/131302/29.b" TargetMode="External"/><Relationship Id="rId81" Type="http://schemas.openxmlformats.org/officeDocument/2006/relationships/hyperlink" Target="http://www.nevo.co.il/law/131302/222.a" TargetMode="External"/><Relationship Id="rId82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law/70301/32.2" TargetMode="External"/><Relationship Id="rId85" Type="http://schemas.openxmlformats.org/officeDocument/2006/relationships/hyperlink" Target="http://www.nevo.co.il/law/70301" TargetMode="External"/><Relationship Id="rId86" Type="http://schemas.openxmlformats.org/officeDocument/2006/relationships/hyperlink" Target="http://www.nevo.co.il/law/131302/29.b" TargetMode="External"/><Relationship Id="rId87" Type="http://schemas.openxmlformats.org/officeDocument/2006/relationships/hyperlink" Target="http://www.nevo.co.il/law/70301/34d" TargetMode="External"/><Relationship Id="rId88" Type="http://schemas.openxmlformats.org/officeDocument/2006/relationships/hyperlink" Target="http://www.nevo.co.il/law/70301/298" TargetMode="External"/><Relationship Id="rId89" Type="http://schemas.openxmlformats.org/officeDocument/2006/relationships/hyperlink" Target="http://www.nevo.co.il/law/70301" TargetMode="External"/><Relationship Id="rId90" Type="http://schemas.openxmlformats.org/officeDocument/2006/relationships/hyperlink" Target="http://www.nevo.co.il/law/70301/305" TargetMode="External"/><Relationship Id="rId91" Type="http://schemas.openxmlformats.org/officeDocument/2006/relationships/hyperlink" Target="http://www.nevo.co.il/law/70301/298" TargetMode="External"/><Relationship Id="rId92" Type="http://schemas.openxmlformats.org/officeDocument/2006/relationships/hyperlink" Target="http://www.nevo.co.il/law/70301/25" TargetMode="External"/><Relationship Id="rId93" Type="http://schemas.openxmlformats.org/officeDocument/2006/relationships/hyperlink" Target="http://www.nevo.co.il/law/70301" TargetMode="External"/><Relationship Id="rId94" Type="http://schemas.openxmlformats.org/officeDocument/2006/relationships/hyperlink" Target="http://www.nevo.co.il/law/70301/305" TargetMode="External"/><Relationship Id="rId95" Type="http://schemas.openxmlformats.org/officeDocument/2006/relationships/hyperlink" Target="http://www.nevo.co.il/law/70301" TargetMode="External"/><Relationship Id="rId96" Type="http://schemas.openxmlformats.org/officeDocument/2006/relationships/hyperlink" Target="http://www.nevo.co.il/law/70301/305" TargetMode="External"/><Relationship Id="rId97" Type="http://schemas.openxmlformats.org/officeDocument/2006/relationships/hyperlink" Target="http://www.nevo.co.il/law/70301" TargetMode="External"/><Relationship Id="rId98" Type="http://schemas.openxmlformats.org/officeDocument/2006/relationships/hyperlink" Target="http://www.nevo.co.il/case/25591764" TargetMode="External"/><Relationship Id="rId99" Type="http://schemas.openxmlformats.org/officeDocument/2006/relationships/hyperlink" Target="http://www.nevo.co.il/case/27672788" TargetMode="External"/><Relationship Id="rId100" Type="http://schemas.openxmlformats.org/officeDocument/2006/relationships/hyperlink" Target="http://www.nevo.co.il/case/25698730" TargetMode="External"/><Relationship Id="rId101" Type="http://schemas.openxmlformats.org/officeDocument/2006/relationships/hyperlink" Target="http://www.nevo.co.il/law/70301/305" TargetMode="External"/><Relationship Id="rId102" Type="http://schemas.openxmlformats.org/officeDocument/2006/relationships/hyperlink" Target="http://www.nevo.co.il/law/70301" TargetMode="External"/><Relationship Id="rId103" Type="http://schemas.openxmlformats.org/officeDocument/2006/relationships/hyperlink" Target="http://www.nevo.co.il/law/70301/300.a" TargetMode="External"/><Relationship Id="rId104" Type="http://schemas.openxmlformats.org/officeDocument/2006/relationships/hyperlink" Target="http://www.nevo.co.il/law/70301" TargetMode="External"/><Relationship Id="rId105" Type="http://schemas.openxmlformats.org/officeDocument/2006/relationships/hyperlink" Target="http://www.nevo.co.il/law/70301/311a" TargetMode="External"/><Relationship Id="rId106" Type="http://schemas.openxmlformats.org/officeDocument/2006/relationships/hyperlink" Target="http://www.nevo.co.il/law/70301" TargetMode="External"/><Relationship Id="rId107" Type="http://schemas.openxmlformats.org/officeDocument/2006/relationships/hyperlink" Target="http://www.nevo.co.il/law/70301/34d" TargetMode="External"/><Relationship Id="rId108" Type="http://schemas.openxmlformats.org/officeDocument/2006/relationships/hyperlink" Target="http://www.nevo.co.il/law/70301/305" TargetMode="External"/><Relationship Id="rId109" Type="http://schemas.openxmlformats.org/officeDocument/2006/relationships/hyperlink" Target="http://www.nevo.co.il/law/70301" TargetMode="External"/><Relationship Id="rId110" Type="http://schemas.openxmlformats.org/officeDocument/2006/relationships/hyperlink" Target="http://www.nevo.co.il/law/70301/25" TargetMode="External"/><Relationship Id="rId111" Type="http://schemas.openxmlformats.org/officeDocument/2006/relationships/hyperlink" Target="http://www.nevo.co.il/law/70301/34d" TargetMode="External"/><Relationship Id="rId112" Type="http://schemas.openxmlformats.org/officeDocument/2006/relationships/hyperlink" Target="http://www.nevo.co.il/law/70301/300.a" TargetMode="External"/><Relationship Id="rId113" Type="http://schemas.openxmlformats.org/officeDocument/2006/relationships/hyperlink" Target="http://www.nevo.co.il/law/70301/311a" TargetMode="External"/><Relationship Id="rId114" Type="http://schemas.openxmlformats.org/officeDocument/2006/relationships/hyperlink" Target="http://www.nevo.co.il/law/70301/305" TargetMode="External"/><Relationship Id="rId115" Type="http://schemas.openxmlformats.org/officeDocument/2006/relationships/hyperlink" Target="http://www.nevo.co.il/law/70301/305" TargetMode="External"/><Relationship Id="rId116" Type="http://schemas.openxmlformats.org/officeDocument/2006/relationships/hyperlink" Target="http://www.nevo.co.il/law/70301" TargetMode="External"/><Relationship Id="rId117" Type="http://schemas.openxmlformats.org/officeDocument/2006/relationships/hyperlink" Target="http://www.nevo.co.il/law/131302/222.a" TargetMode="External"/><Relationship Id="rId118" Type="http://schemas.openxmlformats.org/officeDocument/2006/relationships/hyperlink" Target="http://www.nevo.co.il/law/131302/214.b" TargetMode="External"/><Relationship Id="rId119" Type="http://schemas.openxmlformats.org/officeDocument/2006/relationships/hyperlink" Target="http://www.nevo.co.il/law/131302/216" TargetMode="External"/><Relationship Id="rId120" Type="http://schemas.openxmlformats.org/officeDocument/2006/relationships/hyperlink" Target="http://www.nevo.co.il/law/70301" TargetMode="External"/><Relationship Id="rId121" Type="http://schemas.openxmlformats.org/officeDocument/2006/relationships/hyperlink" Target="http://www.nevo.co.il/law/70301/300.a" TargetMode="External"/><Relationship Id="rId122" Type="http://schemas.openxmlformats.org/officeDocument/2006/relationships/hyperlink" Target="http://www.nevo.co.il/law/70301" TargetMode="External"/><Relationship Id="rId123" Type="http://schemas.openxmlformats.org/officeDocument/2006/relationships/hyperlink" Target="http://www.nevo.co.il/law/70301/305" TargetMode="External"/><Relationship Id="rId124" Type="http://schemas.openxmlformats.org/officeDocument/2006/relationships/hyperlink" Target="http://www.nevo.co.il/law/70301/305" TargetMode="External"/><Relationship Id="rId125" Type="http://schemas.openxmlformats.org/officeDocument/2006/relationships/hyperlink" Target="http://www.nevo.co.il/law/70301" TargetMode="External"/><Relationship Id="rId126" Type="http://schemas.openxmlformats.org/officeDocument/2006/relationships/hyperlink" Target="http://www.nevo.co.il/law/70301" TargetMode="External"/><Relationship Id="rId127" Type="http://schemas.openxmlformats.org/officeDocument/2006/relationships/hyperlink" Target="http://www.nevo.co.il/law/131302/29.d" TargetMode="External"/><Relationship Id="rId128" Type="http://schemas.openxmlformats.org/officeDocument/2006/relationships/hyperlink" Target="http://www.nevo.co.il/law/70301/32.4" TargetMode="External"/><Relationship Id="rId129" Type="http://schemas.openxmlformats.org/officeDocument/2006/relationships/hyperlink" Target="http://www.nevo.co.il/law/70301" TargetMode="External"/><Relationship Id="rId130" Type="http://schemas.openxmlformats.org/officeDocument/2006/relationships/hyperlink" Target="http://www.nevo.co.il/safrut/book/1054" TargetMode="External"/><Relationship Id="rId131" Type="http://schemas.openxmlformats.org/officeDocument/2006/relationships/hyperlink" Target="http://www.nevo.co.il/law/70301" TargetMode="External"/><Relationship Id="rId132" Type="http://schemas.openxmlformats.org/officeDocument/2006/relationships/hyperlink" Target="http://www.nevo.co.il/safrut/bookgroup/412" TargetMode="External"/><Relationship Id="rId133" Type="http://schemas.openxmlformats.org/officeDocument/2006/relationships/hyperlink" Target="http://www.nevo.co.il/law/70301" TargetMode="External"/><Relationship Id="rId134" Type="http://schemas.openxmlformats.org/officeDocument/2006/relationships/hyperlink" Target="http://www.nevo.co.il/law/70301/34d" TargetMode="External"/><Relationship Id="rId135" Type="http://schemas.openxmlformats.org/officeDocument/2006/relationships/hyperlink" Target="http://www.nevo.co.il/law/70301" TargetMode="External"/><Relationship Id="rId136" Type="http://schemas.openxmlformats.org/officeDocument/2006/relationships/hyperlink" Target="http://www.nevo.co.il/law/70301" TargetMode="External"/><Relationship Id="rId137" Type="http://schemas.openxmlformats.org/officeDocument/2006/relationships/hyperlink" Target="http://www.nevo.co.il/law/70301/27" TargetMode="External"/><Relationship Id="rId138" Type="http://schemas.openxmlformats.org/officeDocument/2006/relationships/hyperlink" Target="http://www.nevo.co.il/law/70301" TargetMode="External"/><Relationship Id="rId139" Type="http://schemas.openxmlformats.org/officeDocument/2006/relationships/hyperlink" Target="http://www.nevo.co.il/law/70301/305" TargetMode="External"/><Relationship Id="rId140" Type="http://schemas.openxmlformats.org/officeDocument/2006/relationships/hyperlink" Target="http://www.nevo.co.il/law/70301" TargetMode="External"/><Relationship Id="rId141" Type="http://schemas.openxmlformats.org/officeDocument/2006/relationships/hyperlink" Target="http://www.nevo.co.il/law/70301/34d" TargetMode="External"/><Relationship Id="rId142" Type="http://schemas.openxmlformats.org/officeDocument/2006/relationships/hyperlink" Target="http://www.nevo.co.il/law/70301" TargetMode="External"/><Relationship Id="rId143" Type="http://schemas.openxmlformats.org/officeDocument/2006/relationships/hyperlink" Target="http://www.nevo.co.il/law/70301/40i.a.4" TargetMode="External"/><Relationship Id="rId144" Type="http://schemas.openxmlformats.org/officeDocument/2006/relationships/hyperlink" Target="http://www.nevo.co.il/law/70301" TargetMode="External"/><Relationship Id="rId145" Type="http://schemas.openxmlformats.org/officeDocument/2006/relationships/hyperlink" Target="http://www.nevo.co.il/case/22228277" TargetMode="External"/><Relationship Id="rId146" Type="http://schemas.openxmlformats.org/officeDocument/2006/relationships/hyperlink" Target="http://www.nevo.co.il/case/20363341" TargetMode="External"/><Relationship Id="rId147" Type="http://schemas.openxmlformats.org/officeDocument/2006/relationships/hyperlink" Target="http://www.nevo.co.il/case/5768061" TargetMode="External"/><Relationship Id="rId148" Type="http://schemas.openxmlformats.org/officeDocument/2006/relationships/hyperlink" Target="http://www.nevo.co.il/case/24314976" TargetMode="External"/><Relationship Id="rId149" Type="http://schemas.openxmlformats.org/officeDocument/2006/relationships/hyperlink" Target="http://www.nevo.co.il/case/20923886" TargetMode="External"/><Relationship Id="rId150" Type="http://schemas.openxmlformats.org/officeDocument/2006/relationships/hyperlink" Target="https://supreme.court.gov.il/" TargetMode="External"/><Relationship Id="rId151" Type="http://schemas.openxmlformats.org/officeDocument/2006/relationships/hyperlink" Target="http://www.nevo.co.il/advertisements/nevo-100.doc" TargetMode="External"/><Relationship Id="rId152" Type="http://schemas.openxmlformats.org/officeDocument/2006/relationships/header" Target="header1.xml"/><Relationship Id="rId153" Type="http://schemas.openxmlformats.org/officeDocument/2006/relationships/footer" Target="footer1.xml"/><Relationship Id="rId154" Type="http://schemas.openxmlformats.org/officeDocument/2006/relationships/numbering" Target="numbering.xml"/><Relationship Id="rId155" Type="http://schemas.openxmlformats.org/officeDocument/2006/relationships/fontTable" Target="fontTable.xml"/><Relationship Id="rId156" Type="http://schemas.openxmlformats.org/officeDocument/2006/relationships/settings" Target="settings.xml"/><Relationship Id="rId15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2023-08-16T07:08:00Z</dcterms:created>
  <dc:creator>h4</dc:creator>
  <dc:description/>
  <cp:keywords/>
  <dc:language>en-IL</dc:language>
  <cp:lastModifiedBy>h1</cp:lastModifiedBy>
  <cp:lastPrinted>2023-08-13T12:02:00Z</cp:lastPrinted>
  <dcterms:modified xsi:type="dcterms:W3CDTF">2023-08-16T07:08:00Z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ודים קוזלוב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ישראל;נפגעת העבירה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412</vt:lpwstr>
  </property>
  <property fmtid="{D5CDD505-2E9C-101B-9397-08002B2CF9AE}" pid="9" name="BOOKLISTTMP1">
    <vt:lpwstr>5061;4276;1054</vt:lpwstr>
  </property>
  <property fmtid="{D5CDD505-2E9C-101B-9397-08002B2CF9AE}" pid="10" name="CASESLISTTMP1">
    <vt:lpwstr>25905753:2;20002108;17928826;17941682;17941457;4485679;5870871;8245314;17913307;13070531;25591764;27672788;25698730;22228277;20363341;5768061;24314976;20923886</vt:lpwstr>
  </property>
  <property fmtid="{D5CDD505-2E9C-101B-9397-08002B2CF9AE}" pid="11" name="CITY">
    <vt:lpwstr/>
  </property>
  <property fmtid="{D5CDD505-2E9C-101B-9397-08002B2CF9AE}" pid="12" name="DATE">
    <vt:lpwstr>20230813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נ' סולברג;ע' גרוסקופף;ח' כבוב</vt:lpwstr>
  </property>
  <property fmtid="{D5CDD505-2E9C-101B-9397-08002B2CF9AE}" pid="16" name="LAWLISTTMP1">
    <vt:lpwstr>70301/305:14;305.1:3;041;032.2:2;034d:5;298:2;025:2;300.a:3;311a:2;032.4;027;040i.a.4</vt:lpwstr>
  </property>
  <property fmtid="{D5CDD505-2E9C-101B-9397-08002B2CF9AE}" pid="17" name="LAWLISTTMP2">
    <vt:lpwstr>131302/222.a:13;029.b:8;214.b;216;029.d</vt:lpwstr>
  </property>
  <property fmtid="{D5CDD505-2E9C-101B-9397-08002B2CF9AE}" pid="18" name="LAWLISTTMP3">
    <vt:lpwstr>131318/002</vt:lpwstr>
  </property>
  <property fmtid="{D5CDD505-2E9C-101B-9397-08002B2CF9AE}" pid="19" name="LAWYER">
    <vt:lpwstr>יגאל בלפור;נתנאל יעקב חי;אופיר טישלר;סיון קוריס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פאני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NOBOOKNEVO">
    <vt:lpwstr>2258</vt:lpwstr>
  </property>
  <property fmtid="{D5CDD505-2E9C-101B-9397-08002B2CF9AE}" pid="31" name="NOSE11">
    <vt:lpwstr>עונשין</vt:lpwstr>
  </property>
  <property fmtid="{D5CDD505-2E9C-101B-9397-08002B2CF9AE}" pid="32" name="NOSE110">
    <vt:lpwstr/>
  </property>
  <property fmtid="{D5CDD505-2E9C-101B-9397-08002B2CF9AE}" pid="33" name="NOSE12">
    <vt:lpwstr>עונשין</vt:lpwstr>
  </property>
  <property fmtid="{D5CDD505-2E9C-101B-9397-08002B2CF9AE}" pid="34" name="NOSE13">
    <vt:lpwstr>עונשין</vt:lpwstr>
  </property>
  <property fmtid="{D5CDD505-2E9C-101B-9397-08002B2CF9AE}" pid="35" name="NOSE14">
    <vt:lpwstr>עונשין</vt:lpwstr>
  </property>
  <property fmtid="{D5CDD505-2E9C-101B-9397-08002B2CF9AE}" pid="36" name="NOSE15">
    <vt:lpwstr>עונשין</vt:lpwstr>
  </property>
  <property fmtid="{D5CDD505-2E9C-101B-9397-08002B2CF9AE}" pid="37" name="NOSE16">
    <vt:lpwstr>עונשין</vt:lpwstr>
  </property>
  <property fmtid="{D5CDD505-2E9C-101B-9397-08002B2CF9AE}" pid="38" name="NOSE17">
    <vt:lpwstr>עונשין</vt:lpwstr>
  </property>
  <property fmtid="{D5CDD505-2E9C-101B-9397-08002B2CF9AE}" pid="39" name="NOSE18">
    <vt:lpwstr/>
  </property>
  <property fmtid="{D5CDD505-2E9C-101B-9397-08002B2CF9AE}" pid="40" name="NOSE19">
    <vt:lpwstr/>
  </property>
  <property fmtid="{D5CDD505-2E9C-101B-9397-08002B2CF9AE}" pid="41" name="NOSE1ID">
    <vt:lpwstr>77;77;77;77;77;77;77</vt:lpwstr>
  </property>
  <property fmtid="{D5CDD505-2E9C-101B-9397-08002B2CF9AE}" pid="42" name="NOSE21">
    <vt:lpwstr>עבירות</vt:lpwstr>
  </property>
  <property fmtid="{D5CDD505-2E9C-101B-9397-08002B2CF9AE}" pid="43" name="NOSE210">
    <vt:lpwstr/>
  </property>
  <property fmtid="{D5CDD505-2E9C-101B-9397-08002B2CF9AE}" pid="44" name="NOSE22">
    <vt:lpwstr>ניסיון</vt:lpwstr>
  </property>
  <property fmtid="{D5CDD505-2E9C-101B-9397-08002B2CF9AE}" pid="45" name="NOSE23">
    <vt:lpwstr>ניסיון</vt:lpwstr>
  </property>
  <property fmtid="{D5CDD505-2E9C-101B-9397-08002B2CF9AE}" pid="46" name="NOSE24">
    <vt:lpwstr>מחשבה פלילית</vt:lpwstr>
  </property>
  <property fmtid="{D5CDD505-2E9C-101B-9397-08002B2CF9AE}" pid="47" name="NOSE25">
    <vt:lpwstr>מחשבה פלילית</vt:lpwstr>
  </property>
  <property fmtid="{D5CDD505-2E9C-101B-9397-08002B2CF9AE}" pid="48" name="NOSE26">
    <vt:lpwstr>ענישה</vt:lpwstr>
  </property>
  <property fmtid="{D5CDD505-2E9C-101B-9397-08002B2CF9AE}" pid="49" name="NOSE27">
    <vt:lpwstr>ענישה</vt:lpwstr>
  </property>
  <property fmtid="{D5CDD505-2E9C-101B-9397-08002B2CF9AE}" pid="50" name="NOSE28">
    <vt:lpwstr/>
  </property>
  <property fmtid="{D5CDD505-2E9C-101B-9397-08002B2CF9AE}" pid="51" name="NOSE29">
    <vt:lpwstr/>
  </property>
  <property fmtid="{D5CDD505-2E9C-101B-9397-08002B2CF9AE}" pid="52" name="NOSE2ID">
    <vt:lpwstr>1443;1440;1440;1436;1436;1446;1446</vt:lpwstr>
  </property>
  <property fmtid="{D5CDD505-2E9C-101B-9397-08002B2CF9AE}" pid="53" name="NOSE31">
    <vt:lpwstr>ניסיון לרצח</vt:lpwstr>
  </property>
  <property fmtid="{D5CDD505-2E9C-101B-9397-08002B2CF9AE}" pid="54" name="NOSE310">
    <vt:lpwstr/>
  </property>
  <property fmtid="{D5CDD505-2E9C-101B-9397-08002B2CF9AE}" pid="55" name="NOSE32">
    <vt:lpwstr>רצח</vt:lpwstr>
  </property>
  <property fmtid="{D5CDD505-2E9C-101B-9397-08002B2CF9AE}" pid="56" name="NOSE33">
    <vt:lpwstr>המחשבה הפלילית</vt:lpwstr>
  </property>
  <property fmtid="{D5CDD505-2E9C-101B-9397-08002B2CF9AE}" pid="57" name="NOSE34">
    <vt:lpwstr>כוונה</vt:lpwstr>
  </property>
  <property fmtid="{D5CDD505-2E9C-101B-9397-08002B2CF9AE}" pid="58" name="NOSE35">
    <vt:lpwstr>כוונה תחילה</vt:lpwstr>
  </property>
  <property fmtid="{D5CDD505-2E9C-101B-9397-08002B2CF9AE}" pid="59" name="NOSE36">
    <vt:lpwstr>מדיניות ענישה: ניסיון לרצח</vt:lpwstr>
  </property>
  <property fmtid="{D5CDD505-2E9C-101B-9397-08002B2CF9AE}" pid="60" name="NOSE37">
    <vt:lpwstr>מדיניות ענישה: שיקולים לקולה</vt:lpwstr>
  </property>
  <property fmtid="{D5CDD505-2E9C-101B-9397-08002B2CF9AE}" pid="61" name="NOSE38">
    <vt:lpwstr/>
  </property>
  <property fmtid="{D5CDD505-2E9C-101B-9397-08002B2CF9AE}" pid="62" name="NOSE39">
    <vt:lpwstr/>
  </property>
  <property fmtid="{D5CDD505-2E9C-101B-9397-08002B2CF9AE}" pid="63" name="NOSE3ID">
    <vt:lpwstr>8867;8746;8740;8714;8715;18350;8996</vt:lpwstr>
  </property>
  <property fmtid="{D5CDD505-2E9C-101B-9397-08002B2CF9AE}" pid="64" name="PADIDATE">
    <vt:lpwstr>20230814</vt:lpwstr>
  </property>
  <property fmtid="{D5CDD505-2E9C-101B-9397-08002B2CF9AE}" pid="65" name="PADIMAIL">
    <vt:lpwstr>YES</vt:lpwstr>
  </property>
  <property fmtid="{D5CDD505-2E9C-101B-9397-08002B2CF9AE}" pid="66" name="PAGE">
    <vt:lpwstr/>
  </property>
  <property fmtid="{D5CDD505-2E9C-101B-9397-08002B2CF9AE}" pid="67" name="PART">
    <vt:lpwstr/>
  </property>
  <property fmtid="{D5CDD505-2E9C-101B-9397-08002B2CF9AE}" pid="68" name="PROCESS">
    <vt:lpwstr>עפ</vt:lpwstr>
  </property>
  <property fmtid="{D5CDD505-2E9C-101B-9397-08002B2CF9AE}" pid="69" name="PROCNUM">
    <vt:lpwstr>5922</vt:lpwstr>
  </property>
  <property fmtid="{D5CDD505-2E9C-101B-9397-08002B2CF9AE}" pid="70" name="PROCYEAR">
    <vt:lpwstr>22</vt:lpwstr>
  </property>
  <property fmtid="{D5CDD505-2E9C-101B-9397-08002B2CF9AE}" pid="71" name="PSAKDIN">
    <vt:lpwstr>פסק-דין</vt:lpwstr>
  </property>
  <property fmtid="{D5CDD505-2E9C-101B-9397-08002B2CF9AE}" pid="72" name="TYPE">
    <vt:lpwstr>1</vt:lpwstr>
  </property>
  <property fmtid="{D5CDD505-2E9C-101B-9397-08002B2CF9AE}" pid="73" name="TYPE_ABS_DATE">
    <vt:lpwstr>410120230813</vt:lpwstr>
  </property>
  <property fmtid="{D5CDD505-2E9C-101B-9397-08002B2CF9AE}" pid="74" name="TYPE_N_DATE">
    <vt:lpwstr>41020230813</vt:lpwstr>
  </property>
  <property fmtid="{D5CDD505-2E9C-101B-9397-08002B2CF9AE}" pid="75" name="VOLUME">
    <vt:lpwstr/>
  </property>
  <property fmtid="{D5CDD505-2E9C-101B-9397-08002B2CF9AE}" pid="76" name="WORDNUMPAGES">
    <vt:lpwstr>22</vt:lpwstr>
  </property>
</Properties>
</file>