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5928/17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5953/17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5928/17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5953/17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5928/17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5953/17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אנטולי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קובטי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שני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24211-06-15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29.5.2017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427"/>
        <w:gridCol w:w="851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42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28.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2018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8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5928/17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5953/17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5928/17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5953/17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פרק 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ההלימה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ירצה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עקרון ההלימה‏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5928/17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5953/17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סחיטה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חשדו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וארבעה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החבורה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מעורב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הושתו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שירוצו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 w:val="24"/>
          <w:szCs w:val="26"/>
        </w:rPr>
        <w:t>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וצו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5928/17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והמשיבה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5953/17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שחזר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5928/17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5953/17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ההלימה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תרומתו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לביצוע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בתיאום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החבורה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שפעלו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כגוף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משותפת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תרומה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התכנית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העבריינית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אלמלא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תרומת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מיודד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בהבאתו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להצטרף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ביודעו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הנסיעה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וכוונת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החבורה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לסחוט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מידע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ייתכן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מתפתה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ומסכים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לנסיעה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שבמהלכה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ובסופה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והסחיטה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מקהה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המוסרי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החבורה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בעטו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בראשו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עילפון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הציתו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ושיער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כעובר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אורח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הגורם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להבאת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כשמידי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השמיע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להישמע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הסלמת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והתפתחותו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שידע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מראש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כוונת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החבורה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לזקוף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גבוהה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המעורבים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שבחרו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ללכלך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העברייני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ירחץ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בניקיון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בעשייה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הפיזית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תכלת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צידוק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סלחני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שותף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ומכוערים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נטילת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לידיים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ובהשוואת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לחלקו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המעורב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שנדון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טיפול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נכונות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להירתמות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טיפולי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לצרכי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טיפולי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בשקילת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תסקירי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המבחן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המעורבים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ומבלי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מעצרו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נותרו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ביטול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המבחן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bookmarkStart w:id="14" w:name="_GoBack"/>
      <w:bookmarkStart w:id="15" w:name="Writer_Name"/>
      <w:bookmarkEnd w:id="14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רון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24211-06-15</w:t>
        </w:r>
      </w:hyperlink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29.5.2017</w:t>
      </w:r>
      <w:r>
        <w:rPr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5928/17</w:t>
        </w:r>
      </w:hyperlink>
      <w:r>
        <w:rPr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5953/17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המשיב</w:t>
      </w:r>
      <w:r>
        <w:rPr>
          <w:rtl w:val="true"/>
        </w:rPr>
        <w:t xml:space="preserve">)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>
          <w:rtl w:val="true"/>
        </w:rPr>
        <w:t>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כשהתנאי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פרק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9">
        <w:r>
          <w:rPr>
            <w:rStyle w:val="Hyperlink"/>
            <w:color w:val="0000FF"/>
            <w:u w:val="single"/>
          </w:rPr>
          <w:t>427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5928/17</w:t>
      </w:r>
      <w:r>
        <w:rPr>
          <w:rtl w:val="true"/>
        </w:rPr>
        <w:t xml:space="preserve"> </w:t>
      </w:r>
      <w:r>
        <w:rPr>
          <w:rtl w:val="true"/>
        </w:rPr>
        <w:t>והמשיבה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5953/17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המדינה</w:t>
      </w:r>
      <w:r>
        <w:rPr>
          <w:rtl w:val="true"/>
        </w:rPr>
        <w:t xml:space="preserve">) </w:t>
      </w:r>
      <w:r>
        <w:rPr>
          <w:rtl w:val="true"/>
        </w:rPr>
        <w:t>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;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ובצירוף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החבורה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חברם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חברות</w:t>
      </w:r>
      <w:r>
        <w:rPr>
          <w:rtl w:val="true"/>
        </w:rPr>
        <w:t xml:space="preserve">, </w:t>
      </w:r>
      <w:r>
        <w:rPr>
          <w:rtl w:val="true"/>
        </w:rPr>
        <w:t>סיכמו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שנרצח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היער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בהגיעם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חברם</w:t>
      </w:r>
      <w:r>
        <w:rPr>
          <w:rtl w:val="true"/>
        </w:rPr>
        <w:t xml:space="preserve">. </w:t>
      </w:r>
      <w:r>
        <w:rPr>
          <w:rtl w:val="true"/>
        </w:rPr>
        <w:t>משטען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כפתו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ורגליו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באזיקונים</w:t>
      </w:r>
      <w:r>
        <w:rPr>
          <w:rtl w:val="true"/>
        </w:rPr>
        <w:t xml:space="preserve">;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דביק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מסביבו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בבגדיו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וירצחו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וברגליו</w:t>
      </w:r>
      <w:r>
        <w:rPr>
          <w:rtl w:val="true"/>
        </w:rPr>
        <w:t xml:space="preserve">, </w:t>
      </w:r>
      <w:r>
        <w:rPr>
          <w:rtl w:val="true"/>
        </w:rPr>
        <w:t>בעטו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והיטלטל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לעץ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שיאכל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ביער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באבן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יגמור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ויסיימו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שהתחילו</w:t>
      </w:r>
      <w:r>
        <w:rPr>
          <w:rtl w:val="true"/>
        </w:rPr>
        <w:t xml:space="preserve">".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עזיבתם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מהאזיקון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באזיקונים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לעץ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ובפרקי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ההסדר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שנרצח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פיזית</w:t>
      </w:r>
      <w:r>
        <w:rPr>
          <w:rtl w:val="true"/>
        </w:rPr>
        <w:t xml:space="preserve">)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10.11.2016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5.1.2017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27.3.2017</w:t>
      </w:r>
      <w:r>
        <w:rPr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בתסקירים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, </w:t>
      </w:r>
      <w:r>
        <w:rPr>
          <w:rtl w:val="true"/>
        </w:rPr>
        <w:t>והעדר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", </w:t>
      </w:r>
      <w:r>
        <w:rPr>
          <w:rtl w:val="true"/>
        </w:rPr>
        <w:t>הירתמותו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ביצועם</w:t>
      </w:r>
      <w:r>
        <w:rPr>
          <w:rtl w:val="true"/>
        </w:rPr>
        <w:t xml:space="preserve">, </w:t>
      </w:r>
      <w:r>
        <w:rPr>
          <w:rtl w:val="true"/>
        </w:rPr>
        <w:t>ומתעלם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מתרומתו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האיכותית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שהסתיימה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ביער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tl w:val="true"/>
        </w:rPr>
        <w:t xml:space="preserve">,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בסחיטתו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כמסייע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באכזריות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וחומרתם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השווה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ספונקוב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ספונקוב</w:t>
      </w:r>
      <w:r>
        <w:rPr>
          <w:rtl w:val="true"/>
        </w:rPr>
        <w:t xml:space="preserve">),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23.3.2018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מהמלצתו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והסתפקות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דומיננטי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והסתייג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מהשוואת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ספונקוב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בסביבה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מהתועלת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שתצמח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ושבנו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, </w:t>
      </w:r>
      <w:r>
        <w:rPr>
          <w:rtl w:val="true"/>
        </w:rPr>
        <w:t>שפעלו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בהבאתו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ברוטלית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ובסופה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המוסרי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בריונית</w:t>
      </w:r>
      <w:r>
        <w:rPr>
          <w:rtl w:val="true"/>
        </w:rPr>
        <w:t xml:space="preserve">, </w:t>
      </w:r>
      <w:r>
        <w:rPr>
          <w:rtl w:val="true"/>
        </w:rPr>
        <w:t>כשמידי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והתפתחותו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שבחרו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ללכלך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בניקיון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לכלך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בעשייה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, </w:t>
      </w:r>
      <w:r>
        <w:rPr>
          <w:rtl w:val="true"/>
        </w:rPr>
        <w:t>שנדמה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תכלת</w:t>
      </w:r>
      <w:r>
        <w:rPr>
          <w:rtl w:val="true"/>
        </w:rPr>
        <w:t xml:space="preserve">.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סלחני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ומכוערים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ובהשוואת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ספונקוב</w:t>
      </w:r>
      <w:r>
        <w:rPr>
          <w:rtl w:val="true"/>
        </w:rPr>
        <w:t xml:space="preserve">, </w:t>
      </w:r>
      <w:r>
        <w:rPr>
          <w:rtl w:val="true"/>
        </w:rPr>
        <w:t>שנדון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ספונקוב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לספונקוב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ושניהם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ספונקוב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בפיתויו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ההפנמה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ההתרשמות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המתקבלת</w:t>
      </w:r>
      <w:r>
        <w:rPr>
          <w:rtl w:val="true"/>
        </w:rPr>
        <w:t xml:space="preserve">, </w:t>
      </w:r>
      <w:r>
        <w:rPr>
          <w:rtl w:val="true"/>
        </w:rPr>
        <w:t>לדאבון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ממהלך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להירתמות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זמני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ומשזו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בשוקלנו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בזאת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המשיב יתייצב לריצוי עונשו בימ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ר ניצן ביום </w:t>
      </w:r>
      <w:r>
        <w:rPr>
          <w:rFonts w:cs="Times New Roman" w:ascii="Times New Roman" w:hAnsi="Times New Roman"/>
        </w:rPr>
        <w:t>1.7.2018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עד לשעה </w:t>
      </w:r>
      <w:r>
        <w:rPr>
          <w:rFonts w:cs="Times New Roman" w:ascii="Times New Roman" w:hAnsi="Times New Roman"/>
        </w:rPr>
        <w:t>10:00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כשברשותו תעודת זהות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על המשיב לתאם את הכניסה למאסר כולל האפשרות למיון מוקדם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עם ענף אבחון ומיון של שב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ס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טלפונים </w:t>
      </w:r>
      <w:r>
        <w:rPr>
          <w:rFonts w:cs="Times New Roman" w:ascii="Times New Roman" w:hAnsi="Times New Roman"/>
        </w:rPr>
        <w:t>08-9787377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08-9787336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bookmarkStart w:id="16" w:name="Start_Write"/>
      <w:bookmarkEnd w:id="16"/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29.4.2018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17059280</w:t>
      </w:r>
      <w:r>
        <w:rPr>
          <w:sz w:val="16"/>
          <w:rtl w:val="true"/>
        </w:rPr>
        <w:t>_</w:t>
      </w:r>
      <w:r>
        <w:rPr>
          <w:sz w:val="16"/>
        </w:rPr>
        <w:t>Q02.doc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8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54678313-5928/17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5928/17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אנטולי גיקובטי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34929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377" TargetMode="External"/><Relationship Id="rId8" Type="http://schemas.openxmlformats.org/officeDocument/2006/relationships/hyperlink" Target="http://www.nevo.co.il/law/70301/380" TargetMode="External"/><Relationship Id="rId9" Type="http://schemas.openxmlformats.org/officeDocument/2006/relationships/hyperlink" Target="http://www.nevo.co.il/law/70301/382.a" TargetMode="External"/><Relationship Id="rId10" Type="http://schemas.openxmlformats.org/officeDocument/2006/relationships/hyperlink" Target="http://www.nevo.co.il/law/70301/427" TargetMode="External"/><Relationship Id="rId11" Type="http://schemas.openxmlformats.org/officeDocument/2006/relationships/hyperlink" Target="http://www.nevo.co.il/law/70301/427.a" TargetMode="External"/><Relationship Id="rId12" Type="http://schemas.openxmlformats.org/officeDocument/2006/relationships/hyperlink" Target="http://www.nevo.co.il/law/70301/jC" TargetMode="External"/><Relationship Id="rId13" Type="http://schemas.openxmlformats.org/officeDocument/2006/relationships/hyperlink" Target="http://www.nevo.co.il/case/20349298" TargetMode="External"/><Relationship Id="rId14" Type="http://schemas.openxmlformats.org/officeDocument/2006/relationships/hyperlink" Target="http://www.nevo.co.il/case/22852985" TargetMode="External"/><Relationship Id="rId15" Type="http://schemas.openxmlformats.org/officeDocument/2006/relationships/hyperlink" Target="http://www.nevo.co.il/case/22852983" TargetMode="External"/><Relationship Id="rId16" Type="http://schemas.openxmlformats.org/officeDocument/2006/relationships/hyperlink" Target="http://www.nevo.co.il/law/70301/jC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92" TargetMode="External"/><Relationship Id="rId19" Type="http://schemas.openxmlformats.org/officeDocument/2006/relationships/hyperlink" Target="http://www.nevo.co.il/law/70301/427" TargetMode="External"/><Relationship Id="rId20" Type="http://schemas.openxmlformats.org/officeDocument/2006/relationships/hyperlink" Target="http://www.nevo.co.il/law/70301/377" TargetMode="External"/><Relationship Id="rId21" Type="http://schemas.openxmlformats.org/officeDocument/2006/relationships/hyperlink" Target="http://www.nevo.co.il/law/70301/31" TargetMode="External"/><Relationship Id="rId22" Type="http://schemas.openxmlformats.org/officeDocument/2006/relationships/hyperlink" Target="http://www.nevo.co.il/law/70301/427.a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382.a" TargetMode="External"/><Relationship Id="rId25" Type="http://schemas.openxmlformats.org/officeDocument/2006/relationships/hyperlink" Target="http://www.nevo.co.il/law/70301/380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/192" TargetMode="External"/><Relationship Id="rId28" Type="http://schemas.openxmlformats.org/officeDocument/2006/relationships/hyperlink" Target="http://www.court.gov.il/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2018-05-01T03:06:00Z</dcterms:created>
  <dc:creator> </dc:creator>
  <dc:description/>
  <cp:keywords/>
  <dc:language>en-IL</dc:language>
  <cp:lastModifiedBy>orly</cp:lastModifiedBy>
  <cp:lastPrinted>2009-02-15T11:12:00Z</cp:lastPrinted>
  <dcterms:modified xsi:type="dcterms:W3CDTF">2018-05-01T03:06:00Z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אנטולי גיקובטי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20349298:2;22852985;22852983</vt:lpwstr>
  </property>
  <property fmtid="{D5CDD505-2E9C-101B-9397-08002B2CF9AE}" pid="9" name="CITY">
    <vt:lpwstr/>
  </property>
  <property fmtid="{D5CDD505-2E9C-101B-9397-08002B2CF9AE}" pid="10" name="DATE">
    <vt:lpwstr>20180429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הנדל;ע' ברון;ג' קרא</vt:lpwstr>
  </property>
  <property fmtid="{D5CDD505-2E9C-101B-9397-08002B2CF9AE}" pid="14" name="LAWLISTTMP1">
    <vt:lpwstr>70301/jC;192:2;427;377;031;427.a;029:2;382.a;380</vt:lpwstr>
  </property>
  <property fmtid="{D5CDD505-2E9C-101B-9397-08002B2CF9AE}" pid="15" name="LAWYER">
    <vt:lpwstr>סיגל בלום;דני בר-דוד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לחומרה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עקרון ההלימה‏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8984;8995;8982;14799</vt:lpwstr>
  </property>
  <property fmtid="{D5CDD505-2E9C-101B-9397-08002B2CF9AE}" pid="59" name="PADIDATE">
    <vt:lpwstr>20180501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5928;5953</vt:lpwstr>
  </property>
  <property fmtid="{D5CDD505-2E9C-101B-9397-08002B2CF9AE}" pid="65" name="PROCYEAR">
    <vt:lpwstr>17;17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410120180429</vt:lpwstr>
  </property>
  <property fmtid="{D5CDD505-2E9C-101B-9397-08002B2CF9AE}" pid="69" name="TYPE_N_DATE">
    <vt:lpwstr>41020180429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