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5932/21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איוון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קורובקוב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מתלוננת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4687" w:type="dxa"/>
        <w:jc w:val="start"/>
        <w:tblInd w:w="63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87"/>
      </w:tblGrid>
      <w:tr>
        <w:trPr/>
        <w:tc>
          <w:tcPr>
            <w:tcW w:w="4687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53291-02-19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15.7.2021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ואגו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אינפלד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חזק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22.06.2022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בועז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קניג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שהם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סולודקין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192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347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381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2001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18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המערער עשה שימוש באמתלה לשם הבאת המתלוננת לדירתו ואז נעל את הדירה וביצע בה מעשים מיניים תוך שימוש באלימות ואיומים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המערער הורשע על פי הודאתו והוא נידון ל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  <w:shd w:fill="FFFFFF" w:val="clear"/>
        </w:rPr>
        <w:t>7.5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שנות מאסר בפועל 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העונש לו עתרה המשיבה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מאסרים על תנאי ופיצוי למתלוננת בסך </w:t>
      </w:r>
      <w:r>
        <w:rPr>
          <w:rFonts w:cs="Times New Roman" w:ascii="Times New Roman" w:hAnsi="Times New Roman"/>
          <w:spacing w:val="0"/>
          <w:szCs w:val="26"/>
          <w:shd w:fill="FFFFFF" w:val="clear"/>
        </w:rPr>
        <w:t>100,000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העליון לא מצא להתערב בעונש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במקרים בהם העונש שהוטל אינו חורג מהרף העליון לגביו הסכימו הצדדים להסדר טיעון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נדרשות נסיבות מיוחדות וחריגות להתערבות ערכאת הערעור בעונש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כזאת לא נמצא בענייננו ואף לא ניכרת סטייה ממדיניות הענישה הנוהגת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דיון פלילי – ערעור – התערבות במידת העונש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דיון פלילי – הסדר טיעון – טווח ענישה מוסכם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עבירות מין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שיקולים לחומרה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התערבות ערכאת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פיצויים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רקע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המתלוננת היא עובדת זרה המטפלת בקשישה ומתגוררת בבניין בו מתגורר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עשה שימוש באמתלה לשם הבאת המתלוננת לדירתו ואז נעל את הדירה וביצע בה מעשים מיניים תוך שימוש באלימות ואיומים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החדיר את איבר מינו לפיה במשך מספר דקות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ובהמשך אף ניסה להחדירו לפי הטבעת שלה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כל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שהותיר חבלות בגופה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הורשע על פי הודאתו בעבירות של מעשה סדום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תקיפה כדי לבצע פשע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מספר 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>);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כליאת שווא ואיומים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מספר 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הרשעתו בעבירות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נידון המערער 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7.5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שנות מאסר לריצוי בפועל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לו עתרה המשיבה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מאסרים על תנאי ופיצוי למתלוננת בסך </w:t>
      </w:r>
      <w:r>
        <w:rPr>
          <w:rFonts w:cs="Times New Roman" w:ascii="Times New Roman" w:hAnsi="Times New Roman"/>
          <w:spacing w:val="0"/>
          <w:szCs w:val="26"/>
        </w:rPr>
        <w:t>100,000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מפי 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 בהסכמת השופטים 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כנפי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שטייניץ 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כבוב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זו דרכה של ערכאת הערעור להתערב במידת העונש שנגזר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במקרים חריגים בהם ניכרת סטייה קיצונית ובולטת ממדיניות הענישה המקובלת בנסיבות דומות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כאשר נפלה על פני הדברים טעות מהותית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הלכה זו מקבלת משנה תוקף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 כבענייננו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בהם העונש שהוטל אינו חורג מהרף העליון לגביו הסכימו הצדדים להסדר טיעון – אז נדרשות נסיבות מיוחדות וחריגות להתערבות מעין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דנא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מיוחדות וחריגות שכאלו – אין בנמצא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לא ניכרת סטייה ממדיניות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דין הערעור להידחות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בחינת העונש לגופו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מלמדת כי הוא הולם את חומרת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המרבי בגין עבירת מעשה סדום בה הורשע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הוא כדין מעשה אונס – קרי </w:t>
      </w:r>
      <w:r>
        <w:rPr>
          <w:rFonts w:cs="Times New Roman" w:ascii="Times New Roman" w:hAnsi="Times New Roman"/>
          <w:spacing w:val="0"/>
          <w:szCs w:val="26"/>
        </w:rPr>
        <w:t>16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זה משקף את החומרה הרבה שהמחוקק ראה לייחס לעבירה דנא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פוגעת לא רק בגופה הפיזי של קרבן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גם בנפשה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כבודה וחירותה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רק לאחרונה ציין השופט אלרון 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מדיניות הענישה בעבירות מין צריכה להיות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ולבטא הן את האינטרס הציבורי בהרתעתם של עברייני מין פוטנציאליים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והן את הנזקים המשמעותיים הנגרמים לגופם ולנפשם של נפגעי עבירות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>".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מעשיו של המערער חמורים וקשים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המאסר בפועל שהוטל על המערער אינו חמור כלל ועיקר והולם את נסיבותיהן החמורות של ביצוע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קבע כי מתחם העונש ההולם במקרה זה נע בין </w:t>
      </w:r>
      <w:r>
        <w:rPr>
          <w:rFonts w:cs="Times New Roman" w:ascii="Times New Roman" w:hAnsi="Times New Roman"/>
          <w:spacing w:val="0"/>
          <w:szCs w:val="26"/>
        </w:rPr>
        <w:t>12-7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כאשר עונשו מוקם קרוב עד מאד לתחתית המתחם – </w:t>
      </w:r>
      <w:r>
        <w:rPr>
          <w:rFonts w:cs="Times New Roman" w:ascii="Times New Roman" w:hAnsi="Times New Roman"/>
          <w:spacing w:val="0"/>
          <w:szCs w:val="26"/>
        </w:rPr>
        <w:t>7.5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עיון בגזר הדין מעלה כי נשקלו כנדרש כלל השיקולים לזכות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הודאתו בעובדות 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חייו הקשות ואף קשייו בין כותלי בית הסוהר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אלו אינם מצדיקים הקלה נוספת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המסכת העובדתית המתוארת בכתב האישום מלמדת כי הסכמת המשיבה לעתור 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7.5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הקלה עם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כן נדחו טענות המערער לעניין גובה הפיצוי למתלוננת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הערעור בשיעור הפיצוי תיעשה במקרים חריגים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בהם ניכרת חריגה קיצונית משיעור הפיצוי הראוי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בפסיקה נקבע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הטלת פיצוי לקרבן העבירה אינה תלויה ביכולותיו הכלכליות של הנאשם וזה ייפסק גם כאשר אין ודאות כי הנאשם יוכל לעמוד בתשלומו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בעת קביעת גובה הפיצוי לקרבן במסגרת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לא יתחשב ביכולתו הכלכלית של הנאשם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אלא יפסוק על פי הנזק והסבל שנגרמו לניזוק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מהצהרת נפגעת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עולה תמונה עגומה של הנזקים הבריאותיים והנפשיים שנגרמו למתלוננת בעקבות מעשיו החמורים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המתוארות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סכום הפיצוי שנפסק הוא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ואינו מצדיק את התערבות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לפנינו ערעור על חומרת העונש שהושת על המערער בגזר דינו של בית המשפט המחוזי בבאר שבע </w:t>
      </w:r>
      <w:r>
        <w:rPr>
          <w:rtl w:val="true"/>
        </w:rPr>
        <w:t>(</w:t>
      </w:r>
      <w:r>
        <w:rPr>
          <w:rtl w:val="true"/>
        </w:rPr>
        <w:t xml:space="preserve">סגן הנשיאה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ואגו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אינפלד</w:t>
      </w:r>
      <w:r>
        <w:rPr>
          <w:rFonts w:ascii="Century" w:hAnsi="Century" w:cs="Century"/>
          <w:sz w:val="22"/>
          <w:sz w:val="22"/>
          <w:rtl w:val="true"/>
        </w:rPr>
        <w:t xml:space="preserve"> והשופט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11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53291-02-19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15.7.2021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הורשע על פי הודאתו בעבירות של מעשה סדום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13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 xml:space="preserve">תקיפה כדי לבצע פשע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מספר עבירות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15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381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1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כליאת שווא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16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377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ואיומים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מספר עבירות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17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192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בגין הרשעתו בעבירות אלו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>נידון המערער ל</w:t>
      </w:r>
      <w:r>
        <w:rPr>
          <w:rtl w:val="true"/>
        </w:rPr>
        <w:t>-</w:t>
      </w:r>
      <w:r>
        <w:rPr/>
        <w:t>7.5</w:t>
      </w:r>
      <w:r>
        <w:rPr>
          <w:rtl w:val="true"/>
        </w:rPr>
        <w:t xml:space="preserve"> </w:t>
      </w:r>
      <w:r>
        <w:rPr>
          <w:rtl w:val="true"/>
        </w:rPr>
        <w:t>שנות מאסר לריצוי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spacing w:before="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כמתואר בעובדות כתב האישום</w:t>
      </w:r>
      <w:r>
        <w:rPr>
          <w:rtl w:val="true"/>
        </w:rPr>
        <w:t xml:space="preserve">, </w:t>
      </w:r>
      <w:r>
        <w:rPr>
          <w:rtl w:val="true"/>
        </w:rPr>
        <w:t>בין המערער למתלוננת</w:t>
      </w:r>
      <w:r>
        <w:rPr>
          <w:rtl w:val="true"/>
        </w:rPr>
        <w:t xml:space="preserve">, </w:t>
      </w:r>
      <w:r>
        <w:rPr>
          <w:rtl w:val="true"/>
        </w:rPr>
        <w:t>תושבת מולדובה</w:t>
      </w:r>
      <w:r>
        <w:rPr>
          <w:rtl w:val="true"/>
        </w:rPr>
        <w:t xml:space="preserve">, </w:t>
      </w:r>
      <w:r>
        <w:rPr>
          <w:rtl w:val="true"/>
        </w:rPr>
        <w:t>קיימת היכרות מוקדמת על רקע מגוריהם באותו בניין</w:t>
      </w:r>
      <w:r>
        <w:rPr>
          <w:rtl w:val="true"/>
        </w:rPr>
        <w:t xml:space="preserve">. </w:t>
      </w:r>
      <w:r>
        <w:rPr>
          <w:rtl w:val="true"/>
        </w:rPr>
        <w:t>המתלוננת התגוררה בדירה עם קשישה בה טיפלה</w:t>
      </w:r>
      <w:r>
        <w:rPr>
          <w:rtl w:val="true"/>
        </w:rPr>
        <w:t xml:space="preserve">, </w:t>
      </w:r>
      <w:r>
        <w:rPr>
          <w:rtl w:val="true"/>
        </w:rPr>
        <w:t>והמערער ואשתו התגוררו בשכנות</w:t>
      </w:r>
      <w:r>
        <w:rPr>
          <w:rtl w:val="true"/>
        </w:rPr>
        <w:t xml:space="preserve">, </w:t>
      </w:r>
      <w:r>
        <w:rPr>
          <w:rtl w:val="true"/>
        </w:rPr>
        <w:t>בדירה אחרת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8.2.2019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הבוקר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לבניין</w:t>
      </w:r>
      <w:r>
        <w:rPr>
          <w:rtl w:val="true"/>
        </w:rPr>
        <w:t xml:space="preserve">, </w:t>
      </w:r>
      <w:r>
        <w:rPr>
          <w:rtl w:val="true"/>
        </w:rPr>
        <w:t>וסיפר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לדירתו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18:30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כביסה</w:t>
      </w:r>
      <w:r>
        <w:rPr>
          <w:rtl w:val="true"/>
        </w:rPr>
        <w:t xml:space="preserve">. </w:t>
      </w:r>
      <w:r>
        <w:rPr>
          <w:spacing w:val="8"/>
          <w:rtl w:val="true"/>
        </w:rPr>
        <w:t>המתלוננת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נענתה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לבקשתו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ולאחר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ששיתף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כי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אינו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יודע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כיצד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להפעיל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מכונת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כביסה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–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הציעה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לעזור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לו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עלתה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לביתו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והפעילה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את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המכונה</w:t>
      </w:r>
      <w:r>
        <w:rPr>
          <w:spacing w:val="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כעס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; </w:t>
      </w:r>
      <w:r>
        <w:rPr>
          <w:rtl w:val="true"/>
        </w:rPr>
        <w:t>נעל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; </w:t>
      </w:r>
      <w:r>
        <w:rPr>
          <w:rtl w:val="true"/>
        </w:rPr>
        <w:t>ובתגובה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מטפלת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ולפתע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בשערותיה</w:t>
      </w:r>
      <w:r>
        <w:rPr>
          <w:rtl w:val="true"/>
        </w:rPr>
        <w:t xml:space="preserve">; </w:t>
      </w:r>
      <w:r>
        <w:rPr>
          <w:rtl w:val="true"/>
        </w:rPr>
        <w:t>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;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הכביסה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".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הסלון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זינק</w:t>
      </w:r>
      <w:r>
        <w:rPr>
          <w:rtl w:val="true"/>
        </w:rPr>
        <w:t xml:space="preserve">" </w:t>
      </w:r>
      <w:r>
        <w:rPr>
          <w:rtl w:val="true"/>
        </w:rPr>
        <w:t>לעברה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הקיר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בשערותיה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ומתחננת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שישחררה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משערותיה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</w:t>
      </w:r>
      <w:r>
        <w:rPr>
          <w:rtl w:val="true"/>
        </w:rPr>
        <w:t xml:space="preserve">" </w:t>
      </w:r>
      <w:r>
        <w:rPr>
          <w:rtl w:val="true"/>
        </w:rPr>
        <w:t>ולהוריד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מכנסיה</w:t>
      </w:r>
      <w:r>
        <w:rPr>
          <w:rtl w:val="true"/>
        </w:rPr>
        <w:t xml:space="preserve">. </w:t>
      </w:r>
      <w:r>
        <w:rPr>
          <w:rtl w:val="true"/>
        </w:rPr>
        <w:t>משסירבה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מופשלים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ובשיער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ראשה</w:t>
      </w:r>
      <w:r>
        <w:rPr>
          <w:rtl w:val="true"/>
        </w:rPr>
        <w:t xml:space="preserve">, </w:t>
      </w:r>
      <w:r>
        <w:rPr>
          <w:rtl w:val="true"/>
        </w:rPr>
        <w:t>דחף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. </w:t>
      </w:r>
      <w:r>
        <w:rPr>
          <w:rtl w:val="true"/>
        </w:rPr>
        <w:t>משהמתלוננת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תפתחי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הפה</w:t>
      </w:r>
      <w:r>
        <w:rPr>
          <w:rtl w:val="true"/>
        </w:rPr>
        <w:t xml:space="preserve">",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פיה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ידיה</w:t>
      </w:r>
      <w:r>
        <w:rPr>
          <w:rtl w:val="true"/>
        </w:rPr>
        <w:t xml:space="preserve">, </w:t>
      </w:r>
      <w:r>
        <w:rPr>
          <w:rtl w:val="true"/>
        </w:rPr>
        <w:t>והתחננה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ישחררה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,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למקלחת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, "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יכאב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לסלון</w:t>
      </w:r>
      <w:r>
        <w:rPr>
          <w:rtl w:val="true"/>
        </w:rPr>
        <w:t xml:space="preserve">; </w:t>
      </w:r>
      <w:r>
        <w:rPr>
          <w:rtl w:val="true"/>
        </w:rPr>
        <w:t>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הספה</w:t>
      </w:r>
      <w:r>
        <w:rPr>
          <w:rtl w:val="true"/>
        </w:rPr>
        <w:t xml:space="preserve">; </w:t>
      </w:r>
      <w:r>
        <w:rPr>
          <w:rtl w:val="true"/>
        </w:rPr>
        <w:t>הפשיל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להסתובב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בטנה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וצעק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קונדומים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מלכלכת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ישחררה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הסכימה</w:t>
      </w:r>
      <w:r>
        <w:rPr>
          <w:rtl w:val="true"/>
        </w:rPr>
        <w:t xml:space="preserve">" </w:t>
      </w:r>
      <w:r>
        <w:rPr>
          <w:rtl w:val="true"/>
        </w:rPr>
        <w:t>וביקשה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לאשתו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נקש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באומרו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מחכה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שהבטיחה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וברגלה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spacing w:before="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בתשובתו לכתב האישום</w:t>
      </w:r>
      <w:r>
        <w:rPr>
          <w:rtl w:val="true"/>
        </w:rPr>
        <w:t xml:space="preserve">, </w:t>
      </w:r>
      <w:r>
        <w:rPr>
          <w:rtl w:val="true"/>
        </w:rPr>
        <w:t>המערער כפר בעובדותיו ובעבירות שיוחסו לו</w:t>
      </w:r>
      <w:r>
        <w:rPr>
          <w:rtl w:val="true"/>
        </w:rPr>
        <w:t xml:space="preserve">, </w:t>
      </w:r>
      <w:r>
        <w:rPr>
          <w:rtl w:val="true"/>
        </w:rPr>
        <w:t>ובהתאם התקיים הליך הוכחות במסגרתו העידה המתלוננת</w:t>
      </w:r>
      <w:r>
        <w:rPr>
          <w:rtl w:val="true"/>
        </w:rPr>
        <w:t xml:space="preserve">. </w:t>
      </w:r>
      <w:r>
        <w:rPr>
          <w:rtl w:val="true"/>
        </w:rPr>
        <w:t>במהלך שמיעת פרשת ההגנה ובעקבות הליך גישור</w:t>
      </w:r>
      <w:r>
        <w:rPr>
          <w:rtl w:val="true"/>
        </w:rPr>
        <w:t xml:space="preserve">, </w:t>
      </w:r>
      <w:r>
        <w:rPr>
          <w:rtl w:val="true"/>
        </w:rPr>
        <w:t>הצדדים הגיעו להסדר טיעון בגדרו הוסכם כי המערער יחזור בו מכפירתו ויודה בעובדות כתב האישום</w:t>
      </w:r>
      <w:r>
        <w:rPr>
          <w:rtl w:val="true"/>
        </w:rPr>
        <w:t xml:space="preserve">, </w:t>
      </w:r>
      <w:r>
        <w:rPr>
          <w:rtl w:val="true"/>
        </w:rPr>
        <w:t>ללא שינוי כלשהו</w:t>
      </w:r>
      <w:r>
        <w:rPr>
          <w:rtl w:val="true"/>
        </w:rPr>
        <w:t xml:space="preserve">. </w:t>
      </w:r>
      <w:r>
        <w:rPr>
          <w:rtl w:val="true"/>
        </w:rPr>
        <w:t xml:space="preserve">כן הוסכם כי המשיבה תעתור לעונש של מאסר בפועל למשך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 ומחצה</w:t>
      </w:r>
      <w:r>
        <w:rPr>
          <w:rtl w:val="true"/>
        </w:rPr>
        <w:t xml:space="preserve">, </w:t>
      </w:r>
      <w:r>
        <w:rPr>
          <w:rtl w:val="true"/>
        </w:rPr>
        <w:t>מאסר על תנאי ופיצוי למתלוננת</w:t>
      </w:r>
      <w:r>
        <w:rPr>
          <w:rtl w:val="true"/>
        </w:rPr>
        <w:t xml:space="preserve">, </w:t>
      </w:r>
      <w:r>
        <w:rPr>
          <w:rtl w:val="true"/>
        </w:rPr>
        <w:t>בעוד המערער יהא חופשי בטיעוניו לעונש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המערער הורשע על פי הודאתו בעבירות שיוחסו לו בכתב האישום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בגזר הדין</w:t>
      </w:r>
      <w:r>
        <w:rPr>
          <w:rtl w:val="true"/>
        </w:rPr>
        <w:t xml:space="preserve">, </w:t>
      </w:r>
      <w:r>
        <w:rPr>
          <w:rtl w:val="true"/>
        </w:rPr>
        <w:t>עמד על עוצמת הפגיעה הגבוהה בערכים החברתיים המוגנים בגין עבירות מין המשלבות אלימות פיזית כלפי הקורבן</w:t>
      </w:r>
      <w:r>
        <w:rPr>
          <w:rtl w:val="true"/>
        </w:rPr>
        <w:t xml:space="preserve">, </w:t>
      </w:r>
      <w:r>
        <w:rPr>
          <w:rtl w:val="true"/>
        </w:rPr>
        <w:t>ועל נסיבותיהן החמורות של ביצוע העבירות כבמקרה דנן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המערער ניצל את היכרותו הקודמת עם המתלוננת</w:t>
      </w:r>
      <w:r>
        <w:rPr>
          <w:rtl w:val="true"/>
        </w:rPr>
        <w:t xml:space="preserve">, </w:t>
      </w:r>
      <w:r>
        <w:rPr>
          <w:rtl w:val="true"/>
        </w:rPr>
        <w:t>השתמש בה לסיפוק יצריו ותאוותו המינית</w:t>
      </w:r>
      <w:r>
        <w:rPr>
          <w:rtl w:val="true"/>
        </w:rPr>
        <w:t xml:space="preserve">, </w:t>
      </w:r>
      <w:r>
        <w:rPr>
          <w:rtl w:val="true"/>
        </w:rPr>
        <w:t>תוך השפלתה ואיומים עליה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כאשר היא מוחפצת לחלוטין ככלי בידיו ובהתעלם מרצונותיה ומתחינותיה להשתחרר מידיו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נכללו בנסיבות ביצוע העבירות – התכנון שקדם להן</w:t>
      </w:r>
      <w:r>
        <w:rPr>
          <w:rtl w:val="true"/>
        </w:rPr>
        <w:t xml:space="preserve">, </w:t>
      </w:r>
      <w:r>
        <w:rPr>
          <w:rtl w:val="true"/>
        </w:rPr>
        <w:t>ובגדר זאת האופן בו המערער עשה שימוש באמתלה לשם הבאת המתלוננת לדירתו</w:t>
      </w:r>
      <w:r>
        <w:rPr>
          <w:rtl w:val="true"/>
        </w:rPr>
        <w:t xml:space="preserve">; </w:t>
      </w:r>
      <w:r>
        <w:rPr>
          <w:rtl w:val="true"/>
        </w:rPr>
        <w:t>הנזקים הפיזיים והנפשיים שהסב לה במעשיו</w:t>
      </w:r>
      <w:r>
        <w:rPr>
          <w:rtl w:val="true"/>
        </w:rPr>
        <w:t xml:space="preserve">, </w:t>
      </w:r>
      <w:r>
        <w:rPr>
          <w:rtl w:val="true"/>
        </w:rPr>
        <w:t>תוך ניצול מעמדה המוחלש כעובדת זרה בישראל</w:t>
      </w:r>
      <w:r>
        <w:rPr>
          <w:rtl w:val="true"/>
        </w:rPr>
        <w:t xml:space="preserve">; </w:t>
      </w:r>
      <w:r>
        <w:rPr>
          <w:rtl w:val="true"/>
        </w:rPr>
        <w:t>וכן הפגיעה בזכותה להרגיש ביטחון בתוככי דירתה ובניין מגוריה</w:t>
      </w:r>
      <w:r>
        <w:rPr>
          <w:rtl w:val="true"/>
        </w:rPr>
        <w:t xml:space="preserve">. </w:t>
      </w: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ובהתחשב במדיניות הענישה שננקטה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נקבע כי מתחם העונש ההולם נע בין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לבין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בנוסף להטלת עונש מאסר מותנה ופיצוי כספי לקורבן העבירה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בגזירת העונש בגדרי המתחם</w:t>
      </w:r>
      <w:r>
        <w:rPr>
          <w:rtl w:val="true"/>
        </w:rPr>
        <w:t xml:space="preserve">, </w:t>
      </w:r>
      <w:r>
        <w:rPr>
          <w:rtl w:val="true"/>
        </w:rPr>
        <w:t>בית המשפט המחוזי נתן דעתו במסגרת שיקוליו לעובדה כי המערער נעדר</w:t>
      </w:r>
      <w:r>
        <w:rPr>
          <w:sz w:val="32"/>
          <w:sz w:val="32"/>
          <w:szCs w:val="36"/>
          <w:rtl w:val="true"/>
        </w:rPr>
        <w:t xml:space="preserve"> </w:t>
      </w:r>
      <w:r>
        <w:rPr>
          <w:rtl w:val="true"/>
        </w:rPr>
        <w:t>עבר</w:t>
      </w:r>
      <w:r>
        <w:rPr>
          <w:sz w:val="32"/>
          <w:sz w:val="32"/>
          <w:szCs w:val="36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להודאתו בכתב האישום ככתבו וכלשונו</w:t>
      </w:r>
      <w:r>
        <w:rPr>
          <w:rtl w:val="true"/>
        </w:rPr>
        <w:t xml:space="preserve">, </w:t>
      </w:r>
      <w:r>
        <w:rPr>
          <w:rtl w:val="true"/>
        </w:rPr>
        <w:t>ולנטילת האחריות על מעשיו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 הגם שהודאתו ניתנה בשלב מאוחר של המשפט ולא הביאה לחיסכון בזמן שיפוטי</w:t>
      </w:r>
      <w:r>
        <w:rPr>
          <w:rtl w:val="true"/>
        </w:rPr>
        <w:t xml:space="preserve">, </w:t>
      </w:r>
      <w:r>
        <w:rPr>
          <w:rtl w:val="true"/>
        </w:rPr>
        <w:t>יש לה נפקות מסוימת לשיקומה של המתלוננת</w:t>
      </w:r>
      <w:r>
        <w:rPr>
          <w:rtl w:val="true"/>
        </w:rPr>
        <w:t xml:space="preserve">, </w:t>
      </w:r>
      <w:r>
        <w:rPr>
          <w:rtl w:val="true"/>
        </w:rPr>
        <w:t>אשר זוכה להכרה כי אכן נפלה קורבן לעבירות הקשות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spacing w:val="8"/>
          <w:rtl w:val="true"/>
        </w:rPr>
        <w:t>אשר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לנסיבותיו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האישיות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המערער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–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בית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המשפט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המחוזי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התחשב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ברקע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המשפחתי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הקשה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גדל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ללא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דמות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אב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בחייו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וכן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שהייתו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בבית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יתומים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שנות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ילדות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spacing w:val="8"/>
          <w:rtl w:val="true"/>
        </w:rPr>
        <w:tab/>
      </w:r>
      <w:r>
        <w:rPr>
          <w:spacing w:val="8"/>
          <w:rtl w:val="true"/>
        </w:rPr>
        <w:t>בית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המשפט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המחוזי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הוסיף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וציין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כי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הוא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מוצא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ממש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בדברי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בא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כוח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מכביד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" </w:t>
      </w:r>
      <w:r>
        <w:rPr>
          <w:rtl w:val="true"/>
        </w:rPr>
        <w:t>כלשון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7.5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הממוקם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המתבקשת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ומידתית</w:t>
      </w:r>
      <w:r>
        <w:rPr>
          <w:rtl w:val="true"/>
        </w:rPr>
        <w:t xml:space="preserve">"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לכבדה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spacing w:val="4"/>
          <w:rtl w:val="true"/>
        </w:rPr>
        <w:t>לאור האמור</w:t>
      </w:r>
      <w:r>
        <w:rPr>
          <w:spacing w:val="4"/>
          <w:rtl w:val="true"/>
        </w:rPr>
        <w:t xml:space="preserve">, </w:t>
      </w:r>
      <w:r>
        <w:rPr>
          <w:spacing w:val="4"/>
          <w:rtl w:val="true"/>
        </w:rPr>
        <w:t xml:space="preserve">נגזרו על המערער </w:t>
      </w:r>
      <w:r>
        <w:rPr>
          <w:spacing w:val="4"/>
        </w:rPr>
        <w:t>7.5</w:t>
      </w:r>
      <w:r>
        <w:rPr>
          <w:spacing w:val="4"/>
          <w:rtl w:val="true"/>
        </w:rPr>
        <w:t xml:space="preserve"> </w:t>
      </w:r>
      <w:r>
        <w:rPr>
          <w:spacing w:val="4"/>
          <w:rtl w:val="true"/>
        </w:rPr>
        <w:t>שנות מאסר בפועל בניכוי ימי מעצרו</w:t>
      </w:r>
      <w:r>
        <w:rPr>
          <w:spacing w:val="4"/>
          <w:rtl w:val="true"/>
        </w:rPr>
        <w:t xml:space="preserve">; </w:t>
      </w:r>
      <w:r>
        <w:rPr>
          <w:spacing w:val="4"/>
        </w:rPr>
        <w:t>12</w:t>
      </w:r>
      <w:r>
        <w:rPr>
          <w:spacing w:val="4"/>
          <w:rtl w:val="true"/>
        </w:rPr>
        <w:t xml:space="preserve"> </w:t>
      </w:r>
      <w:r>
        <w:rPr>
          <w:rtl w:val="true"/>
        </w:rPr>
        <w:t>חודשי מאסר על תנאי לבל יעבור עבירת מין או אלימות מסוג פשע</w:t>
      </w:r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 תנאי לבל יעבור עבירת כליאת שווא או איומים</w:t>
      </w:r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 xml:space="preserve">ופיצוי למתלוננת בסך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spacing w:before="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הערעור שלפנינו מופנה כלפי חומרת העונש</w:t>
      </w:r>
      <w:r>
        <w:rPr>
          <w:rtl w:val="true"/>
        </w:rPr>
        <w:t xml:space="preserve">, </w:t>
      </w:r>
      <w:r>
        <w:rPr>
          <w:rtl w:val="true"/>
        </w:rPr>
        <w:t>הן באשר לתקופת המאסר בפועל והן באשר לגובה הפיצוי למתלוננת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נטען כי עונש המאסר שהושת על המערער מחמיר עמו ואינו משקלל כראוי את נסיבותיו האישיות</w:t>
      </w:r>
      <w:r>
        <w:rPr>
          <w:rtl w:val="true"/>
        </w:rPr>
        <w:t xml:space="preserve">, </w:t>
      </w:r>
      <w:r>
        <w:rPr>
          <w:rtl w:val="true"/>
        </w:rPr>
        <w:t>ובכלל זה – נסיבות חייו הקשות</w:t>
      </w:r>
      <w:r>
        <w:rPr>
          <w:rtl w:val="true"/>
        </w:rPr>
        <w:t xml:space="preserve">; </w:t>
      </w:r>
      <w:r>
        <w:rPr>
          <w:rtl w:val="true"/>
        </w:rPr>
        <w:t>נטילת אחריות על מעשיו</w:t>
      </w:r>
      <w:r>
        <w:rPr>
          <w:rtl w:val="true"/>
        </w:rPr>
        <w:t xml:space="preserve">; </w:t>
      </w:r>
      <w:r>
        <w:rPr>
          <w:rtl w:val="true"/>
        </w:rPr>
        <w:t>התנצלותו לפני המתלוננת</w:t>
      </w:r>
      <w:r>
        <w:rPr>
          <w:rtl w:val="true"/>
        </w:rPr>
        <w:t xml:space="preserve">; </w:t>
      </w:r>
      <w:r>
        <w:rPr>
          <w:rtl w:val="true"/>
        </w:rPr>
        <w:t>וכן היותו בודד בארץ אשר אינו דובר את השפה העברית כלל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בית המשפט קמא שגה בקובעו את מתחם העונש ההולם</w:t>
      </w:r>
      <w:r>
        <w:rPr>
          <w:rtl w:val="true"/>
        </w:rPr>
        <w:t xml:space="preserve">, </w:t>
      </w:r>
      <w:r>
        <w:rPr>
          <w:rtl w:val="true"/>
        </w:rPr>
        <w:t>ובפרט משלא ציין בו פסיקה הנוגעת למדיניות הענישה הנוהגת במקרים דומים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עיון בפסיקה מלמד כי בגין ביצוע עבירות כגון דא</w:t>
      </w:r>
      <w:r>
        <w:rPr>
          <w:rtl w:val="true"/>
        </w:rPr>
        <w:t xml:space="preserve">, </w:t>
      </w:r>
      <w:r>
        <w:rPr>
          <w:rtl w:val="true"/>
        </w:rPr>
        <w:t>נקבעו מתחמי ענישה מקלים יותר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המערער הוסיף וטען בדבר גובה הפיצוי שהושת עליו לשלם למתלוננת – הודגש כי המדובר בסכום גבוה שאין ידו משגת אותו</w:t>
      </w:r>
      <w:r>
        <w:rPr>
          <w:rtl w:val="true"/>
        </w:rPr>
        <w:t xml:space="preserve">, </w:t>
      </w:r>
      <w:r>
        <w:rPr>
          <w:rtl w:val="true"/>
        </w:rPr>
        <w:t>וכי היה על בית המשפט קמא להתחשב בעונש המאסר הממושך שנגזר עליו בקובעו את סכום הפיצוי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בדיון שהתקיים</w:t>
      </w:r>
      <w:r>
        <w:rPr>
          <w:rtl w:val="true"/>
        </w:rPr>
        <w:t xml:space="preserve">, </w:t>
      </w:r>
      <w:r>
        <w:rPr>
          <w:rtl w:val="true"/>
        </w:rPr>
        <w:t>בא כוח המערער שב על עיקר טענותיו שנכללו בעיקרי הערעור</w:t>
      </w:r>
      <w:r>
        <w:rPr>
          <w:rtl w:val="true"/>
        </w:rPr>
        <w:t xml:space="preserve">, </w:t>
      </w:r>
      <w:r>
        <w:rPr>
          <w:rtl w:val="true"/>
        </w:rPr>
        <w:t>והדגיש כי המדובר באירוע חד פעמי אשר אמנם נסיבותיו אינן פשוטות</w:t>
      </w:r>
      <w:r>
        <w:rPr>
          <w:rtl w:val="true"/>
        </w:rPr>
        <w:t xml:space="preserve">, </w:t>
      </w:r>
      <w:r>
        <w:rPr>
          <w:rtl w:val="true"/>
        </w:rPr>
        <w:t>אולם אינן מצדיקות את עונש המאסר בפועל שהוטל עליו לריצוי מאחורי סורג ובריח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 xml:space="preserve">עונש המאסר ההולם במקרה זה נע 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6.5</w:t>
      </w:r>
      <w:r>
        <w:rPr>
          <w:rtl w:val="true"/>
        </w:rPr>
        <w:t xml:space="preserve"> </w:t>
      </w:r>
      <w:r>
        <w:rPr>
          <w:spacing w:val="8"/>
          <w:rtl w:val="true"/>
        </w:rPr>
        <w:t>שנים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ולצורך תימוכין בעמדתו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הפנה</w:t>
      </w:r>
      <w:r>
        <w:rPr>
          <w:rtl w:val="true"/>
        </w:rPr>
        <w:t xml:space="preserve"> לפסקי דין שונים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סמכה את ידיה על גזר דינו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טענה כי אין עילה להתערב בעונש המאסר בפועל שהוטל על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בהדגישה כי מתחם העונש ההולם במקרה זה נע בין </w:t>
      </w:r>
      <w:r>
        <w:rPr/>
        <w:t>12-7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ואולם היא עתרה בעניינו לעונש מאסר בפועל למשך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 ומחצה</w:t>
      </w:r>
      <w:r>
        <w:rPr>
          <w:rtl w:val="true"/>
        </w:rPr>
        <w:t xml:space="preserve">, </w:t>
      </w:r>
      <w:r>
        <w:rPr>
          <w:rtl w:val="true"/>
        </w:rPr>
        <w:t>ובכך עשתה עמו חסד</w:t>
      </w:r>
      <w:r>
        <w:rPr>
          <w:rtl w:val="true"/>
        </w:rPr>
        <w:t xml:space="preserve">. </w:t>
      </w:r>
      <w:r>
        <w:rPr>
          <w:rtl w:val="true"/>
        </w:rPr>
        <w:t>עוד עמדה המשיבה על חומרת ביצוע העבירות</w:t>
      </w:r>
      <w:r>
        <w:rPr>
          <w:rtl w:val="true"/>
        </w:rPr>
        <w:t xml:space="preserve">, </w:t>
      </w:r>
      <w:r>
        <w:rPr>
          <w:rtl w:val="true"/>
        </w:rPr>
        <w:t>לרבות האלימות הפיזית והאיומים שנלוו להן</w:t>
      </w:r>
      <w:r>
        <w:rPr>
          <w:rtl w:val="true"/>
        </w:rPr>
        <w:t xml:space="preserve">, </w:t>
      </w:r>
      <w:r>
        <w:rPr>
          <w:rtl w:val="true"/>
        </w:rPr>
        <w:t>החבלות שהסב למתלוננת ומעשה הסדום האוראלי שביצע בה במשך מספר דקות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מיכולותיו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spacing w:before="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נקודת המוצא לדיון</w:t>
      </w:r>
      <w:r>
        <w:rPr>
          <w:rtl w:val="true"/>
        </w:rPr>
        <w:t xml:space="preserve">, </w:t>
      </w:r>
      <w:r>
        <w:rPr>
          <w:rtl w:val="true"/>
        </w:rPr>
        <w:t>היא כי אין זו דרכה של ערכאת הערעור להתערב במידת העונש שנגזר על</w:t>
      </w:r>
      <w:r>
        <w:rPr>
          <w:rtl w:val="true"/>
        </w:rPr>
        <w:t>-</w:t>
      </w:r>
      <w:r>
        <w:rPr>
          <w:rtl w:val="true"/>
        </w:rPr>
        <w:t>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חריגים בהם ניכרת סטייה קיצונית ובולטת ממדיניות הענישה המקובלת בנסיבות דומות</w:t>
      </w:r>
      <w:r>
        <w:rPr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או כאשר נפלה על פני הדברים טעות מהותית בגזר הדין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0"/>
            <w:u w:val="single"/>
          </w:rPr>
          <w:t>7049/20</w:t>
        </w:r>
      </w:hyperlink>
      <w:r>
        <w:rPr>
          <w:spacing w:val="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אלטורה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pacing w:val="0"/>
          <w:rtl w:val="true"/>
        </w:rPr>
        <w:t xml:space="preserve">, </w:t>
      </w:r>
      <w:r>
        <w:rPr>
          <w:spacing w:val="0"/>
          <w:rtl w:val="true"/>
        </w:rPr>
        <w:t xml:space="preserve">פסקה </w:t>
      </w:r>
      <w:r>
        <w:rPr>
          <w:spacing w:val="0"/>
        </w:rPr>
        <w:t>36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26.6.2022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1222/22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נאצר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23.6.2022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הלכה זו מקבלת משנה תוקף</w:t>
      </w:r>
      <w:r>
        <w:rPr>
          <w:rtl w:val="true"/>
        </w:rPr>
        <w:t xml:space="preserve">, </w:t>
      </w:r>
      <w:r>
        <w:rPr>
          <w:rtl w:val="true"/>
        </w:rPr>
        <w:t xml:space="preserve">במקרים בהם העונש שהוטל אינו חורג מהרף העליון לגביו הסכימו הצדדים להסדר טיעון – אז נדרשות נסיבות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וחריגות</w:t>
      </w:r>
      <w:r>
        <w:rPr>
          <w:rtl w:val="true"/>
        </w:rPr>
        <w:t xml:space="preserve"> להתערבות מעין זו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9048/11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מוחמד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24.5.2012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6853/17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6.3.2018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בנמצא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בחינת העונש לגופו</w:t>
      </w:r>
      <w:r>
        <w:rPr>
          <w:rtl w:val="true"/>
        </w:rPr>
        <w:t xml:space="preserve">, </w:t>
      </w:r>
      <w:r>
        <w:rPr>
          <w:rtl w:val="true"/>
        </w:rPr>
        <w:t>מלמדת כי הוא הולם את חומרת מעשיו</w:t>
      </w:r>
      <w:r>
        <w:rPr>
          <w:rtl w:val="true"/>
        </w:rPr>
        <w:t xml:space="preserve">. </w:t>
      </w:r>
      <w:r>
        <w:rPr>
          <w:rtl w:val="true"/>
        </w:rPr>
        <w:t>העונש המרבי בגין עבירת מעשה סדום בה הורשע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הוא כדין מעשה אונס – קרי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</w:t>
      </w:r>
      <w:r>
        <w:rPr>
          <w:rtl w:val="true"/>
        </w:rPr>
        <w:t>(</w:t>
      </w:r>
      <w:hyperlink r:id="rId22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3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עונש זה משקף את החומרה הרבה שהמחוקק ראה לייחס לעבירה דנא</w:t>
      </w:r>
      <w:r>
        <w:rPr>
          <w:rtl w:val="true"/>
        </w:rPr>
        <w:t xml:space="preserve">, </w:t>
      </w:r>
      <w:r>
        <w:rPr>
          <w:rtl w:val="true"/>
        </w:rPr>
        <w:t>אשר פוגעת לא רק בגופה הפיזי של קרבן העבירה</w:t>
      </w:r>
      <w:r>
        <w:rPr>
          <w:rtl w:val="true"/>
        </w:rPr>
        <w:t xml:space="preserve">, </w:t>
      </w:r>
      <w:r>
        <w:rPr>
          <w:rtl w:val="true"/>
        </w:rPr>
        <w:t>אלא גם בנפשה</w:t>
      </w:r>
      <w:r>
        <w:rPr>
          <w:rtl w:val="true"/>
        </w:rPr>
        <w:t xml:space="preserve">, </w:t>
      </w:r>
      <w:r>
        <w:rPr>
          <w:rtl w:val="true"/>
        </w:rPr>
        <w:t xml:space="preserve">כבודה וחירותה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701/06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4.7.2007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רק לאחרונה ציינתי במקרה אחר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ולבטא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בהרתעתם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ולנפשם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" 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4124/21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רימוני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1.6.2022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>).</w:t>
      </w:r>
    </w:p>
    <w:p>
      <w:pPr>
        <w:pStyle w:val="Ruller4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מעשיו של המערער חמורים וקשים ביותר</w:t>
      </w:r>
      <w:r>
        <w:rPr>
          <w:rtl w:val="true"/>
        </w:rPr>
        <w:t xml:space="preserve">. </w:t>
      </w:r>
      <w:r>
        <w:rPr>
          <w:rtl w:val="true"/>
        </w:rPr>
        <w:t>תחילת האירוע בתכנון מוקדם שהתבטא בהצגת אמתלה בפני המתלוננת בבקשתו ממנה כי תסייע לו</w:t>
      </w:r>
      <w:r>
        <w:rPr>
          <w:rtl w:val="true"/>
        </w:rPr>
        <w:t xml:space="preserve">. </w:t>
      </w:r>
      <w:r>
        <w:rPr>
          <w:rtl w:val="true"/>
        </w:rPr>
        <w:t>משנעתרה להגיע פעם נוספת לדירתו</w:t>
      </w:r>
      <w:r>
        <w:rPr>
          <w:rtl w:val="true"/>
        </w:rPr>
        <w:t xml:space="preserve">, </w:t>
      </w:r>
      <w:r>
        <w:rPr>
          <w:rtl w:val="true"/>
        </w:rPr>
        <w:t>המערער נעל את דלת ביתו וכלא אותה בדירתו</w:t>
      </w:r>
      <w:r>
        <w:rPr>
          <w:rtl w:val="true"/>
        </w:rPr>
        <w:t xml:space="preserve">, </w:t>
      </w:r>
      <w:r>
        <w:rPr>
          <w:rtl w:val="true"/>
        </w:rPr>
        <w:t xml:space="preserve">בעוד היא </w:t>
      </w:r>
      <w:r>
        <w:rPr>
          <w:rtl w:val="true"/>
        </w:rPr>
        <w:t>"</w:t>
      </w:r>
      <w:r>
        <w:rPr>
          <w:rtl w:val="true"/>
        </w:rPr>
        <w:t>שבויה</w:t>
      </w:r>
      <w:r>
        <w:rPr>
          <w:rtl w:val="true"/>
        </w:rPr>
        <w:t xml:space="preserve">" </w:t>
      </w:r>
      <w:r>
        <w:rPr>
          <w:rtl w:val="true"/>
        </w:rPr>
        <w:t>ולכודה בין קירות ביתו</w:t>
      </w:r>
      <w:r>
        <w:rPr>
          <w:rtl w:val="true"/>
        </w:rPr>
        <w:t xml:space="preserve">. </w:t>
      </w:r>
      <w:r>
        <w:rPr>
          <w:rtl w:val="true"/>
        </w:rPr>
        <w:t>זעקותיה לעזרה וניסיונותיה להיחלץ מידיו ולברוח לדירתה</w:t>
      </w:r>
      <w:r>
        <w:rPr>
          <w:rtl w:val="true"/>
        </w:rPr>
        <w:t xml:space="preserve">, </w:t>
      </w:r>
      <w:r>
        <w:rPr>
          <w:rtl w:val="true"/>
        </w:rPr>
        <w:t>לא הועילו לה</w:t>
      </w:r>
      <w:r>
        <w:rPr>
          <w:rtl w:val="true"/>
        </w:rPr>
        <w:t xml:space="preserve">. </w:t>
      </w:r>
      <w:r>
        <w:rPr>
          <w:rtl w:val="true"/>
        </w:rPr>
        <w:t>המערער לא שעה לתחנוניה</w:t>
      </w:r>
      <w:r>
        <w:rPr>
          <w:rtl w:val="true"/>
        </w:rPr>
        <w:t xml:space="preserve">, </w:t>
      </w:r>
      <w:r>
        <w:rPr>
          <w:rtl w:val="true"/>
        </w:rPr>
        <w:t>איים עליה</w:t>
      </w:r>
      <w:r>
        <w:rPr>
          <w:rtl w:val="true"/>
        </w:rPr>
        <w:t xml:space="preserve">, </w:t>
      </w:r>
      <w:r>
        <w:rPr>
          <w:rtl w:val="true"/>
        </w:rPr>
        <w:t>משך בשערותיה</w:t>
      </w:r>
      <w:r>
        <w:rPr>
          <w:rtl w:val="true"/>
        </w:rPr>
        <w:t xml:space="preserve">, </w:t>
      </w:r>
      <w:r>
        <w:rPr>
          <w:rtl w:val="true"/>
        </w:rPr>
        <w:t>הכה אותה והשליכה לכל עבר</w:t>
      </w:r>
      <w:r>
        <w:rPr>
          <w:rtl w:val="true"/>
        </w:rPr>
        <w:t xml:space="preserve">, </w:t>
      </w:r>
      <w:r>
        <w:rPr>
          <w:rtl w:val="true"/>
        </w:rPr>
        <w:t>לרצפה</w:t>
      </w:r>
      <w:r>
        <w:rPr>
          <w:rtl w:val="true"/>
        </w:rPr>
        <w:t xml:space="preserve">, </w:t>
      </w:r>
      <w:r>
        <w:rPr>
          <w:rtl w:val="true"/>
        </w:rPr>
        <w:t>לקיר ולספה</w:t>
      </w:r>
      <w:r>
        <w:rPr>
          <w:rtl w:val="true"/>
        </w:rPr>
        <w:t xml:space="preserve">. </w:t>
      </w:r>
      <w:r>
        <w:rPr>
          <w:rtl w:val="true"/>
        </w:rPr>
        <w:t>חרף סירובה</w:t>
      </w:r>
      <w:r>
        <w:rPr>
          <w:rtl w:val="true"/>
        </w:rPr>
        <w:t xml:space="preserve">, </w:t>
      </w:r>
      <w:r>
        <w:rPr>
          <w:rtl w:val="true"/>
        </w:rPr>
        <w:t>החדיר את איבר מינו לפיה במשך מספר דקות</w:t>
      </w:r>
      <w:r>
        <w:rPr>
          <w:rtl w:val="true"/>
        </w:rPr>
        <w:t xml:space="preserve">, </w:t>
      </w:r>
      <w:r>
        <w:rPr>
          <w:rtl w:val="true"/>
        </w:rPr>
        <w:t>ובהמשך אף ניסה להחדירו לפי הטבעת שלה</w:t>
      </w:r>
      <w:r>
        <w:rPr>
          <w:rtl w:val="true"/>
        </w:rPr>
        <w:t xml:space="preserve">. </w:t>
      </w:r>
      <w:r>
        <w:rPr>
          <w:rtl w:val="true"/>
        </w:rPr>
        <w:t>כל זאת</w:t>
      </w:r>
      <w:r>
        <w:rPr>
          <w:rtl w:val="true"/>
        </w:rPr>
        <w:t xml:space="preserve">, </w:t>
      </w:r>
      <w:r>
        <w:rPr>
          <w:rtl w:val="true"/>
        </w:rPr>
        <w:t>תוך שהותיר חבלות בגופה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למקרא המעשים המתוארים</w:t>
      </w:r>
      <w:r>
        <w:rPr>
          <w:rtl w:val="true"/>
        </w:rPr>
        <w:t xml:space="preserve">, </w:t>
      </w:r>
      <w:r>
        <w:rPr>
          <w:rtl w:val="true"/>
        </w:rPr>
        <w:t>נהיר אפוא כי עונש המאסר בפועל שהוטל על המערער אינו חמור כלל ועיקר והולם את נסיבותיהן החמורות של ביצוע העבירות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אף אין בידי לקבל את טענת המערער כי מתחם העונש ההולם שנקבע בעניינו אינו מעוגן בפסיקה</w:t>
      </w:r>
      <w:r>
        <w:rPr>
          <w:rtl w:val="true"/>
        </w:rPr>
        <w:t xml:space="preserve">. </w:t>
      </w:r>
      <w:r>
        <w:rPr>
          <w:rtl w:val="true"/>
        </w:rPr>
        <w:t>בית המשפט המחוזי בקובעו את גבולות המתחם עיין בפסקי הדין השונים שהונחו לפניו</w:t>
      </w:r>
      <w:r>
        <w:rPr>
          <w:rtl w:val="true"/>
        </w:rPr>
        <w:t xml:space="preserve">, </w:t>
      </w:r>
      <w:r>
        <w:rPr>
          <w:rtl w:val="true"/>
        </w:rPr>
        <w:t>והקיש מהם למקרה דנן</w:t>
      </w:r>
      <w:r>
        <w:rPr>
          <w:rtl w:val="true"/>
        </w:rPr>
        <w:t xml:space="preserve">, </w:t>
      </w:r>
      <w:r>
        <w:rPr>
          <w:rtl w:val="true"/>
        </w:rPr>
        <w:t>כאשר בא כוחו של המערער דאז הסתפק באבחון הפסיקה שהוצגה על ידי המשיבה</w:t>
      </w:r>
      <w:r>
        <w:rPr>
          <w:rtl w:val="true"/>
        </w:rPr>
        <w:t xml:space="preserve">, </w:t>
      </w:r>
      <w:r>
        <w:rPr>
          <w:rtl w:val="true"/>
        </w:rPr>
        <w:t>ונמנע מהגשת פסיקה מטעם ההגנה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אף אני עיינתי בפסקי הדין שהוצגו על ידי בא כוח המערער בדיון לפנינו</w:t>
      </w:r>
      <w:r>
        <w:rPr>
          <w:rtl w:val="true"/>
        </w:rPr>
        <w:t xml:space="preserve">, </w:t>
      </w:r>
      <w:r>
        <w:rPr>
          <w:rtl w:val="true"/>
        </w:rPr>
        <w:t>ונחה דעתי כי אין בהם כדי לתמוך בטענותיו</w:t>
      </w:r>
      <w:r>
        <w:rPr>
          <w:rtl w:val="true"/>
        </w:rPr>
        <w:t xml:space="preserve">. </w:t>
      </w:r>
      <w:r>
        <w:rPr>
          <w:rtl w:val="true"/>
        </w:rPr>
        <w:t>בחינת רמת הענישה בפסקי הדין השונים</w:t>
      </w:r>
      <w:r>
        <w:rPr>
          <w:rtl w:val="true"/>
        </w:rPr>
        <w:t xml:space="preserve">, </w:t>
      </w:r>
      <w:r>
        <w:rPr>
          <w:rtl w:val="true"/>
        </w:rPr>
        <w:t xml:space="preserve">מלמדת כי עונש המאסר בפועל שהוטל עליו אינו סוטה ממדיניות הענישה הנוהגת בנסיבות דומות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מני רבים</w:t>
      </w:r>
      <w:r>
        <w:rPr>
          <w:rtl w:val="true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6616/10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אפרתי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22.6.2011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3998/13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אביקזר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4.2.2015</w:t>
      </w:r>
      <w:r>
        <w:rPr>
          <w:rtl w:val="true"/>
        </w:rPr>
        <w:t xml:space="preserve">);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8923/14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קרפצ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יוב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12.4.2016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1685/16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18.6.2017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אין מקום לקבל את טענת המערער כי בית המשפט קמא לא העניק משקל ראוי לנסיבותיו האישיות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מתחם העונש ההולם בעניינו של זה</w:t>
      </w:r>
      <w:r>
        <w:rPr>
          <w:rtl w:val="true"/>
        </w:rPr>
        <w:t xml:space="preserve">, </w:t>
      </w:r>
      <w:r>
        <w:rPr>
          <w:rtl w:val="true"/>
        </w:rPr>
        <w:t>נקבע בקצהו האחד 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ובקצהו האחר 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כאשר עונשו מוקם קרוב עד מאד לתחתית המתחם – </w:t>
      </w:r>
      <w:r>
        <w:rPr/>
        <w:t>7.5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עיון בגזר הדין מעלה כי נשקלו כנדרש כלל השיקולים לזכות המערער</w:t>
      </w:r>
      <w:r>
        <w:rPr>
          <w:rtl w:val="true"/>
        </w:rPr>
        <w:t xml:space="preserve">, </w:t>
      </w:r>
      <w:r>
        <w:rPr>
          <w:rtl w:val="true"/>
        </w:rPr>
        <w:t>לרבות הודאתו בעובדות כתב האישום</w:t>
      </w:r>
      <w:r>
        <w:rPr>
          <w:rtl w:val="true"/>
        </w:rPr>
        <w:t xml:space="preserve">, </w:t>
      </w:r>
      <w:r>
        <w:rPr>
          <w:rtl w:val="true"/>
        </w:rPr>
        <w:t>נסיבות חייו הקשות ואף קשייו בין כותלי בית הסוהר</w:t>
      </w:r>
      <w:r>
        <w:rPr>
          <w:rtl w:val="true"/>
        </w:rPr>
        <w:t xml:space="preserve">. </w:t>
      </w:r>
      <w:r>
        <w:rPr>
          <w:rtl w:val="true"/>
        </w:rPr>
        <w:t>שיקולים אלו אינם מצדיקים הקלה נוספת בעונשו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המסכת העובדתית המתוארת בכתב האישום מלמדת כי בסופו של יום המשיבה בהניחה מלכתחילה לפני בית המשפט המחוזי מסגרת עונשית כפי שהונחה</w:t>
      </w:r>
      <w:r>
        <w:rPr>
          <w:rtl w:val="true"/>
        </w:rPr>
        <w:t xml:space="preserve">, </w:t>
      </w:r>
      <w:r>
        <w:rPr>
          <w:rtl w:val="true"/>
        </w:rPr>
        <w:t>קרי הסכמתה לעתור ל</w:t>
      </w:r>
      <w:r>
        <w:rPr>
          <w:rtl w:val="true"/>
        </w:rPr>
        <w:t>-</w:t>
      </w:r>
      <w:r>
        <w:rPr/>
        <w:t>7.5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הקלה עם המערער</w:t>
      </w:r>
      <w:r>
        <w:rPr>
          <w:rtl w:val="true"/>
        </w:rPr>
        <w:t xml:space="preserve">. </w:t>
      </w:r>
      <w:r>
        <w:rPr>
          <w:rtl w:val="true"/>
        </w:rPr>
        <w:t>דומה כי רגעי התעללותו במתלוננת הותירו בה לא רק חבלות פיזיות</w:t>
      </w:r>
      <w:r>
        <w:rPr>
          <w:rtl w:val="true"/>
        </w:rPr>
        <w:t xml:space="preserve">, </w:t>
      </w:r>
      <w:r>
        <w:rPr>
          <w:rtl w:val="true"/>
        </w:rPr>
        <w:t>אלא גם חבלות נפשיות</w:t>
      </w:r>
      <w:r>
        <w:rPr>
          <w:rtl w:val="true"/>
        </w:rPr>
        <w:t xml:space="preserve">, </w:t>
      </w:r>
      <w:r>
        <w:rPr>
          <w:rtl w:val="true"/>
        </w:rPr>
        <w:t>אשר עוד ילוו אותה במהלך חייה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 לטענות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tl w:val="true"/>
        </w:rPr>
        <w:t>המערער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tl w:val="true"/>
        </w:rPr>
        <w:t>לעניין</w:t>
      </w:r>
      <w:r>
        <w:rPr>
          <w:szCs w:val="24"/>
          <w:rtl w:val="true"/>
        </w:rPr>
        <w:t xml:space="preserve"> </w:t>
      </w:r>
      <w:r>
        <w:rPr>
          <w:rtl w:val="true"/>
        </w:rPr>
        <w:t>גובה</w:t>
      </w:r>
      <w:r>
        <w:rPr>
          <w:szCs w:val="24"/>
          <w:rtl w:val="true"/>
        </w:rPr>
        <w:t xml:space="preserve"> </w:t>
      </w:r>
      <w:r>
        <w:rPr>
          <w:rtl w:val="true"/>
        </w:rPr>
        <w:t>הפיצוי</w:t>
      </w:r>
      <w:r>
        <w:rPr>
          <w:szCs w:val="24"/>
          <w:rtl w:val="true"/>
        </w:rPr>
        <w:t xml:space="preserve"> </w:t>
      </w:r>
      <w:r>
        <w:rPr>
          <w:rtl w:val="true"/>
        </w:rPr>
        <w:t>שהוטל</w:t>
      </w:r>
      <w:r>
        <w:rPr>
          <w:szCs w:val="24"/>
          <w:rtl w:val="true"/>
        </w:rPr>
        <w:t xml:space="preserve"> </w:t>
      </w:r>
      <w:r>
        <w:rPr>
          <w:rtl w:val="true"/>
        </w:rPr>
        <w:t>עליו</w:t>
      </w:r>
      <w:r>
        <w:rPr>
          <w:szCs w:val="24"/>
          <w:rtl w:val="true"/>
        </w:rPr>
        <w:t xml:space="preserve"> </w:t>
      </w:r>
      <w:r>
        <w:rPr>
          <w:rtl w:val="true"/>
        </w:rPr>
        <w:t>לפצות את המתלוננת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התערבות ערכאת הערעור בשיעור הפיצוי תיעשה במקרים חריגים בלבד</w:t>
      </w:r>
      <w:r>
        <w:rPr>
          <w:rtl w:val="true"/>
        </w:rPr>
        <w:t xml:space="preserve">, </w:t>
      </w:r>
      <w:r>
        <w:rPr>
          <w:rtl w:val="true"/>
        </w:rPr>
        <w:t xml:space="preserve">בהם ניכרת חריגה קיצונית משיעור הפיצוי הראוי </w:t>
      </w:r>
      <w:r>
        <w:rPr>
          <w:rtl w:val="true"/>
        </w:rPr>
        <w:t>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8074/16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סוליימנוב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2.4.2020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בפסיקה נקבע</w:t>
      </w:r>
      <w:r>
        <w:rPr>
          <w:rtl w:val="true"/>
        </w:rPr>
        <w:t xml:space="preserve">, </w:t>
      </w:r>
      <w:r>
        <w:rPr>
          <w:rtl w:val="true"/>
        </w:rPr>
        <w:t xml:space="preserve">כי הטלת פיצוי לקרבן העבירה אינה תלויה ביכולותיו הכלכליות של הנאשם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3250/10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סה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482</w:t>
      </w:r>
      <w:r>
        <w:rPr>
          <w:rtl w:val="true"/>
        </w:rPr>
        <w:t xml:space="preserve">, </w:t>
      </w:r>
      <w:r>
        <w:rPr/>
        <w:t>531</w:t>
      </w:r>
      <w:r>
        <w:rPr>
          <w:rtl w:val="true"/>
        </w:rPr>
        <w:t xml:space="preserve"> (</w:t>
      </w:r>
      <w:r>
        <w:rPr/>
        <w:t>2012</w:t>
      </w:r>
      <w:r>
        <w:rPr>
          <w:rtl w:val="true"/>
        </w:rPr>
        <w:t xml:space="preserve">);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8449/17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52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16.6.2019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); </w:t>
      </w:r>
      <w:r>
        <w:rPr>
          <w:rtl w:val="true"/>
        </w:rPr>
        <w:t xml:space="preserve">וזה ייפסק גם כאשר אין ודאות כי הנאשם יוכל לעמוד בתשלומו </w:t>
      </w:r>
      <w:r>
        <w:rPr>
          <w:rtl w:val="true"/>
        </w:rPr>
        <w:t>(</w:t>
      </w:r>
      <w:hyperlink r:id="rId3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5761/05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דלאוי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פסקה ט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24.7.2006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בעת קביעת גובה הפיצוי לקרבן במסגרת 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לא יתחשב ביכולתו הכלכלית של הנאשם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יפסוק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הנזק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והסבל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שנגרמו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לניזוק</w:t>
      </w:r>
      <w:r>
        <w:rPr>
          <w:rFonts w:cs="Century" w:ascii="Century" w:hAnsi="Century"/>
          <w:sz w:val="22"/>
          <w:rtl w:val="true"/>
        </w:rPr>
        <w:t>" (</w:t>
      </w:r>
      <w:hyperlink r:id="rId3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1076/15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פסקה טו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7.6.2016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3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9308/12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עיסא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103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30.7.2015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מוליך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מהצהרת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נפגעי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עבירה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לעיוננו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עגומה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והנפשיים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ימשיכו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 כל אלו</w:t>
      </w:r>
      <w:r>
        <w:rPr>
          <w:rtl w:val="true"/>
        </w:rPr>
        <w:t xml:space="preserve">, </w:t>
      </w:r>
      <w:r>
        <w:rPr>
          <w:rtl w:val="true"/>
        </w:rPr>
        <w:t>אציע לחברתי ולחברי לדחות את 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שטייניץ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כבוב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>.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start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13.7.2022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end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21059320</w:t>
      </w:r>
      <w:r>
        <w:rPr>
          <w:sz w:val="16"/>
          <w:rtl w:val="true"/>
        </w:rPr>
        <w:t>_</w:t>
      </w:r>
      <w:r>
        <w:rPr>
          <w:sz w:val="16"/>
        </w:rPr>
        <w:t>J05.docx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8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54678313-5932/21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5932/21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איוון קורובקוב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47392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45.a.1" TargetMode="External"/><Relationship Id="rId6" Type="http://schemas.openxmlformats.org/officeDocument/2006/relationships/hyperlink" Target="http://www.nevo.co.il/law/70301/347.b" TargetMode="External"/><Relationship Id="rId7" Type="http://schemas.openxmlformats.org/officeDocument/2006/relationships/hyperlink" Target="http://www.nevo.co.il/law/70301/377" TargetMode="External"/><Relationship Id="rId8" Type="http://schemas.openxmlformats.org/officeDocument/2006/relationships/hyperlink" Target="http://www.nevo.co.il/law/70301/381.a.1" TargetMode="External"/><Relationship Id="rId9" Type="http://schemas.openxmlformats.org/officeDocument/2006/relationships/hyperlink" Target="http://www.nevo.co.il/law/71835" TargetMode="External"/><Relationship Id="rId10" Type="http://schemas.openxmlformats.org/officeDocument/2006/relationships/hyperlink" Target="http://www.nevo.co.il/law/71835/18" TargetMode="External"/><Relationship Id="rId11" Type="http://schemas.openxmlformats.org/officeDocument/2006/relationships/hyperlink" Target="http://www.nevo.co.il/case/25473929" TargetMode="External"/><Relationship Id="rId12" Type="http://schemas.openxmlformats.org/officeDocument/2006/relationships/hyperlink" Target="http://www.nevo.co.il/law/70301/347.b" TargetMode="External"/><Relationship Id="rId13" Type="http://schemas.openxmlformats.org/officeDocument/2006/relationships/hyperlink" Target="http://www.nevo.co.il/law/70301/345.a.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81.a.1" TargetMode="External"/><Relationship Id="rId16" Type="http://schemas.openxmlformats.org/officeDocument/2006/relationships/hyperlink" Target="http://www.nevo.co.il/law/70301/377" TargetMode="External"/><Relationship Id="rId17" Type="http://schemas.openxmlformats.org/officeDocument/2006/relationships/hyperlink" Target="http://www.nevo.co.il/law/70301/192" TargetMode="External"/><Relationship Id="rId18" Type="http://schemas.openxmlformats.org/officeDocument/2006/relationships/hyperlink" Target="http://www.nevo.co.il/case/27070289" TargetMode="External"/><Relationship Id="rId19" Type="http://schemas.openxmlformats.org/officeDocument/2006/relationships/hyperlink" Target="http://www.nevo.co.il/case/28326750" TargetMode="External"/><Relationship Id="rId20" Type="http://schemas.openxmlformats.org/officeDocument/2006/relationships/hyperlink" Target="http://www.nevo.co.il/case/5610684" TargetMode="External"/><Relationship Id="rId21" Type="http://schemas.openxmlformats.org/officeDocument/2006/relationships/hyperlink" Target="http://www.nevo.co.il/case/23768103" TargetMode="External"/><Relationship Id="rId22" Type="http://schemas.openxmlformats.org/officeDocument/2006/relationships/hyperlink" Target="http://www.nevo.co.il/law/70301/347.b" TargetMode="External"/><Relationship Id="rId23" Type="http://schemas.openxmlformats.org/officeDocument/2006/relationships/hyperlink" Target="http://www.nevo.co.il/law/70301/345.a.1" TargetMode="External"/><Relationship Id="rId24" Type="http://schemas.openxmlformats.org/officeDocument/2006/relationships/hyperlink" Target="http://www.nevo.co.il/case/6194147" TargetMode="External"/><Relationship Id="rId25" Type="http://schemas.openxmlformats.org/officeDocument/2006/relationships/hyperlink" Target="http://www.nevo.co.il/case/27697306" TargetMode="External"/><Relationship Id="rId26" Type="http://schemas.openxmlformats.org/officeDocument/2006/relationships/hyperlink" Target="http://www.nevo.co.il/case/6247242" TargetMode="External"/><Relationship Id="rId27" Type="http://schemas.openxmlformats.org/officeDocument/2006/relationships/hyperlink" Target="http://www.nevo.co.il/case/11316515" TargetMode="External"/><Relationship Id="rId28" Type="http://schemas.openxmlformats.org/officeDocument/2006/relationships/hyperlink" Target="http://www.nevo.co.il/case/18765366" TargetMode="External"/><Relationship Id="rId29" Type="http://schemas.openxmlformats.org/officeDocument/2006/relationships/hyperlink" Target="http://www.nevo.co.il/case/21477915" TargetMode="External"/><Relationship Id="rId30" Type="http://schemas.openxmlformats.org/officeDocument/2006/relationships/hyperlink" Target="http://www.nevo.co.il/case/21506844" TargetMode="External"/><Relationship Id="rId31" Type="http://schemas.openxmlformats.org/officeDocument/2006/relationships/hyperlink" Target="http://www.nevo.co.il/case/5951406" TargetMode="External"/><Relationship Id="rId32" Type="http://schemas.openxmlformats.org/officeDocument/2006/relationships/hyperlink" Target="http://www.nevo.co.il/case/23353997" TargetMode="External"/><Relationship Id="rId33" Type="http://schemas.openxmlformats.org/officeDocument/2006/relationships/hyperlink" Target="http://www.nevo.co.il/case/6031891" TargetMode="External"/><Relationship Id="rId34" Type="http://schemas.openxmlformats.org/officeDocument/2006/relationships/hyperlink" Target="http://www.nevo.co.il/case/20770422" TargetMode="External"/><Relationship Id="rId35" Type="http://schemas.openxmlformats.org/officeDocument/2006/relationships/hyperlink" Target="http://www.nevo.co.il/case/5576587" TargetMode="External"/><Relationship Id="rId36" Type="http://schemas.openxmlformats.org/officeDocument/2006/relationships/hyperlink" Target="http://www.nevo.co.il/law/71835/18" TargetMode="External"/><Relationship Id="rId37" Type="http://schemas.openxmlformats.org/officeDocument/2006/relationships/hyperlink" Target="http://www.nevo.co.il/law/71835" TargetMode="External"/><Relationship Id="rId38" Type="http://schemas.openxmlformats.org/officeDocument/2006/relationships/hyperlink" Target="https://supreme.court.gov.il/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2022-07-14T07:17:00Z</dcterms:created>
  <dc:creator>h4</dc:creator>
  <dc:description/>
  <cp:keywords/>
  <dc:language>en-IL</dc:language>
  <cp:lastModifiedBy>orly</cp:lastModifiedBy>
  <cp:lastPrinted>2022-07-13T08:03:00Z</cp:lastPrinted>
  <dcterms:modified xsi:type="dcterms:W3CDTF">2022-07-14T07:17:00Z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איוון קורובקוב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ישראל;המתלוננת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25473929:2;27070289;28326750;5610684;23768103;6194147;27697306;6247242;11316515;18765366;21477915;21506844;5951406;23353997;6031891;20770422;5576587</vt:lpwstr>
  </property>
  <property fmtid="{D5CDD505-2E9C-101B-9397-08002B2CF9AE}" pid="9" name="CITY">
    <vt:lpwstr/>
  </property>
  <property fmtid="{D5CDD505-2E9C-101B-9397-08002B2CF9AE}" pid="10" name="DATE">
    <vt:lpwstr>20220713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אלרון;ג' כנפי שטייניץ;ח' כבוב</vt:lpwstr>
  </property>
  <property fmtid="{D5CDD505-2E9C-101B-9397-08002B2CF9AE}" pid="14" name="LAWLISTTMP1">
    <vt:lpwstr>70301/347.b:2;345.a.1:2;381.a.1;377;192</vt:lpwstr>
  </property>
  <property fmtid="{D5CDD505-2E9C-101B-9397-08002B2CF9AE}" pid="15" name="LAWLISTTMP2">
    <vt:lpwstr>71835/018</vt:lpwstr>
  </property>
  <property fmtid="{D5CDD505-2E9C-101B-9397-08002B2CF9AE}" pid="16" name="LAWYER">
    <vt:lpwstr>איתי שהם;בועז קניג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דיון פלילי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>עונשין</vt:lpwstr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18;18;77;77;77;77</vt:lpwstr>
  </property>
  <property fmtid="{D5CDD505-2E9C-101B-9397-08002B2CF9AE}" pid="38" name="NOSE21">
    <vt:lpwstr>ערעור</vt:lpwstr>
  </property>
  <property fmtid="{D5CDD505-2E9C-101B-9397-08002B2CF9AE}" pid="39" name="NOSE210">
    <vt:lpwstr/>
  </property>
  <property fmtid="{D5CDD505-2E9C-101B-9397-08002B2CF9AE}" pid="40" name="NOSE22">
    <vt:lpwstr>הסדר טיעון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>ענישה</vt:lpwstr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504;461;1446;1446;1446;1446</vt:lpwstr>
  </property>
  <property fmtid="{D5CDD505-2E9C-101B-9397-08002B2CF9AE}" pid="49" name="NOSE31">
    <vt:lpwstr>התערבות במידת העונש</vt:lpwstr>
  </property>
  <property fmtid="{D5CDD505-2E9C-101B-9397-08002B2CF9AE}" pid="50" name="NOSE310">
    <vt:lpwstr/>
  </property>
  <property fmtid="{D5CDD505-2E9C-101B-9397-08002B2CF9AE}" pid="51" name="NOSE32">
    <vt:lpwstr>טווח ענישה מוסכם</vt:lpwstr>
  </property>
  <property fmtid="{D5CDD505-2E9C-101B-9397-08002B2CF9AE}" pid="52" name="NOSE33">
    <vt:lpwstr>מדיניות ענישה: עבירות מין</vt:lpwstr>
  </property>
  <property fmtid="{D5CDD505-2E9C-101B-9397-08002B2CF9AE}" pid="53" name="NOSE34">
    <vt:lpwstr>מדיניות ענישה: שיקולים לחומרה</vt:lpwstr>
  </property>
  <property fmtid="{D5CDD505-2E9C-101B-9397-08002B2CF9AE}" pid="54" name="NOSE35">
    <vt:lpwstr>מדיניות ענישה: התערבות ערכאת ערעור</vt:lpwstr>
  </property>
  <property fmtid="{D5CDD505-2E9C-101B-9397-08002B2CF9AE}" pid="55" name="NOSE36">
    <vt:lpwstr>דרכי ענישה: פיצויים</vt:lpwstr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15230;15483;8988;8995;8982;8968</vt:lpwstr>
  </property>
  <property fmtid="{D5CDD505-2E9C-101B-9397-08002B2CF9AE}" pid="60" name="PADIDATE">
    <vt:lpwstr>20220714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5932</vt:lpwstr>
  </property>
  <property fmtid="{D5CDD505-2E9C-101B-9397-08002B2CF9AE}" pid="66" name="PROCYEAR">
    <vt:lpwstr>21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410120220713</vt:lpwstr>
  </property>
  <property fmtid="{D5CDD505-2E9C-101B-9397-08002B2CF9AE}" pid="70" name="TYPE_N_DATE">
    <vt:lpwstr>41020220713</vt:lpwstr>
  </property>
  <property fmtid="{D5CDD505-2E9C-101B-9397-08002B2CF9AE}" pid="71" name="VOLUME">
    <vt:lpwstr/>
  </property>
  <property fmtid="{D5CDD505-2E9C-101B-9397-08002B2CF9AE}" pid="72" name="WORDNUMPAGES">
    <vt:lpwstr>11</vt:lpwstr>
  </property>
</Properties>
</file>