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דטיאשוילי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57043-09-14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03.08.2022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בעצמו</w:t>
            </w:r>
            <w:r>
              <w:rPr>
                <w:rtl w:val="true"/>
              </w:rPr>
              <w:tab/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203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ברצח פרודתו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שדקר אותה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הייתה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עליו עונש של מאסר עולם ותשלום פיצוי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הציב במוקד הערעור סוגיה עובדתית – האם הוא שביצע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הדקירה הממיתה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עומד על ראיות ועדויות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קושרת בעבותות את המערער לביצוע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הדקירה הממיתה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יש לדחות 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הוסיף כי אין בתיקון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להוביל להתערבות בפסה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 בכוונה תחילה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מאסר עולם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ברצח פרודתו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שדקר אותה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הייתה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עליו עונש של מאסר עולם ותשלום פיצוי בסך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משיג על כך כי הדקירה הקטלנית שחדרה למוח הקטן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עמוד השדרה הצווארי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חוט השדרה וגזע המוח והביאה למותה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חבלה תולדת אחת מני דקירותיו הרבות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הוא ביצע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הדקירה הממיתה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ייתכן כי זו כלל לא התרחשה בזירה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ממספר טעמים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 מלין המערער על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הציב במוקד הערעור סוגיה עובדתית – האם הוא שביצע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הדקירה הממיתה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לצורך בחינת טענה זו </w:t>
      </w:r>
      <w:r>
        <w:rPr>
          <w:rFonts w:ascii="Times New Roman" w:hAnsi="Times New Roman" w:cs="Times New Roman"/>
          <w:spacing w:val="0"/>
          <w:szCs w:val="26"/>
          <w:rtl w:val="true"/>
        </w:rPr>
        <w:t>הונ</w:t>
      </w:r>
      <w:r>
        <w:rPr>
          <w:rFonts w:ascii="Times New Roman" w:hAnsi="Times New Roman" w:cs="Times New Roman"/>
          <w:spacing w:val="0"/>
          <w:szCs w:val="26"/>
          <w:rtl w:val="true"/>
        </w:rPr>
        <w:t>ח לטובת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אם ייקבע שלא הוא ביצע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הדקירה הממיתה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יוותר ספק סביר ביחס לאשמו ברצח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צבר הראיות נגד המערער הוא חד משמעי – עדויות מהימנות על אשר התרחש עובר לאירוע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במהלכו ולאחריו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ברורות אודות אופן מות המנוחה ונסיבות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ועדויות וראיות למכביר המלמדות על התנהלות המערער כלפי המנוחה בימים שלפני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המניע להתרחשותו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עומד 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רשימה ארוכה ומפורטת של ראיות ועדויות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קושרת בעבותות את המערער לביצוע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הדקירה הממיתה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ומובילה למסקנה כי הוא זה שביצע את הדקירה בראשה של המנוחה אשר הובילה למותה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יוצא אפוא כי מעשי המערער באים בגדרי עבירת הרצח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שפירט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ביסוד מעשי המערער ניצבת החלטתו להמית את המנוחה כפי שניתן ללמוד מהשימוש בסכין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כמות הדקירות וטיבן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והמניע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הכין את עצמו למפגש עם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הצטייד מראש בסכין וגרזן וארב למנוחה זמן ממושך בטרם תקף 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 מצדה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התגרתה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במעשיה הפרטיים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אמותיה כדי לייסד קנטור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בשולי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 כי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אשר סירב באופן נחרץ למינוי סניגור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טען דבר על השפעת הרפורמה בעבירות ההמתה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ובדיון הבהיר כי הוא כלל לא מכיר את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מוצא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לבחון סוגיה זו </w:t>
      </w:r>
      <w:r>
        <w:rPr>
          <w:rFonts w:ascii="Times New Roman" w:hAnsi="Times New Roman" w:cs="Times New Roman"/>
          <w:spacing w:val="0"/>
          <w:szCs w:val="26"/>
          <w:rtl w:val="true"/>
        </w:rPr>
        <w:t>וקובע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בהינתן המפורט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ברי כי מעשי המערער נכנסים לגדרי עבירת הרצח בנסיבות מחמירות תחת הנסיבה המנויה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תהווה דין מקל עם המערער רק אם יוחל בעניינו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שבמקרה זה העונש אשר ייגזר על המערער יהא עונש מאסר עולם כעונש מרבי ולא כעונש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עניינו של המערער אינו בא בשערי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להט מעשיו וההכנה לקראתם והאובססיביות והזעם שהתבטאו ברצף עשרות הדקירות הברוטליות מבססים את אשמתו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שלא נותר ספק כי הרשעתו בעבירת הרצח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 המאסר עולם שהוטל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יסודם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שמואל דטיאשוילי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 xml:space="preserve">הורשע ברצח פרודתו </w:t>
      </w:r>
      <w:r>
        <w:rPr>
          <w:rtl w:val="true"/>
        </w:rPr>
        <w:t>–</w:t>
      </w:r>
      <w:r>
        <w:rPr>
          <w:rtl w:val="true"/>
        </w:rPr>
        <w:t xml:space="preserve"> אביטל </w:t>
      </w:r>
      <w:r>
        <w:rPr>
          <w:rtl w:val="true"/>
        </w:rPr>
        <w:t>(</w:t>
      </w:r>
      <w:r>
        <w:rPr>
          <w:rtl w:val="true"/>
        </w:rPr>
        <w:t>טלי</w:t>
      </w:r>
      <w:r>
        <w:rPr>
          <w:rtl w:val="true"/>
        </w:rPr>
        <w:t xml:space="preserve">) </w:t>
      </w:r>
      <w:r>
        <w:rPr>
          <w:rtl w:val="true"/>
        </w:rPr>
        <w:t>רוקח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לאחר שדקר אותה בעשרות רבות של דקירות סכין</w:t>
      </w:r>
      <w:r>
        <w:rPr>
          <w:rtl w:val="true"/>
        </w:rPr>
        <w:t xml:space="preserve">.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 xml:space="preserve">הוא משיג על כך כי הדקירה הקטלנית </w:t>
      </w:r>
      <w:bookmarkStart w:id="14" w:name="Start_Write"/>
      <w:bookmarkEnd w:id="14"/>
      <w:r>
        <w:rPr>
          <w:rtl w:val="true"/>
        </w:rPr>
        <w:t>שחדרה למוח הקטן של המנוחה</w:t>
      </w:r>
      <w:r>
        <w:rPr>
          <w:rtl w:val="true"/>
        </w:rPr>
        <w:t xml:space="preserve">, </w:t>
      </w:r>
      <w:r>
        <w:rPr>
          <w:rtl w:val="true"/>
        </w:rPr>
        <w:t>עמוד השדרה הצווארי</w:t>
      </w:r>
      <w:r>
        <w:rPr>
          <w:rtl w:val="true"/>
        </w:rPr>
        <w:t xml:space="preserve">, </w:t>
      </w:r>
      <w:r>
        <w:rPr>
          <w:rtl w:val="true"/>
        </w:rPr>
        <w:t>חוט השדרה וגזע המוח והביאה למותה</w:t>
      </w:r>
      <w:r>
        <w:rPr>
          <w:rtl w:val="true"/>
        </w:rPr>
        <w:t xml:space="preserve">, </w:t>
      </w:r>
      <w:r>
        <w:rPr>
          <w:rtl w:val="true"/>
        </w:rPr>
        <w:t>היא חבלה תולדת אחת מני דקירותיו הרבות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הרשעת המערער הייתה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הקודם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מאסר עולם ותשלום פיצוי בסך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לנפגעי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שלפנינו מופנה כלפי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מוסק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57043-09-14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מהימים </w:t>
      </w:r>
      <w:r>
        <w:rPr/>
        <w:t>29.10.2018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12.12.2018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במשך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 המערער והמנוחה היו נשואים ולהם שלושה ילדים בגירים</w:t>
      </w:r>
      <w:r>
        <w:rPr>
          <w:rtl w:val="true"/>
        </w:rPr>
        <w:t xml:space="preserve">. </w:t>
      </w:r>
      <w:r>
        <w:rPr>
          <w:rtl w:val="true"/>
        </w:rPr>
        <w:t>בשלוש השנים שקדמו לרצח</w:t>
      </w:r>
      <w:r>
        <w:rPr>
          <w:rtl w:val="true"/>
        </w:rPr>
        <w:t xml:space="preserve">, </w:t>
      </w:r>
      <w:r>
        <w:rPr>
          <w:rtl w:val="true"/>
        </w:rPr>
        <w:t>המערער והמנוחה חיו בנפרד וניהלו הליך גירושין ממושך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10.8.2014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מהאוטובוס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" </w:t>
      </w:r>
      <w:r>
        <w:rPr>
          <w:rtl w:val="true"/>
        </w:rPr>
        <w:t>ונעצר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ובפניותיו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</w:t>
      </w:r>
      <w:r>
        <w:rPr>
          <w:rtl w:val="true"/>
        </w:rPr>
        <w:t xml:space="preserve">, </w:t>
      </w:r>
      <w:r>
        <w:rPr>
          <w:rtl w:val="true"/>
        </w:rPr>
        <w:t>גידופים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צבעונית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וואטסאפ</w:t>
      </w:r>
      <w:r>
        <w:rPr>
          <w:rtl w:val="true"/>
        </w:rPr>
        <w:t xml:space="preserve">" </w:t>
      </w:r>
      <w:r>
        <w:rPr>
          <w:rtl w:val="true"/>
        </w:rPr>
        <w:t>שניהלה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המודפסת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28.8.2014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וגרזן</w:t>
      </w:r>
      <w:r>
        <w:rPr>
          <w:rtl w:val="true"/>
        </w:rPr>
        <w:t xml:space="preserve">;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;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;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;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tl w:val="true"/>
        </w:rPr>
        <w:t xml:space="preserve">",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התרצה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ויבשרו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למשפחותיהם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איזולדה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איזולדה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האיומים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29.8.2014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אזהרה</w:t>
      </w:r>
      <w:r>
        <w:rPr>
          <w:rtl w:val="true"/>
        </w:rPr>
        <w:t xml:space="preserve">"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7.9.2014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לכפות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גט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4.9.2014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הגרזן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מודפסת</w:t>
      </w:r>
      <w:r>
        <w:rPr>
          <w:rtl w:val="true"/>
        </w:rPr>
        <w:t xml:space="preserve">"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במקלט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הגרזן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בהופעה</w:t>
      </w:r>
      <w:r>
        <w:rPr>
          <w:rtl w:val="true"/>
        </w:rPr>
        <w:t xml:space="preserve">, </w:t>
      </w:r>
      <w:r>
        <w:rPr>
          <w:rtl w:val="true"/>
        </w:rPr>
        <w:t>ארב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ומנרתיקה</w:t>
      </w:r>
      <w:r>
        <w:rPr>
          <w:rtl w:val="true"/>
        </w:rPr>
        <w:t xml:space="preserve">, </w:t>
      </w:r>
      <w:r>
        <w:rPr>
          <w:rtl w:val="true"/>
        </w:rPr>
        <w:t>ותחב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. </w:t>
      </w:r>
      <w:r>
        <w:rPr>
          <w:rtl w:val="true"/>
        </w:rPr>
        <w:t>בצאת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מדירתה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; </w:t>
      </w:r>
      <w:r>
        <w:rPr>
          <w:rtl w:val="true"/>
        </w:rPr>
        <w:t>בראשה</w:t>
      </w:r>
      <w:r>
        <w:rPr>
          <w:rtl w:val="true"/>
        </w:rPr>
        <w:t xml:space="preserve">; </w:t>
      </w:r>
      <w:r>
        <w:rPr>
          <w:rtl w:val="true"/>
        </w:rPr>
        <w:t>ובמקומות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הצווארי</w:t>
      </w:r>
      <w:r>
        <w:rPr>
          <w:rtl w:val="true"/>
        </w:rPr>
        <w:t xml:space="preserve">, </w:t>
      </w:r>
      <w:r>
        <w:rPr>
          <w:rtl w:val="true"/>
        </w:rPr>
        <w:t>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הממיתה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</w:t>
      </w:r>
      <w:r>
        <w:rPr>
          <w:rtl w:val="true"/>
        </w:rPr>
        <w:t xml:space="preserve">, </w:t>
      </w:r>
      <w:r>
        <w:rPr>
          <w:rtl w:val="true"/>
        </w:rPr>
        <w:t>בתום שמיעת הראיות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הרצח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, </w:t>
      </w:r>
      <w:r>
        <w:rPr>
          <w:rtl w:val="true"/>
        </w:rPr>
        <w:t>כפי שיוחסה לו בכתב האישום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חלק ניכר מהכרעת דינו של בית המשפט המחוזי מעמת את גרסת המערער עם הראיות והעדויות שהובאו על ידי התביעה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למען הבהירות</w:t>
      </w:r>
      <w:r>
        <w:rPr>
          <w:rtl w:val="true"/>
        </w:rPr>
        <w:t xml:space="preserve">, </w:t>
      </w:r>
      <w:r>
        <w:rPr>
          <w:rtl w:val="true"/>
        </w:rPr>
        <w:t>אציג תחילה את תמצית גרסת המערער הרלוונטית להכרעת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כעולה בעיקר מעדותו בבית המשפט המחוזי </w:t>
      </w:r>
      <w:r>
        <w:rPr>
          <w:rtl w:val="true"/>
        </w:rPr>
        <w:t>(</w:t>
      </w:r>
      <w:r>
        <w:rPr>
          <w:rtl w:val="true"/>
        </w:rPr>
        <w:t xml:space="preserve">פרוטוקול הדיון מהימים </w:t>
      </w:r>
      <w:r>
        <w:rPr/>
        <w:t>1.3.2017</w:t>
      </w:r>
      <w:r>
        <w:rPr>
          <w:rtl w:val="true"/>
        </w:rPr>
        <w:t xml:space="preserve">, </w:t>
      </w:r>
      <w:r>
        <w:rPr/>
        <w:t>7.3.2017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28.3.2017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והמנוחה הכירו בהיותם צעירים</w:t>
      </w:r>
      <w:r>
        <w:rPr>
          <w:rtl w:val="true"/>
        </w:rPr>
        <w:t xml:space="preserve">, </w:t>
      </w:r>
      <w:r>
        <w:rPr>
          <w:rtl w:val="true"/>
        </w:rPr>
        <w:t xml:space="preserve">ונישאו בשנת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חרף התנגדות משפחותיהם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הם אהבו אהבת נפש והוא עודנו אוהב את המנוחה ועל אף המריבות ביניהם שכללו קללות וגידופים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מאות הפרידות</w:t>
      </w:r>
      <w:r>
        <w:rPr>
          <w:rtl w:val="true"/>
        </w:rPr>
        <w:t xml:space="preserve">" </w:t>
      </w:r>
      <w:r>
        <w:rPr>
          <w:rtl w:val="true"/>
        </w:rPr>
        <w:t>במהלך השנים</w:t>
      </w:r>
      <w:r>
        <w:rPr>
          <w:rtl w:val="true"/>
        </w:rPr>
        <w:t xml:space="preserve">, </w:t>
      </w:r>
      <w:r>
        <w:rPr>
          <w:rtl w:val="true"/>
        </w:rPr>
        <w:t xml:space="preserve">מעולם לא הכה את המנוחה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1.3.2017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עוד סיפר</w:t>
      </w:r>
      <w:r>
        <w:rPr>
          <w:rtl w:val="true"/>
        </w:rPr>
        <w:t xml:space="preserve">, </w:t>
      </w:r>
      <w:r>
        <w:rPr>
          <w:rtl w:val="true"/>
        </w:rPr>
        <w:t xml:space="preserve">כי לאחר פרידתם 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השניים לא שבו לחיות יחד ובשלב מסוים בית הדין הרבני החליט לכפות עליו ליתן גט למנוחה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לאירוע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טען כי עשה כן כדי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בוגדת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21-20</w:t>
      </w:r>
      <w:r>
        <w:rPr>
          <w:rtl w:val="true"/>
        </w:rPr>
        <w:t xml:space="preserve">), </w:t>
      </w:r>
      <w:r>
        <w:rPr>
          <w:rtl w:val="true"/>
        </w:rPr>
        <w:t>והבהיר כי בהפקת והפצת החוברת המודפסת ביקש לבייש את המנוחה כדי שתפסיק את מעשיה</w:t>
      </w:r>
      <w:r>
        <w:rPr>
          <w:rtl w:val="true"/>
        </w:rPr>
        <w:t xml:space="preserve">. </w:t>
      </w:r>
      <w:r>
        <w:rPr>
          <w:rtl w:val="true"/>
        </w:rPr>
        <w:t>לאחר שהשתחרר ממעצרו בגין גניבת הטלפון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הרגיש פגוע והחליט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בנפשות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שהתעסקו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גרזן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והתחלתי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לאנשים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20-1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24.8.2014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והגרזן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לרעוד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ולגמור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28.8.2014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שבו התרחש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 xml:space="preserve">המנוחה הצהירה בשיחה עמו כי היא רוצה למות וכי תעשה זאת באמצעות נטילת </w:t>
      </w:r>
      <w:r>
        <w:rPr>
          <w:rtl w:val="true"/>
        </w:rPr>
        <w:t>"</w:t>
      </w:r>
      <w:r>
        <w:rPr>
          <w:rtl w:val="true"/>
        </w:rPr>
        <w:t>כדורים</w:t>
      </w:r>
      <w:r>
        <w:rPr>
          <w:rtl w:val="true"/>
        </w:rPr>
        <w:t xml:space="preserve">". </w:t>
      </w:r>
      <w:r>
        <w:rPr>
          <w:rtl w:val="true"/>
        </w:rPr>
        <w:t>מאחר שלדבריו לא רצה כי תפגע בעצמה</w:t>
      </w:r>
      <w:r>
        <w:rPr>
          <w:rtl w:val="true"/>
        </w:rPr>
        <w:t xml:space="preserve">, </w:t>
      </w:r>
      <w:r>
        <w:rPr>
          <w:rtl w:val="true"/>
        </w:rPr>
        <w:t xml:space="preserve">הזמין אותה לבוא לביתו בתואנה כי שם ייתן לה את </w:t>
      </w:r>
      <w:r>
        <w:rPr>
          <w:rtl w:val="true"/>
        </w:rPr>
        <w:t>"</w:t>
      </w:r>
      <w:r>
        <w:rPr>
          <w:rtl w:val="true"/>
        </w:rPr>
        <w:t>הכדורים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26-20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2-1</w:t>
      </w:r>
      <w:r>
        <w:rPr>
          <w:rtl w:val="true"/>
        </w:rPr>
        <w:t xml:space="preserve">). </w:t>
      </w:r>
      <w:r>
        <w:rPr>
          <w:rtl w:val="true"/>
        </w:rPr>
        <w:t>בהגיעה לביתו</w:t>
      </w:r>
      <w:r>
        <w:rPr>
          <w:rtl w:val="true"/>
        </w:rPr>
        <w:t xml:space="preserve">, </w:t>
      </w:r>
      <w:r>
        <w:rPr>
          <w:rtl w:val="true"/>
        </w:rPr>
        <w:t>המערער ניסה להרגיע אותה</w:t>
      </w:r>
      <w:r>
        <w:rPr>
          <w:rtl w:val="true"/>
        </w:rPr>
        <w:t xml:space="preserve">, </w:t>
      </w:r>
      <w:r>
        <w:rPr>
          <w:rtl w:val="true"/>
        </w:rPr>
        <w:t>בעודה מבהירה לו כי לא תשוב אליו מבלי שהסבירה מדוע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תיאר</w:t>
      </w:r>
      <w:r>
        <w:rPr>
          <w:rtl w:val="true"/>
        </w:rPr>
        <w:t xml:space="preserve">, </w:t>
      </w:r>
      <w:r>
        <w:rPr>
          <w:rtl w:val="true"/>
        </w:rPr>
        <w:t xml:space="preserve">כי בהמשך הערב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המנוחה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ותפסתי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מעוניינת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644-643</w:t>
      </w:r>
      <w:r>
        <w:rPr>
          <w:rtl w:val="true"/>
        </w:rPr>
        <w:t xml:space="preserve">).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טען כי הופתע למשמע הצהרת המנוחה בפני אחותו כי היא לא </w:t>
      </w:r>
      <w:r>
        <w:rPr>
          <w:rtl w:val="true"/>
        </w:rPr>
        <w:t>"</w:t>
      </w:r>
      <w:r>
        <w:rPr>
          <w:rtl w:val="true"/>
        </w:rPr>
        <w:t>חוזרת אליו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 הערב המערער נעצר ונחקר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בחשד לניסיון רצח וחבלה בנסיבות מחמירות</w:t>
      </w:r>
      <w:r>
        <w:rPr>
          <w:rtl w:val="true"/>
        </w:rPr>
        <w:t xml:space="preserve">. </w:t>
      </w:r>
      <w:r>
        <w:rPr>
          <w:rtl w:val="true"/>
        </w:rPr>
        <w:t>משהבין כי בגין החשד המיוחס לו הוא עלול לרצות עונש מאסר ממושך</w:t>
      </w:r>
      <w:r>
        <w:rPr>
          <w:rtl w:val="true"/>
        </w:rPr>
        <w:t xml:space="preserve">, </w:t>
      </w:r>
      <w:r>
        <w:rPr>
          <w:rtl w:val="true"/>
        </w:rPr>
        <w:t xml:space="preserve">פנה למנוחה ודרש ממנה כי תכתוב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תצהיר</w:t>
      </w:r>
      <w:r>
        <w:rPr>
          <w:rtl w:val="true"/>
        </w:rPr>
        <w:t xml:space="preserve">" </w:t>
      </w:r>
      <w:r>
        <w:rPr>
          <w:rtl w:val="true"/>
        </w:rPr>
        <w:t xml:space="preserve">המבהיר כי הדברים המיוחסים לו בתלונה לא היו ולא נבראו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לגרסת המערער</w:t>
      </w:r>
      <w:r>
        <w:rPr>
          <w:rtl w:val="true"/>
        </w:rPr>
        <w:t xml:space="preserve">, </w:t>
      </w:r>
      <w:r>
        <w:rPr>
          <w:rtl w:val="true"/>
        </w:rPr>
        <w:t>ביום חמישי ה</w:t>
      </w:r>
      <w:r>
        <w:rPr>
          <w:rtl w:val="true"/>
        </w:rPr>
        <w:t>-</w:t>
      </w:r>
      <w:r>
        <w:rPr/>
        <w:t>4.9.2014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 xml:space="preserve">ניסה להיפגש עם המנוחה כדי שתחתום על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תצהיר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שסבר כי הוא עתיד להישלח למאסר בעת הדיון בבית הדין הרבני</w:t>
      </w:r>
      <w:r>
        <w:rPr>
          <w:rtl w:val="true"/>
        </w:rPr>
        <w:t xml:space="preserve">, </w:t>
      </w:r>
      <w:r>
        <w:rPr>
          <w:rtl w:val="true"/>
        </w:rPr>
        <w:t>שלושה ימים לאחר מכן</w:t>
      </w:r>
      <w:r>
        <w:rPr>
          <w:rtl w:val="true"/>
        </w:rPr>
        <w:t xml:space="preserve">. </w:t>
      </w:r>
      <w:r>
        <w:rPr>
          <w:rtl w:val="true"/>
        </w:rPr>
        <w:t xml:space="preserve">בהיותו נחוש להשיג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המערער נכנס למקלט בניין מגוריה של המנוחה</w:t>
      </w:r>
      <w:r>
        <w:rPr>
          <w:rtl w:val="true"/>
        </w:rPr>
        <w:t xml:space="preserve">, </w:t>
      </w:r>
      <w:r>
        <w:rPr>
          <w:rtl w:val="true"/>
        </w:rPr>
        <w:t>והחביא מאחורי ספה את התיק ובו סכין</w:t>
      </w:r>
      <w:r>
        <w:rPr>
          <w:rtl w:val="true"/>
        </w:rPr>
        <w:t xml:space="preserve">, </w:t>
      </w:r>
      <w:r>
        <w:rPr>
          <w:rtl w:val="true"/>
        </w:rPr>
        <w:t>גרזן והחוברת המודפסת</w:t>
      </w:r>
      <w:r>
        <w:rPr>
          <w:rtl w:val="true"/>
        </w:rPr>
        <w:t xml:space="preserve">. </w:t>
      </w:r>
      <w:r>
        <w:rPr>
          <w:rtl w:val="true"/>
        </w:rPr>
        <w:t>אלו הובאו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כדי שיוכל לסיים את חייו במקום וכדי שהמשטרה לא תמצא אותם במהלך חיפוש שייערך בביתו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במקלט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תתחיל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לצעוק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ולהשתולל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ומשטרות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אוציא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ואפחיד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>, "</w:t>
      </w:r>
      <w:r>
        <w:rPr>
          <w:rtl w:val="true"/>
        </w:rPr>
        <w:t>הציץ</w:t>
      </w:r>
      <w:r>
        <w:rPr>
          <w:rtl w:val="true"/>
        </w:rPr>
        <w:t xml:space="preserve">" </w:t>
      </w:r>
      <w:r>
        <w:rPr>
          <w:rtl w:val="true"/>
        </w:rPr>
        <w:t>ממחבואו</w:t>
      </w:r>
      <w:r>
        <w:rPr>
          <w:rtl w:val="true"/>
        </w:rPr>
        <w:t xml:space="preserve">,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הצילו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; </w:t>
      </w:r>
      <w:r>
        <w:rPr>
          <w:rtl w:val="true"/>
        </w:rPr>
        <w:t>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;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; </w:t>
      </w:r>
      <w:r>
        <w:rPr>
          <w:rtl w:val="true"/>
        </w:rPr>
        <w:t>וירד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המקלט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מאחיזתו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".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highlight w:val="yellow"/>
        </w:rPr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... </w:t>
      </w:r>
      <w:r>
        <w:rPr>
          <w:rtl w:val="true"/>
        </w:rPr>
        <w:t>בקיצור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כשהרגלים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. </w:t>
      </w:r>
      <w:r>
        <w:rPr>
          <w:rtl w:val="true"/>
        </w:rPr>
        <w:t>והראש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המעקה</w:t>
      </w:r>
      <w:r>
        <w:rPr>
          <w:rtl w:val="true"/>
        </w:rPr>
        <w:t xml:space="preserve">.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נוראיות</w:t>
      </w:r>
      <w:r>
        <w:rPr>
          <w:rtl w:val="true"/>
        </w:rPr>
        <w:t xml:space="preserve">. </w:t>
      </w:r>
      <w:r>
        <w:rPr>
          <w:rtl w:val="true"/>
        </w:rPr>
        <w:t>הצילו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הצילו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התכופפתי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הרגלים</w:t>
      </w:r>
      <w:r>
        <w:rPr>
          <w:rtl w:val="true"/>
        </w:rPr>
        <w:t xml:space="preserve">...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שוכבת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בעינים</w:t>
      </w:r>
      <w:r>
        <w:rPr>
          <w:rtl w:val="true"/>
        </w:rPr>
        <w:t>.</w:t>
      </w:r>
      <w:r>
        <w:rPr>
          <w:rtl w:val="true"/>
        </w:rPr>
        <w:t xml:space="preserve">..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תזוזה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...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קמתי</w:t>
      </w:r>
      <w:r>
        <w:rPr>
          <w:rtl w:val="true"/>
        </w:rPr>
        <w:t xml:space="preserve">...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674-672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בעורפה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לחסדיכם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והאכיפה</w:t>
      </w:r>
      <w:r>
        <w:rPr>
          <w:rtl w:val="true"/>
        </w:rPr>
        <w:t>..."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28.3.2017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12-11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26-8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הדין נדחתה 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שבית המשפט המחוזי מתאר כי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המערער ארב למנוחה במקלט בניין מגוריה</w:t>
      </w:r>
      <w:r>
        <w:rPr>
          <w:rtl w:val="true"/>
        </w:rPr>
        <w:t xml:space="preserve">, </w:t>
      </w:r>
      <w:r>
        <w:rPr>
          <w:rtl w:val="true"/>
        </w:rPr>
        <w:t>מתוך רצון להיפגש עמה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סמך עדות לילך</w:t>
      </w:r>
      <w:r>
        <w:rPr>
          <w:rtl w:val="true"/>
        </w:rPr>
        <w:t xml:space="preserve">, </w:t>
      </w:r>
      <w:r>
        <w:rPr>
          <w:rtl w:val="true"/>
        </w:rPr>
        <w:t>אחות המנוחה</w:t>
      </w:r>
      <w:r>
        <w:rPr>
          <w:rtl w:val="true"/>
        </w:rPr>
        <w:t xml:space="preserve">, </w:t>
      </w:r>
      <w:r>
        <w:rPr>
          <w:rtl w:val="true"/>
        </w:rPr>
        <w:t>נקבע כי בעת שהמתינה למנוחה ברכבה בחניית הבניין</w:t>
      </w:r>
      <w:r>
        <w:rPr>
          <w:rtl w:val="true"/>
        </w:rPr>
        <w:t xml:space="preserve">, </w:t>
      </w:r>
      <w:r>
        <w:rPr>
          <w:rtl w:val="true"/>
        </w:rPr>
        <w:t>הבחינה במנוחה יורדת במדרגות ובשלב מסוים המערער אחז באלימות בשיער ראשה וגרר אותה</w:t>
      </w:r>
      <w:r>
        <w:rPr>
          <w:rtl w:val="true"/>
        </w:rPr>
        <w:t xml:space="preserve">, </w:t>
      </w:r>
      <w:r>
        <w:rPr>
          <w:rtl w:val="true"/>
        </w:rPr>
        <w:t>תוך שהיא זועקת לעזרה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גרסת המערער לפיה לא דקר את המנוחה אלא היא נדקרה מאליה בעת שניסתה להיחלץ ממנו</w:t>
      </w:r>
      <w:r>
        <w:rPr>
          <w:rtl w:val="true"/>
        </w:rPr>
        <w:t xml:space="preserve">, </w:t>
      </w:r>
      <w:r>
        <w:rPr>
          <w:rtl w:val="true"/>
        </w:rPr>
        <w:t>נדחתה מכל וכל</w:t>
      </w:r>
      <w:r>
        <w:rPr>
          <w:rtl w:val="true"/>
        </w:rPr>
        <w:t xml:space="preserve">, </w:t>
      </w:r>
      <w:r>
        <w:rPr>
          <w:rtl w:val="true"/>
        </w:rPr>
        <w:t>משזו נסתרה מנסיבות האירוע</w:t>
      </w:r>
      <w:r>
        <w:rPr>
          <w:rtl w:val="true"/>
        </w:rPr>
        <w:t xml:space="preserve">; </w:t>
      </w:r>
      <w:r>
        <w:rPr>
          <w:rtl w:val="true"/>
        </w:rPr>
        <w:t>נוכח הפגיעות המרובות באיבריה השונים של המנוחה כמפורט בדו</w:t>
      </w:r>
      <w:r>
        <w:rPr>
          <w:rtl w:val="true"/>
        </w:rPr>
        <w:t>"</w:t>
      </w:r>
      <w:r>
        <w:rPr>
          <w:rtl w:val="true"/>
        </w:rPr>
        <w:t xml:space="preserve">ח הפתולוגי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43</w:t>
      </w:r>
      <w:r>
        <w:rPr>
          <w:rtl w:val="true"/>
        </w:rPr>
        <w:t xml:space="preserve">); </w:t>
      </w:r>
      <w:r>
        <w:rPr>
          <w:rtl w:val="true"/>
        </w:rPr>
        <w:t>מדברי המערער בחקירתו הראשונה במשטרה לפיהם דקר את המנוחה כדי להשתיקה</w:t>
      </w:r>
      <w:r>
        <w:rPr>
          <w:rtl w:val="true"/>
        </w:rPr>
        <w:t xml:space="preserve">; </w:t>
      </w:r>
      <w:r>
        <w:rPr>
          <w:rtl w:val="true"/>
        </w:rPr>
        <w:t>ומעדויות השכנים</w:t>
      </w:r>
      <w:r>
        <w:rPr>
          <w:rtl w:val="true"/>
        </w:rPr>
        <w:t xml:space="preserve">, </w:t>
      </w:r>
      <w:r>
        <w:rPr>
          <w:rtl w:val="true"/>
        </w:rPr>
        <w:t>אשר ראו ממרחק קצר את המערער דוקר את המנוחה מספר דקירות</w:t>
      </w:r>
      <w:r>
        <w:rPr>
          <w:rtl w:val="true"/>
        </w:rPr>
        <w:t xml:space="preserve">, </w:t>
      </w:r>
      <w:r>
        <w:rPr>
          <w:rtl w:val="true"/>
        </w:rPr>
        <w:t>והעידו כי לא חדל מדקירותיו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ודוקר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6.12.2015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 יסוד עדות לילך נדחתה גרסת המערער כי הגיע לבניין מגורי המנוחה כדי לשוחח עמה ולשכנע אותה לתת לו </w:t>
      </w:r>
      <w:r>
        <w:rPr>
          <w:rtl w:val="true"/>
        </w:rPr>
        <w:t>"</w:t>
      </w:r>
      <w:r>
        <w:rPr>
          <w:rtl w:val="true"/>
        </w:rPr>
        <w:t>תצהיר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נקבע כי עם תחילת המפגש בין השניים בחדר המדרגות התרחש האירוע האלים כלפי המנוחה ללא כל ניסיון הידברות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</w:t>
      </w:r>
      <w:r>
        <w:rPr>
          <w:rtl w:val="true"/>
        </w:rPr>
        <w:t xml:space="preserve">, </w:t>
      </w:r>
      <w:r>
        <w:rPr>
          <w:rtl w:val="true"/>
        </w:rPr>
        <w:t>כי בעוד שהמערער הרחיק עצמו מהדקירה הממיתה בראשה של המנוחה</w:t>
      </w:r>
      <w:r>
        <w:rPr>
          <w:rtl w:val="true"/>
        </w:rPr>
        <w:t xml:space="preserve">, </w:t>
      </w:r>
      <w:r>
        <w:rPr>
          <w:rtl w:val="true"/>
        </w:rPr>
        <w:t>מכלול הראיות מלמד כי זו נוצרה במקום האירוע ועל ידי המערער</w:t>
      </w:r>
      <w:r>
        <w:rPr>
          <w:rtl w:val="true"/>
        </w:rPr>
        <w:t xml:space="preserve">. </w:t>
      </w:r>
      <w:r>
        <w:rPr>
          <w:rtl w:val="true"/>
        </w:rPr>
        <w:t>כך נלמד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משלולית הדם הגדולה שהקיפה את גוף המנוחה ובעיקר בסמוך לראשה</w:t>
      </w:r>
      <w:r>
        <w:rPr>
          <w:rtl w:val="true"/>
        </w:rPr>
        <w:t xml:space="preserve">, </w:t>
      </w:r>
      <w:r>
        <w:rPr>
          <w:rtl w:val="true"/>
        </w:rPr>
        <w:t>כעולה מעדות המערער עצמו ומעדות הבן ש</w:t>
      </w:r>
      <w:r>
        <w:rPr>
          <w:rtl w:val="true"/>
        </w:rPr>
        <w:t xml:space="preserve">', </w:t>
      </w:r>
      <w:r>
        <w:rPr>
          <w:rtl w:val="true"/>
        </w:rPr>
        <w:t>אשר ניסה לחסום את זרימת הדם מפצע הדקירה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צוין</w:t>
      </w:r>
      <w:r>
        <w:rPr>
          <w:rtl w:val="true"/>
        </w:rPr>
        <w:t xml:space="preserve">, </w:t>
      </w:r>
      <w:r>
        <w:rPr>
          <w:rtl w:val="true"/>
        </w:rPr>
        <w:t>כי שלולית דם שכזו אינה יכולה להיות תולדת פציעות קלות יחסית אשר נגרמו למנוחה באזור רגליה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בהודעת הפרמדיק שהגיע לזירה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 xml:space="preserve">פורט כי זוהתה דקירה יחסית גדולה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לאוזן</w:t>
      </w:r>
      <w:r>
        <w:rPr>
          <w:rtl w:val="true"/>
        </w:rPr>
        <w:t xml:space="preserve">", </w:t>
      </w:r>
      <w:r>
        <w:rPr>
          <w:rtl w:val="true"/>
        </w:rPr>
        <w:t>וכי הוא החל בפעולות החייאה כשלמנוחה לא היה דופק ולא הייתה נשימה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החייאה</w:t>
      </w:r>
      <w:r>
        <w:rPr>
          <w:rtl w:val="true"/>
        </w:rPr>
        <w:t xml:space="preserve">,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חשמלית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חשמלית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tl w:val="true"/>
        </w:rPr>
        <w:t xml:space="preserve">,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24.1.2017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יתר טענות המערער ועיקרי גרסתו לפיהם הגיע לפגוש את המנוחה במטרה להשיג </w:t>
      </w:r>
      <w:r>
        <w:rPr>
          <w:rtl w:val="true"/>
        </w:rPr>
        <w:t>"</w:t>
      </w:r>
      <w:r>
        <w:rPr>
          <w:rtl w:val="true"/>
        </w:rPr>
        <w:t>תצהיר</w:t>
      </w:r>
      <w:r>
        <w:rPr>
          <w:rtl w:val="true"/>
        </w:rPr>
        <w:t xml:space="preserve">" </w:t>
      </w:r>
      <w:r>
        <w:rPr>
          <w:rtl w:val="true"/>
        </w:rPr>
        <w:t xml:space="preserve">ונשא עמו סכין כדי </w:t>
      </w:r>
      <w:r>
        <w:rPr>
          <w:rtl w:val="true"/>
        </w:rPr>
        <w:t>"</w:t>
      </w:r>
      <w:r>
        <w:rPr>
          <w:rtl w:val="true"/>
        </w:rPr>
        <w:t>להפחיד אותה</w:t>
      </w:r>
      <w:r>
        <w:rPr>
          <w:rtl w:val="true"/>
        </w:rPr>
        <w:t xml:space="preserve">" </w:t>
      </w:r>
      <w:r>
        <w:rPr>
          <w:rtl w:val="true"/>
        </w:rPr>
        <w:t xml:space="preserve">בלבד </w:t>
      </w:r>
      <w:r>
        <w:rPr>
          <w:rtl w:val="true"/>
        </w:rPr>
        <w:t>–</w:t>
      </w:r>
      <w:r>
        <w:rPr>
          <w:rtl w:val="true"/>
        </w:rPr>
        <w:t xml:space="preserve"> נדחו אף הם</w:t>
      </w:r>
      <w:r>
        <w:rPr>
          <w:rtl w:val="true"/>
        </w:rPr>
        <w:t xml:space="preserve">. </w:t>
      </w:r>
      <w:r>
        <w:rPr>
          <w:rtl w:val="true"/>
        </w:rPr>
        <w:t>נקבע כי הראיות מלמדות בבירור על כך כי משעה שהמערער הבין כי המנוחה נחושה בכוונתה להתגרש ממנו</w:t>
      </w:r>
      <w:r>
        <w:rPr>
          <w:rtl w:val="true"/>
        </w:rPr>
        <w:t xml:space="preserve">, </w:t>
      </w:r>
      <w:r>
        <w:rPr>
          <w:rtl w:val="true"/>
        </w:rPr>
        <w:t>ואף לא ליצור עימו כל קשר</w:t>
      </w:r>
      <w:r>
        <w:rPr>
          <w:rtl w:val="true"/>
        </w:rPr>
        <w:t xml:space="preserve">, </w:t>
      </w:r>
      <w:r>
        <w:rPr>
          <w:rtl w:val="true"/>
        </w:rPr>
        <w:t xml:space="preserve">הוא הגיע לביתה עם סכין וגרזן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ברקע למעשיו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עומדים כעסו על קשריה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עם גברים אחרים ועל התלונה במשטרה שעלולה לסבך אותו</w:t>
      </w:r>
      <w:r>
        <w:rPr>
          <w:rtl w:val="true"/>
        </w:rPr>
        <w:t xml:space="preserve">; </w:t>
      </w:r>
      <w:r>
        <w:rPr>
          <w:rtl w:val="true"/>
        </w:rPr>
        <w:t>זעמו על כך שהמנוחה שללה את שובם לחיים משותפים</w:t>
      </w:r>
      <w:r>
        <w:rPr>
          <w:rtl w:val="true"/>
        </w:rPr>
        <w:t xml:space="preserve">, </w:t>
      </w:r>
      <w:r>
        <w:rPr>
          <w:rtl w:val="true"/>
        </w:rPr>
        <w:t xml:space="preserve">חרף </w:t>
      </w:r>
      <w:r>
        <w:rPr>
          <w:rtl w:val="true"/>
        </w:rPr>
        <w:t>"</w:t>
      </w:r>
      <w:r>
        <w:rPr>
          <w:rtl w:val="true"/>
        </w:rPr>
        <w:t>הסכמתה</w:t>
      </w:r>
      <w:r>
        <w:rPr>
          <w:rtl w:val="true"/>
        </w:rPr>
        <w:t xml:space="preserve">" </w:t>
      </w:r>
      <w:r>
        <w:rPr>
          <w:rtl w:val="true"/>
        </w:rPr>
        <w:t>לכך באוזניו קודם לכן</w:t>
      </w:r>
      <w:r>
        <w:rPr>
          <w:rtl w:val="true"/>
        </w:rPr>
        <w:t xml:space="preserve">; </w:t>
      </w:r>
      <w:r>
        <w:rPr>
          <w:rtl w:val="true"/>
        </w:rPr>
        <w:t>והעובדה כי לא היה יכול להשלים עם כך שהמנוחה ביקשה לנתק כל קשר איתו באופן סופי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השיחים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נשואים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 </w:t>
      </w:r>
      <w:r>
        <w:rPr>
          <w:rtl w:val="true"/>
        </w:rPr>
        <w:t xml:space="preserve">בעבירת הרצח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 xml:space="preserve">וכן כי </w:t>
      </w:r>
      <w:r>
        <w:rPr>
          <w:rtl w:val="true"/>
        </w:rPr>
        <w:t>הוכחו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השימוש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tl w:val="true"/>
        </w:rPr>
        <w:t xml:space="preserve"> </w:t>
      </w:r>
      <w:r>
        <w:rPr>
          <w:rtl w:val="true"/>
        </w:rPr>
        <w:t>הפגיעות</w:t>
      </w:r>
      <w:r>
        <w:rPr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הפקרתה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הדקירות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שנוצר</w:t>
      </w:r>
      <w:r>
        <w:rPr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 </w:t>
      </w:r>
      <w:r>
        <w:rPr>
          <w:rtl w:val="true"/>
        </w:rPr>
        <w:t>והמניע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נקבע כי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 xml:space="preserve">עוד נקבע כי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למפגש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tl w:val="true"/>
        </w:rPr>
        <w:t xml:space="preserve"> </w:t>
      </w:r>
      <w:r>
        <w:rPr>
          <w:rtl w:val="true"/>
        </w:rPr>
        <w:t>מתחבא</w:t>
      </w:r>
      <w:r>
        <w:rPr>
          <w:rtl w:val="true"/>
        </w:rPr>
        <w:t xml:space="preserve"> וממתין למנוחה פרק זמן ממושך עובר לרצח</w:t>
      </w:r>
      <w:r>
        <w:rPr>
          <w:rtl w:val="true"/>
        </w:rPr>
        <w:t xml:space="preserve">; </w:t>
      </w:r>
      <w:r>
        <w:rPr>
          <w:rtl w:val="true"/>
        </w:rPr>
        <w:t xml:space="preserve">וכן הובהר כי המנוחה לא עשתה דבר אשר יש בו שמץ התגרות העולה כדי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קנטור</w:t>
      </w:r>
      <w:r>
        <w:rPr>
          <w:rtl w:val="true"/>
        </w:rPr>
        <w:t xml:space="preserve"> מצידה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המערער 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>כפי שיוחסה לו בכתב האישום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מאסר עולם ותשלום פיצוי בסך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לחמשת נפגעי 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חריגותה</w:t>
      </w:r>
      <w:r>
        <w:rPr>
          <w:rtl w:val="true"/>
        </w:rPr>
        <w:t xml:space="preserve">, </w:t>
      </w:r>
      <w:r>
        <w:rPr>
          <w:rtl w:val="true"/>
        </w:rPr>
        <w:t>אין מנוס מלהרחיב על התנהלותו הדיונית של המערער</w:t>
      </w:r>
      <w:r>
        <w:rPr>
          <w:rtl w:val="true"/>
        </w:rPr>
        <w:t xml:space="preserve">, </w:t>
      </w:r>
      <w:r>
        <w:rPr>
          <w:rtl w:val="true"/>
        </w:rPr>
        <w:t>הן בהליך קמא הן בהליך הערעור</w:t>
      </w:r>
      <w:r>
        <w:rPr>
          <w:rtl w:val="true"/>
        </w:rPr>
        <w:t xml:space="preserve">. </w:t>
      </w:r>
      <w:r>
        <w:rPr>
          <w:rtl w:val="true"/>
        </w:rPr>
        <w:t>לדברים חשיבות רבה להתמשכות ההליכים והדיונים עד לשמיעת הערעור ועל כן אפרטם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תשובת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1.2.2015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 </w:t>
      </w:r>
      <w:r>
        <w:rPr>
          <w:rtl w:val="true"/>
        </w:rPr>
        <w:t>חילופים</w:t>
      </w:r>
      <w:r>
        <w:rPr>
          <w:rtl w:val="true"/>
        </w:rPr>
        <w:t xml:space="preserve"> </w:t>
      </w:r>
      <w:r>
        <w:rPr>
          <w:rtl w:val="true"/>
        </w:rPr>
        <w:t>מרובים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סנגורים</w:t>
      </w:r>
      <w:r>
        <w:rPr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בתשובת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 </w:t>
      </w:r>
      <w:r>
        <w:rPr>
          <w:rtl w:val="true"/>
        </w:rPr>
        <w:t xml:space="preserve">שייצגו בשלב זה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שהמנוחה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]", </w:t>
      </w:r>
      <w:r>
        <w:rPr>
          <w:rtl w:val="true"/>
        </w:rPr>
        <w:t>ואולם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למחוק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הצהרת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דחיות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שיוחסה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מופרך</w:t>
      </w:r>
      <w:r>
        <w:rPr>
          <w:rtl w:val="true"/>
        </w:rPr>
        <w:t xml:space="preserve"> </w:t>
      </w:r>
      <w:r>
        <w:rPr>
          <w:rtl w:val="true"/>
        </w:rPr>
        <w:t>ומגמתי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, </w:t>
      </w:r>
      <w:r>
        <w:rPr>
          <w:rtl w:val="true"/>
        </w:rPr>
        <w:t>ייצגו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שהוחלפו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סנגורים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נמשכו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ונמשכים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למקובל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לסביר</w:t>
      </w:r>
      <w:r>
        <w:rPr>
          <w:rtl w:val="true"/>
        </w:rPr>
        <w:t xml:space="preserve">"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ובקשותיהם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;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;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; </w:t>
      </w:r>
      <w:r>
        <w:rPr>
          <w:rtl w:val="true"/>
        </w:rPr>
        <w:t>ולהגיש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סנגוריו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; </w:t>
      </w:r>
      <w:r>
        <w:rPr>
          <w:rtl w:val="true"/>
        </w:rPr>
        <w:t>ונמנע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סיכומים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מתוחכם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ומניפולטיבי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התבטאות</w:t>
      </w:r>
      <w:r>
        <w:rPr>
          <w:rtl w:val="true"/>
        </w:rPr>
        <w:t xml:space="preserve">,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בניבולי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פרקליטי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24.1.2019</w:t>
      </w:r>
      <w:r>
        <w:rPr>
          <w:rtl w:val="true"/>
        </w:rPr>
        <w:t xml:space="preserve"> </w:t>
      </w:r>
      <w:r>
        <w:rPr>
          <w:rtl w:val="true"/>
        </w:rPr>
        <w:t>הוגשה הודעת הערעור על ידי המערער</w:t>
      </w:r>
      <w:r>
        <w:rPr>
          <w:rtl w:val="true"/>
        </w:rPr>
        <w:t xml:space="preserve">, </w:t>
      </w:r>
      <w:r>
        <w:rPr>
          <w:rtl w:val="true"/>
        </w:rPr>
        <w:t>בכתב ידו</w:t>
      </w:r>
      <w:r>
        <w:rPr>
          <w:rtl w:val="true"/>
        </w:rPr>
        <w:t xml:space="preserve">, </w:t>
      </w:r>
      <w:r>
        <w:rPr>
          <w:rtl w:val="true"/>
        </w:rPr>
        <w:t>ללא נימוקי הערעור</w:t>
      </w:r>
      <w:r>
        <w:rPr>
          <w:rtl w:val="true"/>
        </w:rPr>
        <w:t xml:space="preserve">. </w:t>
      </w:r>
      <w:r>
        <w:rPr>
          <w:rtl w:val="true"/>
        </w:rPr>
        <w:t xml:space="preserve">עוד בטרם קרם ההליך עור וגידים </w:t>
      </w:r>
      <w:r>
        <w:rPr>
          <w:rtl w:val="true"/>
        </w:rPr>
        <w:t>–</w:t>
      </w:r>
      <w:r>
        <w:rPr>
          <w:rtl w:val="true"/>
        </w:rPr>
        <w:t xml:space="preserve"> נערמו קשיים רבים</w:t>
      </w:r>
      <w:r>
        <w:rPr>
          <w:rtl w:val="true"/>
        </w:rPr>
        <w:t xml:space="preserve">, </w:t>
      </w:r>
      <w:r>
        <w:rPr>
          <w:rtl w:val="true"/>
        </w:rPr>
        <w:t xml:space="preserve">החלטתו של הרשם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גולדשטיין</w:t>
      </w:r>
      <w:r>
        <w:rPr>
          <w:rtl w:val="true"/>
        </w:rPr>
        <w:t xml:space="preserve"> למנות למערער סניגור מטעם הסניגוריה הציבורית</w:t>
      </w:r>
      <w:r>
        <w:rPr>
          <w:rtl w:val="true"/>
        </w:rPr>
        <w:t xml:space="preserve">, </w:t>
      </w:r>
      <w:r>
        <w:rPr>
          <w:rtl w:val="true"/>
        </w:rPr>
        <w:t>נתקלה בסירוב של המערער והסניגוריה גם יחד</w:t>
      </w:r>
      <w:r>
        <w:rPr>
          <w:rtl w:val="true"/>
        </w:rPr>
        <w:t xml:space="preserve">. </w:t>
      </w:r>
      <w:r>
        <w:rPr>
          <w:rtl w:val="true"/>
        </w:rPr>
        <w:t>זו האחרונה התנגדה בשל סירובו העיקש של המערער להיות מיוצג על ידי סניגור מטעמה ולנוכח התנהלותו כלפי הסניגורים מטעמה בבית המשפט קמא</w:t>
      </w:r>
      <w:r>
        <w:rPr>
          <w:rtl w:val="true"/>
        </w:rPr>
        <w:t xml:space="preserve">. </w:t>
      </w:r>
      <w:r>
        <w:rPr>
          <w:rtl w:val="true"/>
        </w:rPr>
        <w:t>אף המשיבה סברה כי באופן חריג אין לכפות על הסניגוריה הציבורית את הייצוג</w:t>
      </w:r>
      <w:r>
        <w:rPr>
          <w:rtl w:val="true"/>
        </w:rPr>
        <w:t xml:space="preserve">, </w:t>
      </w:r>
      <w:r>
        <w:rPr>
          <w:rtl w:val="true"/>
        </w:rPr>
        <w:t>ויש לאפשר למערער לייצג את עצמו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 xml:space="preserve">בהחלטה מיום </w:t>
      </w:r>
      <w:r>
        <w:rPr/>
        <w:t>12.11.2019</w:t>
      </w:r>
      <w:r>
        <w:rPr>
          <w:rtl w:val="true"/>
        </w:rPr>
        <w:t xml:space="preserve">, </w:t>
      </w:r>
      <w:r>
        <w:rPr>
          <w:rtl w:val="true"/>
        </w:rPr>
        <w:t xml:space="preserve">הרשם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גולדשטיי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ן</w:t>
      </w:r>
      <w:r>
        <w:rPr>
          <w:rtl w:val="true"/>
        </w:rPr>
        <w:t xml:space="preserve"> נמנע משחרור הסניגוריה הציבורית מייצוג המערער</w:t>
      </w:r>
      <w:r>
        <w:rPr>
          <w:rtl w:val="true"/>
        </w:rPr>
        <w:t xml:space="preserve">, </w:t>
      </w:r>
      <w:r>
        <w:rPr>
          <w:rtl w:val="true"/>
        </w:rPr>
        <w:t>נוכח עבירת הרצח בה הורשע</w:t>
      </w:r>
      <w:r>
        <w:rPr>
          <w:rtl w:val="true"/>
        </w:rPr>
        <w:t xml:space="preserve">, </w:t>
      </w:r>
      <w:r>
        <w:rPr>
          <w:rtl w:val="true"/>
        </w:rPr>
        <w:t>תוך שהוא מאפשר למערער לערוך בעצמו את נימוקי הערעור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 xml:space="preserve">הוקצתה למערער תקופה בת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והובהר כי הדיון בערעור יתקיים לאחר מכן אף אם לא יוגשו נימוקי הערעור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לאמור </w:t>
      </w:r>
      <w:hyperlink r:id="rId2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203</w:t>
        </w:r>
      </w:hyperlink>
      <w:r>
        <w:rPr>
          <w:rtl w:val="true"/>
        </w:rPr>
        <w:t xml:space="preserve"> </w:t>
      </w:r>
      <w:r>
        <w:rPr>
          <w:rtl w:val="true"/>
        </w:rPr>
        <w:t>סיפה 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המקנה לבית המשפט סמכות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בהתקרב המועד הנקוב להגשת נימוקי הערעור</w:t>
      </w:r>
      <w:r>
        <w:rPr>
          <w:rtl w:val="true"/>
        </w:rPr>
        <w:t xml:space="preserve">, </w:t>
      </w:r>
      <w:r>
        <w:rPr>
          <w:rtl w:val="true"/>
        </w:rPr>
        <w:t>בית משפט זה נעתר לבקשות ארכה מטעמו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אך הודגש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תינתנה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 xml:space="preserve">ופעם נוספת צוינה סמכותו של בית המשפט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לדחות את הערעור היה ולא יוגשו נימוקי הערעור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ניתנו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ארכות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להגשת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נימוקי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הערעור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החל מחודש מרץ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וחוזר חלילה</w:t>
      </w:r>
      <w:r>
        <w:rPr>
          <w:rtl w:val="true"/>
        </w:rPr>
        <w:t xml:space="preserve">, </w:t>
      </w:r>
      <w:r>
        <w:rPr>
          <w:rtl w:val="true"/>
        </w:rPr>
        <w:t>בעוד הדיונים הקבועים בעניינו נדחים שוב ושוב משלא הוגשו נימוקי הערעור במועדם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בקשות הארכה</w:t>
      </w:r>
      <w:r>
        <w:rPr>
          <w:rtl w:val="true"/>
        </w:rPr>
        <w:t xml:space="preserve">, </w:t>
      </w:r>
      <w:r>
        <w:rPr>
          <w:rtl w:val="true"/>
        </w:rPr>
        <w:t>בין לבין</w:t>
      </w:r>
      <w:r>
        <w:rPr>
          <w:rtl w:val="true"/>
        </w:rPr>
        <w:t xml:space="preserve">, </w:t>
      </w:r>
      <w:r>
        <w:rPr>
          <w:rtl w:val="true"/>
        </w:rPr>
        <w:t>נדחתה בקשת המערער לקביעת הרכב מורחב בעניינו</w:t>
      </w:r>
      <w:r>
        <w:rPr>
          <w:rtl w:val="true"/>
        </w:rPr>
        <w:t xml:space="preserve">; </w:t>
      </w:r>
      <w:r>
        <w:rPr>
          <w:rtl w:val="true"/>
        </w:rPr>
        <w:t>נדחה ערעור שהגיש על החלטות הרשם</w:t>
      </w:r>
      <w:r>
        <w:rPr>
          <w:rtl w:val="true"/>
        </w:rPr>
        <w:t xml:space="preserve">; </w:t>
      </w:r>
      <w:r>
        <w:rPr>
          <w:rtl w:val="true"/>
        </w:rPr>
        <w:t>נדחו בקשות מטעמו לקיום דיון בעניין הגשת נימוקי הערעור</w:t>
      </w:r>
      <w:r>
        <w:rPr>
          <w:rtl w:val="true"/>
        </w:rPr>
        <w:t xml:space="preserve">; </w:t>
      </w:r>
      <w:r>
        <w:rPr>
          <w:rtl w:val="true"/>
        </w:rPr>
        <w:t>ונדחו בקשות לעיון חוזר בהחלטות בית 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23.8.2021</w:t>
      </w:r>
      <w:r>
        <w:rPr>
          <w:rtl w:val="true"/>
        </w:rPr>
        <w:t xml:space="preserve">,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קונקרטית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שבסופה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משהערעור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2.11.2021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1.4.2022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13.4.2022</w:t>
      </w:r>
      <w:r>
        <w:rPr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להגשתם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12.6.2022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כאשר התיק הועבר לטיפול בהרכב שבראשותי לקראת מועד הדיון</w:t>
      </w:r>
      <w:r>
        <w:rPr>
          <w:rtl w:val="true"/>
        </w:rPr>
        <w:t xml:space="preserve">, </w:t>
      </w:r>
      <w:r>
        <w:rPr>
          <w:rtl w:val="true"/>
        </w:rPr>
        <w:t>ומאחר שלא הוגשו נימוקי הערעור</w:t>
      </w:r>
      <w:r>
        <w:rPr>
          <w:rtl w:val="true"/>
        </w:rPr>
        <w:t xml:space="preserve">, </w:t>
      </w:r>
      <w:r>
        <w:rPr>
          <w:rtl w:val="true"/>
        </w:rPr>
        <w:t xml:space="preserve">קבענו כי תתקיים ביום </w:t>
      </w:r>
      <w:r>
        <w:rPr/>
        <w:t>21.6.2022</w:t>
      </w:r>
      <w:r>
        <w:rPr>
          <w:rtl w:val="true"/>
        </w:rPr>
        <w:t xml:space="preserve"> </w:t>
      </w:r>
      <w:r>
        <w:rPr>
          <w:rtl w:val="true"/>
        </w:rPr>
        <w:t>ישיבת תזכורת במעמד הצדדים ובנוכחות נציג מהסניגוריה הציבורית</w:t>
      </w:r>
      <w:r>
        <w:rPr>
          <w:rtl w:val="true"/>
        </w:rPr>
        <w:t xml:space="preserve">. </w:t>
      </w:r>
      <w:r>
        <w:rPr>
          <w:rtl w:val="true"/>
        </w:rPr>
        <w:t>בדיון זה</w:t>
      </w:r>
      <w:r>
        <w:rPr>
          <w:rtl w:val="true"/>
        </w:rPr>
        <w:t xml:space="preserve">, </w:t>
      </w:r>
      <w:r>
        <w:rPr>
          <w:rtl w:val="true"/>
        </w:rPr>
        <w:t>ביקשנו את עמדת המערער לגבי ייצוגו בערעור</w:t>
      </w:r>
      <w:r>
        <w:rPr>
          <w:rtl w:val="true"/>
        </w:rPr>
        <w:t xml:space="preserve">, </w:t>
      </w:r>
      <w:r>
        <w:rPr>
          <w:rtl w:val="true"/>
        </w:rPr>
        <w:t>משסברנו כי ישנו קושי של ממש בקיום דיון בערעור לגופו כאשר המערער מייצג את עצמו</w:t>
      </w:r>
      <w:r>
        <w:rPr>
          <w:rtl w:val="true"/>
        </w:rPr>
        <w:t xml:space="preserve">. </w:t>
      </w:r>
      <w:r>
        <w:rPr>
          <w:rtl w:val="true"/>
        </w:rPr>
        <w:t>בפתח הדיון אף הצענו למערער כי בכל מקרה קולו יישמע</w:t>
      </w:r>
      <w:r>
        <w:rPr>
          <w:rtl w:val="true"/>
        </w:rPr>
        <w:t xml:space="preserve">, </w:t>
      </w:r>
      <w:r>
        <w:rPr>
          <w:rtl w:val="true"/>
        </w:rPr>
        <w:t>כך שלצד טיעוני הסניגוריה</w:t>
      </w:r>
      <w:r>
        <w:rPr>
          <w:rtl w:val="true"/>
        </w:rPr>
        <w:t xml:space="preserve">, </w:t>
      </w:r>
      <w:r>
        <w:rPr>
          <w:rtl w:val="true"/>
        </w:rPr>
        <w:t>יתאפשר לו לטעון בעצמו בפני בית המשפט ביחס לגוף הערעור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התמיד בסירובו לקבלת ייצוג מטעם הסניגוריה הציבורית והדגיש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שייצגו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הכשלים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שלהם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21.6.2022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29-28</w:t>
      </w:r>
      <w:r>
        <w:rPr>
          <w:rtl w:val="true"/>
        </w:rPr>
        <w:t xml:space="preserve">). </w:t>
      </w:r>
      <w:r>
        <w:rPr>
          <w:rtl w:val="true"/>
        </w:rPr>
        <w:t>משלא עלה בידינו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לשכנע את המערער להסתייע בסנגוריה הציבורית ואף לאפשר לו במקביל לטעון בפנינו ככל אשר יחפוץ</w:t>
      </w:r>
      <w:r>
        <w:rPr>
          <w:rtl w:val="true"/>
        </w:rPr>
        <w:t xml:space="preserve">, </w:t>
      </w:r>
      <w:r>
        <w:rPr>
          <w:rtl w:val="true"/>
        </w:rPr>
        <w:t>פטרנו את הסניגוריה הציבורית מייצוגו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ישיבת התזכורת המערער הלין על נהלי שירות בתי הסוהר אשר בגינם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נמנעה הגשת נימוקי הערעור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הסתבר כי בשל אי הבנה כביכול</w:t>
      </w:r>
      <w:r>
        <w:rPr>
          <w:rtl w:val="true"/>
        </w:rPr>
        <w:t xml:space="preserve">, </w:t>
      </w:r>
      <w:r>
        <w:rPr>
          <w:rtl w:val="true"/>
        </w:rPr>
        <w:t>כאשר אחיינית המערער ניסתה לאחרונה להגיש בשמו את נימוקי הערעור בכתב יד</w:t>
      </w:r>
      <w:r>
        <w:rPr>
          <w:rtl w:val="true"/>
        </w:rPr>
        <w:t xml:space="preserve">, </w:t>
      </w:r>
      <w:r>
        <w:rPr>
          <w:rtl w:val="true"/>
        </w:rPr>
        <w:t>הדבר לא התאפשר לה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בהחלטתנו מיום </w:t>
      </w:r>
      <w:r>
        <w:rPr/>
        <w:t>23.6.2022</w:t>
      </w:r>
      <w:r>
        <w:rPr>
          <w:rtl w:val="true"/>
        </w:rPr>
        <w:t xml:space="preserve"> </w:t>
      </w:r>
      <w:r>
        <w:rPr>
          <w:rtl w:val="true"/>
        </w:rPr>
        <w:t xml:space="preserve">קבענו כי לקראת הדיון הקבוע ביום </w:t>
      </w:r>
      <w:r>
        <w:rPr/>
        <w:t>3.8.2022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10.7.2022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תמחק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[...] </w:t>
      </w:r>
      <w:r>
        <w:rPr>
          <w:rtl w:val="true"/>
        </w:rPr>
        <w:t>לתשומת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בהדפסה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לקבלם</w:t>
      </w:r>
      <w:r>
        <w:rPr>
          <w:rtl w:val="true"/>
        </w:rPr>
        <w:t xml:space="preserve">" 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משתוקקים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מאחוריהם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הותרנו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3.8.2022</w:t>
      </w:r>
      <w:r>
        <w:rPr>
          <w:rtl w:val="true"/>
        </w:rPr>
        <w:t xml:space="preserve"> </w:t>
      </w:r>
      <w:r>
        <w:rPr>
          <w:rtl w:val="true"/>
        </w:rPr>
        <w:t>וציינו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יוגשו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3.8.2022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התנהלות דיונית חריגה זו מחייבת מספר הערות</w:t>
      </w:r>
      <w:r>
        <w:rPr>
          <w:rtl w:val="true"/>
        </w:rPr>
        <w:t xml:space="preserve">. </w:t>
      </w:r>
      <w:r>
        <w:rPr>
          <w:rtl w:val="true"/>
        </w:rPr>
        <w:t>אורך הרוח יוצא הדופן שהפגין בית משפט זה כלפי המערער נבע מן הרצון לאפשר למערער לקבל את יומו בבית המשפט כדי שיוכל לשטוח טענותיו כראות עיניו</w:t>
      </w:r>
      <w:r>
        <w:rPr>
          <w:rtl w:val="true"/>
        </w:rPr>
        <w:t xml:space="preserve">, </w:t>
      </w:r>
      <w:r>
        <w:rPr>
          <w:rtl w:val="true"/>
        </w:rPr>
        <w:t>לשם הכרעה עניינית של בית המשפט בערעור לגופו</w:t>
      </w:r>
      <w:r>
        <w:rPr>
          <w:rtl w:val="true"/>
        </w:rPr>
        <w:t xml:space="preserve">. </w:t>
      </w:r>
      <w:r>
        <w:rPr>
          <w:rtl w:val="true"/>
        </w:rPr>
        <w:t xml:space="preserve">משעסקינן בערעור על הרשעת המערער בעבירת הרצח </w:t>
      </w:r>
      <w:r>
        <w:rPr>
          <w:rtl w:val="true"/>
        </w:rPr>
        <w:t>–</w:t>
      </w:r>
      <w:r>
        <w:rPr>
          <w:rtl w:val="true"/>
        </w:rPr>
        <w:t xml:space="preserve"> העבירה החמורה ביותר בספר החוקים</w:t>
      </w:r>
      <w:r>
        <w:rPr>
          <w:rtl w:val="true"/>
        </w:rPr>
        <w:t xml:space="preserve">, </w:t>
      </w:r>
      <w:r>
        <w:rPr>
          <w:rtl w:val="true"/>
        </w:rPr>
        <w:t xml:space="preserve">אשר מלבד העונש החמור הקבוע בצידה מותירה </w:t>
      </w:r>
      <w:r>
        <w:rPr>
          <w:rtl w:val="true"/>
        </w:rPr>
        <w:t>"</w:t>
      </w:r>
      <w:r>
        <w:rPr>
          <w:rtl w:val="true"/>
        </w:rPr>
        <w:t>אות קין</w:t>
      </w:r>
      <w:r>
        <w:rPr>
          <w:rtl w:val="true"/>
        </w:rPr>
        <w:t xml:space="preserve">" </w:t>
      </w:r>
      <w:r>
        <w:rPr>
          <w:rtl w:val="true"/>
        </w:rPr>
        <w:t>על הרוצח</w:t>
      </w:r>
      <w:r>
        <w:rPr>
          <w:rtl w:val="true"/>
        </w:rPr>
        <w:t xml:space="preserve">, </w:t>
      </w:r>
      <w:r>
        <w:rPr>
          <w:rtl w:val="true"/>
        </w:rPr>
        <w:t>מצאנו לנכון לאפשר למערער למצות את טיעוניו בטרם יוכרע הערעור בעניינו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משנימוקי הערעור לא הוגשו למרות הדחיות והארכות הרבות שניתנו לפנים משורת הדין למערער לעשות כן</w:t>
      </w:r>
      <w:r>
        <w:rPr>
          <w:rtl w:val="true"/>
        </w:rPr>
        <w:t xml:space="preserve">, </w:t>
      </w:r>
      <w:r>
        <w:rPr>
          <w:rtl w:val="true"/>
        </w:rPr>
        <w:t>היה בסמכותנו להורות על דחיית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כפי שנעשה בעבר גם ביחס לנאשם בעבירת הרצח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16.11.2011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נעתרנו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איפשרנו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יאוחר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25.8.2022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הכתובים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בעותק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בפורמט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שנשמעו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לפנינו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ונעתרנו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. </w:t>
      </w:r>
      <w:r>
        <w:rPr>
          <w:rtl w:val="true"/>
        </w:rPr>
        <w:t>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שיפורט בהמשך</w:t>
      </w:r>
      <w:r>
        <w:rPr>
          <w:rtl w:val="true"/>
        </w:rPr>
        <w:t xml:space="preserve">, </w:t>
      </w:r>
      <w:r>
        <w:rPr>
          <w:rtl w:val="true"/>
        </w:rPr>
        <w:t>טיעוני המערער בדיון בערעור התייחסו בהרחבה למכלול הנושאים הרלוונטיים שבמחלוקת</w:t>
      </w:r>
      <w:r>
        <w:rPr>
          <w:rtl w:val="true"/>
        </w:rPr>
        <w:t xml:space="preserve">, </w:t>
      </w:r>
      <w:r>
        <w:rPr>
          <w:rtl w:val="true"/>
        </w:rPr>
        <w:t>להם הוא טוען ועליהם חלק בבית המשפט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באלו המילים המערער פתח את טיעוניו לגוף הערעור</w:t>
      </w:r>
      <w:r>
        <w:rPr>
          <w:rtl w:val="true"/>
        </w:rPr>
        <w:t xml:space="preserve">, </w:t>
      </w:r>
      <w:r>
        <w:rPr>
          <w:rtl w:val="true"/>
        </w:rPr>
        <w:t>וכל אשר טען מרגע זה ואילך נועד להוכיח</w:t>
      </w:r>
      <w:r>
        <w:rPr>
          <w:rtl w:val="true"/>
        </w:rPr>
        <w:t xml:space="preserve">, </w:t>
      </w:r>
      <w:r>
        <w:rPr>
          <w:rtl w:val="true"/>
        </w:rPr>
        <w:t>לעגן ולייסד טענה זו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הוא ביצע את </w:t>
      </w:r>
      <w:r>
        <w:rPr>
          <w:rtl w:val="true"/>
        </w:rPr>
        <w:t>"</w:t>
      </w:r>
      <w:r>
        <w:rPr>
          <w:rtl w:val="true"/>
        </w:rPr>
        <w:t>הדקירה הממיתה</w:t>
      </w:r>
      <w:r>
        <w:rPr>
          <w:rtl w:val="true"/>
        </w:rPr>
        <w:t xml:space="preserve">", </w:t>
      </w:r>
      <w:r>
        <w:rPr>
          <w:rtl w:val="true"/>
        </w:rPr>
        <w:t>ואף ייתכן כי זו כלל לא התרחשה בזירה</w:t>
      </w:r>
      <w:r>
        <w:rPr>
          <w:rtl w:val="true"/>
        </w:rPr>
        <w:t xml:space="preserve">, </w:t>
      </w:r>
      <w:r>
        <w:rPr>
          <w:rtl w:val="true"/>
        </w:rPr>
        <w:t>ממספר טעמים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43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כחמישים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שטחיות</w:t>
      </w:r>
      <w:r>
        <w:rPr>
          <w:rtl w:val="true"/>
        </w:rPr>
        <w:t xml:space="preserve">".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לעומתן</w:t>
      </w:r>
      <w:r>
        <w:rPr>
          <w:rtl w:val="true"/>
        </w:rPr>
        <w:t xml:space="preserve">,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", </w:t>
      </w:r>
      <w:r>
        <w:rPr>
          <w:rtl w:val="true"/>
        </w:rPr>
        <w:t>בגזע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החייאה</w:t>
      </w:r>
      <w:r>
        <w:rPr>
          <w:rtl w:val="true"/>
        </w:rPr>
        <w:t xml:space="preserve">, </w:t>
      </w:r>
      <w:r>
        <w:rPr>
          <w:rtl w:val="true"/>
        </w:rPr>
        <w:t>הדופק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לרוחב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המסדרון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המעקה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37-35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הריבוע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6-4</w:t>
      </w:r>
      <w:r>
        <w:rPr>
          <w:rtl w:val="true"/>
        </w:rPr>
        <w:t xml:space="preserve">),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בעורפה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הינף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ולסובב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הממיתה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המעקה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יתיז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קדימה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אנך</w:t>
      </w:r>
      <w:r>
        <w:rPr>
          <w:rtl w:val="true"/>
        </w:rPr>
        <w:t>" 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32-31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tl w:val="true"/>
        </w:rPr>
        <w:t xml:space="preserve">"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בטיעוניו בפנינו</w:t>
      </w:r>
      <w:r>
        <w:rPr>
          <w:rtl w:val="true"/>
        </w:rPr>
        <w:t xml:space="preserve">, </w:t>
      </w:r>
      <w:r>
        <w:rPr>
          <w:rtl w:val="true"/>
        </w:rPr>
        <w:t>המערער ביקש להסתמך על חוות דעתו של ד</w:t>
      </w:r>
      <w:r>
        <w:rPr>
          <w:rtl w:val="true"/>
        </w:rPr>
        <w:t>"</w:t>
      </w:r>
      <w:r>
        <w:rPr>
          <w:rtl w:val="true"/>
        </w:rPr>
        <w:t>ר קוגל</w:t>
      </w:r>
      <w:r>
        <w:rPr>
          <w:rtl w:val="true"/>
        </w:rPr>
        <w:t xml:space="preserve">, </w:t>
      </w:r>
      <w:r>
        <w:rPr>
          <w:rtl w:val="true"/>
        </w:rPr>
        <w:t xml:space="preserve">ממנה הסיק כי פצע הקטילה לא נגרם בהכרח מסכין אלא ייתכן כי לדבריו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מושחז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28-19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נשאלת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וכביכול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שהחזקתי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לוקחים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מזמינים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אמבולנס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מהאמבולנסים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שקושרים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בשקית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באיזשהו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איזושהי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והרימו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האלונקה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ברוחב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4.5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העורף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הרחיב וטען כי השכנים שהיו עדים לאירוע אינם מהימנים מאחר ששינו את גרסתם בעדותם בבית המשפט</w:t>
      </w:r>
      <w:r>
        <w:rPr>
          <w:rtl w:val="true"/>
        </w:rPr>
        <w:t xml:space="preserve">, </w:t>
      </w:r>
      <w:r>
        <w:rPr>
          <w:rtl w:val="true"/>
        </w:rPr>
        <w:t>כאשר חקירתם במשטרה</w:t>
      </w:r>
      <w:r>
        <w:rPr>
          <w:rtl w:val="true"/>
        </w:rPr>
        <w:t xml:space="preserve">, </w:t>
      </w:r>
      <w:r>
        <w:rPr>
          <w:rtl w:val="true"/>
        </w:rPr>
        <w:t xml:space="preserve">התומכת בגרסתו </w:t>
      </w:r>
      <w:r>
        <w:rPr>
          <w:rtl w:val="true"/>
        </w:rPr>
        <w:t>–</w:t>
      </w:r>
      <w:r>
        <w:rPr>
          <w:rtl w:val="true"/>
        </w:rPr>
        <w:t xml:space="preserve"> לא הוגשה לבית המשפט</w:t>
      </w:r>
      <w:r>
        <w:rPr>
          <w:rtl w:val="true"/>
        </w:rPr>
        <w:t xml:space="preserve">; </w:t>
      </w:r>
      <w:r>
        <w:rPr>
          <w:rtl w:val="true"/>
        </w:rPr>
        <w:t>כי עדותה של לילך רצופה סתירות ושקרים</w:t>
      </w:r>
      <w:r>
        <w:rPr>
          <w:rtl w:val="true"/>
        </w:rPr>
        <w:t xml:space="preserve">; </w:t>
      </w:r>
      <w:r>
        <w:rPr>
          <w:rtl w:val="true"/>
        </w:rPr>
        <w:t xml:space="preserve">כי לא קיבל חומרים </w:t>
      </w:r>
      <w:r>
        <w:rPr>
          <w:rtl w:val="true"/>
        </w:rPr>
        <w:t>"</w:t>
      </w:r>
      <w:r>
        <w:rPr>
          <w:rtl w:val="true"/>
        </w:rPr>
        <w:t>קריטיים מהותיים</w:t>
      </w:r>
      <w:r>
        <w:rPr>
          <w:rtl w:val="true"/>
        </w:rPr>
        <w:t xml:space="preserve">" </w:t>
      </w:r>
      <w:r>
        <w:rPr>
          <w:rtl w:val="true"/>
        </w:rPr>
        <w:t>לאורך כל המשפט</w:t>
      </w:r>
      <w:r>
        <w:rPr>
          <w:rtl w:val="true"/>
        </w:rPr>
        <w:t xml:space="preserve">, </w:t>
      </w:r>
      <w:r>
        <w:rPr>
          <w:rtl w:val="true"/>
        </w:rPr>
        <w:t>על אף שביקש זאת</w:t>
      </w:r>
      <w:r>
        <w:rPr>
          <w:rtl w:val="true"/>
        </w:rPr>
        <w:t xml:space="preserve">; </w:t>
      </w:r>
      <w:r>
        <w:rPr>
          <w:rtl w:val="true"/>
        </w:rPr>
        <w:t xml:space="preserve">וכי ביחס לנסיבות התרחשות האירוע טען שהגיע לפגוש את המנוחה כדי לקבל </w:t>
      </w:r>
      <w:r>
        <w:rPr>
          <w:rtl w:val="true"/>
        </w:rPr>
        <w:t>"</w:t>
      </w:r>
      <w:r>
        <w:rPr>
          <w:rtl w:val="true"/>
        </w:rPr>
        <w:t>תצהיר</w:t>
      </w:r>
      <w:r>
        <w:rPr>
          <w:rtl w:val="true"/>
        </w:rPr>
        <w:t xml:space="preserve">", </w:t>
      </w:r>
      <w:r>
        <w:rPr>
          <w:rtl w:val="true"/>
        </w:rPr>
        <w:t>וכי נשא עמו את הסכין רק כדי להפחיד אותה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לשיטת המשיבה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הביאה</w:t>
      </w:r>
      <w:r>
        <w:rPr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 xml:space="preserve">וכי בהגיעו לבניין מגורי המנוחה </w:t>
      </w:r>
      <w:r>
        <w:rPr>
          <w:rtl w:val="true"/>
        </w:rPr>
        <w:t>–</w:t>
      </w:r>
      <w:r>
        <w:rPr>
          <w:rtl w:val="true"/>
        </w:rPr>
        <w:t xml:space="preserve"> התכוון ליטול את חייה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בהעדר נימוקי ערעור מטעמו של המערער המשיבה נאלצה להסתמך בעיקרי הטיעון שהגישה על תשובת המערער לכתב האישום ועל עדותו בבית המשפט המחוזי</w:t>
      </w:r>
      <w:r>
        <w:rPr>
          <w:rtl w:val="true"/>
        </w:rPr>
        <w:t xml:space="preserve">, </w:t>
      </w:r>
      <w:r>
        <w:rPr>
          <w:rtl w:val="true"/>
        </w:rPr>
        <w:t>והשלימה את טיעוניה בדיון בעקבות טיעוני המערער בעל פה 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במוניטור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מדקירותיו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והשתלשלות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והאובססיביות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ולהצטיידותו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וגרזן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",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דינמית</w:t>
      </w:r>
      <w:r>
        <w:rPr>
          <w:rtl w:val="true"/>
        </w:rPr>
        <w:t xml:space="preserve">"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ריבוע</w:t>
      </w:r>
      <w:r>
        <w:rPr>
          <w:rtl w:val="true"/>
        </w:rPr>
        <w:t xml:space="preserve">"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בבחינת השפעת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), </w:t>
      </w:r>
      <w:r>
        <w:rPr>
          <w:rtl w:val="true"/>
        </w:rPr>
        <w:t>נטען כי אין בדין החדש כדי להוות דין מקל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מאחר שמעשיו באים בגדרי עבירת הרצח בנסיבות מחמירות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מארב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ואמרת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דיון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הציב </w:t>
      </w:r>
      <w:r>
        <w:rPr>
          <w:rtl w:val="true"/>
        </w:rPr>
        <w:t>במוקד</w:t>
      </w:r>
      <w:r>
        <w:rPr>
          <w:rtl w:val="true"/>
        </w:rPr>
        <w:t xml:space="preserve"> הערעור סוגיה</w:t>
      </w:r>
      <w:r>
        <w:rPr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 –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אניח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tl w:val="true"/>
        </w:rPr>
        <w:t xml:space="preserve"> </w:t>
      </w:r>
      <w:r>
        <w:rPr>
          <w:rtl w:val="true"/>
        </w:rPr>
        <w:t>מובנת</w:t>
      </w:r>
      <w:r>
        <w:rPr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אם ייקבע שלא הוא ביצע את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יוותר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לאשמו</w:t>
      </w:r>
      <w:r>
        <w:rPr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ששמענו כאמור בהרחבה רבה את 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השתכנעתי כי יש לדחות את הערעור וכי המערער הוא זה שביצע את </w:t>
      </w:r>
      <w:r>
        <w:rPr>
          <w:rtl w:val="true"/>
        </w:rPr>
        <w:t>"</w:t>
      </w:r>
      <w:r>
        <w:rPr>
          <w:rtl w:val="true"/>
        </w:rPr>
        <w:t>הדקירה הממיתה</w:t>
      </w:r>
      <w:r>
        <w:rPr>
          <w:rtl w:val="true"/>
        </w:rPr>
        <w:t xml:space="preserve">". </w:t>
      </w:r>
      <w:r>
        <w:rPr>
          <w:rtl w:val="true"/>
        </w:rPr>
        <w:t xml:space="preserve">צבר הראיות נגד המערער הוא חד משמעי </w:t>
      </w:r>
      <w:r>
        <w:rPr>
          <w:rtl w:val="true"/>
        </w:rPr>
        <w:t>–</w:t>
      </w:r>
      <w:r>
        <w:rPr>
          <w:rtl w:val="true"/>
        </w:rPr>
        <w:t xml:space="preserve"> עדויות מהימנות על אשר התרחש עובר לאירוע הרצח</w:t>
      </w:r>
      <w:r>
        <w:rPr>
          <w:rtl w:val="true"/>
        </w:rPr>
        <w:t xml:space="preserve">, </w:t>
      </w:r>
      <w:r>
        <w:rPr>
          <w:rtl w:val="true"/>
        </w:rPr>
        <w:t>במהלכו ולאחריו</w:t>
      </w:r>
      <w:r>
        <w:rPr>
          <w:rtl w:val="true"/>
        </w:rPr>
        <w:t xml:space="preserve">; </w:t>
      </w:r>
      <w:r>
        <w:rPr>
          <w:rtl w:val="true"/>
        </w:rPr>
        <w:t>ראיות ברורות אודות אופן מות המנוחה ונסיבות ביצוע העבירות</w:t>
      </w:r>
      <w:r>
        <w:rPr>
          <w:rtl w:val="true"/>
        </w:rPr>
        <w:t xml:space="preserve">; </w:t>
      </w:r>
      <w:r>
        <w:rPr>
          <w:rtl w:val="true"/>
        </w:rPr>
        <w:t>ועדויות וראיות למכביר המלמדות על התנהלות המערער כלפי המנוחה בימים שלפני הרצח</w:t>
      </w:r>
      <w:r>
        <w:rPr>
          <w:rtl w:val="true"/>
        </w:rPr>
        <w:t xml:space="preserve">, </w:t>
      </w:r>
      <w:r>
        <w:rPr>
          <w:rtl w:val="true"/>
        </w:rPr>
        <w:t>ועל המניע להתרחשותו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נדקרה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–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עכוזה</w:t>
      </w:r>
      <w:r>
        <w:rPr>
          <w:rtl w:val="true"/>
        </w:rPr>
        <w:t xml:space="preserve">, </w:t>
      </w:r>
      <w:r>
        <w:rPr>
          <w:rtl w:val="true"/>
        </w:rPr>
        <w:t>רגליה וידיה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מכיר כאמור באחריותו לדקירות בגוף המנוחה</w:t>
      </w:r>
      <w:r>
        <w:rPr>
          <w:rtl w:val="true"/>
        </w:rPr>
        <w:t xml:space="preserve">, </w:t>
      </w:r>
      <w:r>
        <w:rPr>
          <w:rtl w:val="true"/>
        </w:rPr>
        <w:t>ואין לי אלא להביא דברים בשם אומרם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המדרגות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ממני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3.8.2022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22-17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ואילו ביחס ל</w:t>
      </w:r>
      <w:r>
        <w:rPr>
          <w:rtl w:val="true"/>
        </w:rPr>
        <w:t>"</w:t>
      </w:r>
      <w:r>
        <w:rPr>
          <w:rtl w:val="true"/>
        </w:rPr>
        <w:t>דקירה הממיתה</w:t>
      </w:r>
      <w:r>
        <w:rPr>
          <w:rtl w:val="true"/>
        </w:rPr>
        <w:t xml:space="preserve">" </w:t>
      </w:r>
      <w:r>
        <w:rPr>
          <w:rtl w:val="true"/>
        </w:rPr>
        <w:t xml:space="preserve">עמד על טענתו כי זו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14-13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נסוב אפוא על קביעות עובדה ומהימנות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נקודת המוצא לדיוננו תהא כי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לא </w:t>
      </w:r>
      <w:r>
        <w:rPr>
          <w:rtl w:val="true"/>
        </w:rPr>
        <w:t>נוהגת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בקביעות מסוג זה ש</w:t>
      </w:r>
      <w:r>
        <w:rPr>
          <w:rtl w:val="true"/>
        </w:rPr>
        <w:t>נקבעו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באורח</w:t>
      </w:r>
      <w:r>
        <w:rPr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 </w:t>
      </w:r>
      <w:r>
        <w:rPr>
          <w:rtl w:val="true"/>
        </w:rPr>
        <w:t>מהעדויות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 </w:t>
      </w:r>
      <w:r>
        <w:rPr>
          <w:rtl w:val="true"/>
        </w:rPr>
        <w:t>ומהשתלבותן</w:t>
      </w:r>
      <w:r>
        <w:rPr>
          <w:rtl w:val="true"/>
        </w:rPr>
        <w:t xml:space="preserve"> </w:t>
      </w:r>
      <w:r>
        <w:rPr>
          <w:rtl w:val="true"/>
        </w:rPr>
        <w:t>במארג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6322/20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18.9.2022</w:t>
      </w:r>
      <w:r>
        <w:rPr>
          <w:rtl w:val="true"/>
        </w:rPr>
        <w:t xml:space="preserve">)). </w:t>
      </w:r>
      <w:r>
        <w:rPr>
          <w:rtl w:val="true"/>
        </w:rPr>
        <w:t>מטעמיה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ישנו</w:t>
      </w:r>
      <w:r>
        <w:rPr>
          <w:rtl w:val="true"/>
        </w:rPr>
        <w:t xml:space="preserve"> </w:t>
      </w:r>
      <w:r>
        <w:rPr>
          <w:rtl w:val="true"/>
        </w:rPr>
        <w:t>יתרון</w:t>
      </w:r>
      <w:r>
        <w:rPr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 </w:t>
      </w:r>
      <w:r>
        <w:rPr>
          <w:rtl w:val="true"/>
        </w:rPr>
        <w:t>לערכאה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המתרשמת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מהעדויות</w:t>
      </w:r>
      <w:r>
        <w:rPr>
          <w:rtl w:val="true"/>
        </w:rPr>
        <w:t xml:space="preserve"> </w:t>
      </w:r>
      <w:r>
        <w:rPr>
          <w:rtl w:val="true"/>
        </w:rPr>
        <w:t>שמוצגות</w:t>
      </w:r>
      <w:r>
        <w:rPr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את אשר התרחש באירוע הרצח</w:t>
      </w:r>
      <w:r>
        <w:rPr>
          <w:rtl w:val="true"/>
        </w:rPr>
        <w:t xml:space="preserve">, </w:t>
      </w:r>
      <w:r>
        <w:rPr>
          <w:rtl w:val="true"/>
        </w:rPr>
        <w:t>ניתן ללמוד באופן ישיר מהראיות והעדויות המתייחסות לרצח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אמרות העדים</w:t>
      </w:r>
      <w:r>
        <w:rPr>
          <w:rtl w:val="true"/>
        </w:rPr>
        <w:t xml:space="preserve">, </w:t>
      </w:r>
      <w:r>
        <w:rPr>
          <w:rtl w:val="true"/>
        </w:rPr>
        <w:t>הראיות ונסיבות האירוע</w:t>
      </w:r>
      <w:r>
        <w:rPr>
          <w:rtl w:val="true"/>
        </w:rPr>
        <w:t xml:space="preserve">; </w:t>
      </w:r>
      <w:r>
        <w:rPr>
          <w:rtl w:val="true"/>
        </w:rPr>
        <w:t>ובאופן משני מהאירועים שקדמו לרצח</w:t>
      </w:r>
      <w:r>
        <w:rPr>
          <w:rtl w:val="true"/>
        </w:rPr>
        <w:t xml:space="preserve">, </w:t>
      </w:r>
      <w:r>
        <w:rPr>
          <w:rtl w:val="true"/>
        </w:rPr>
        <w:t>ובכללם אמרות המנוחה עצמה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", </w:t>
      </w:r>
      <w:r>
        <w:rPr>
          <w:rtl w:val="true"/>
        </w:rPr>
        <w:t>ומובילה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tl w:val="true"/>
        </w:rPr>
        <w:t xml:space="preserve">,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לילך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לילך רוקח ראתה</w:t>
      </w:r>
      <w:r>
        <w:rPr>
          <w:rtl w:val="true"/>
        </w:rPr>
        <w:t xml:space="preserve">, </w:t>
      </w:r>
      <w:r>
        <w:rPr>
          <w:rtl w:val="true"/>
        </w:rPr>
        <w:t>בעת שהמתינה ברכבה למנוחה</w:t>
      </w:r>
      <w:r>
        <w:rPr>
          <w:rtl w:val="true"/>
        </w:rPr>
        <w:t xml:space="preserve">, </w:t>
      </w:r>
      <w:r>
        <w:rPr>
          <w:rtl w:val="true"/>
        </w:rPr>
        <w:t xml:space="preserve">את המדרגות הראשונות של הבניין ואת המנוחה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המדרגות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מהצד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המדרגות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בשערות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למטה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16.7.2015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17-15</w:t>
      </w:r>
      <w:r>
        <w:rPr>
          <w:rtl w:val="true"/>
        </w:rPr>
        <w:t xml:space="preserve">). </w:t>
      </w:r>
      <w:r>
        <w:rPr>
          <w:rtl w:val="true"/>
        </w:rPr>
        <w:t>ברגע זה</w:t>
      </w:r>
      <w:r>
        <w:rPr>
          <w:rtl w:val="true"/>
        </w:rPr>
        <w:t xml:space="preserve">, </w:t>
      </w:r>
      <w:r>
        <w:rPr>
          <w:rtl w:val="true"/>
        </w:rPr>
        <w:t>לפי עדותה</w:t>
      </w:r>
      <w:r>
        <w:rPr>
          <w:rtl w:val="true"/>
        </w:rPr>
        <w:t xml:space="preserve">, </w:t>
      </w:r>
      <w:r>
        <w:rPr>
          <w:rtl w:val="true"/>
        </w:rPr>
        <w:t>היא כבר לא ראתה את המנוחה ואת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6-5</w:t>
      </w:r>
      <w:r>
        <w:rPr>
          <w:rtl w:val="true"/>
        </w:rPr>
        <w:t xml:space="preserve">). </w:t>
      </w:r>
      <w:r>
        <w:rPr>
          <w:rtl w:val="true"/>
        </w:rPr>
        <w:t>בעוד לילך חיפשה עזרה ברחוב</w:t>
      </w:r>
      <w:r>
        <w:rPr>
          <w:rtl w:val="true"/>
        </w:rPr>
        <w:t xml:space="preserve">, </w:t>
      </w:r>
      <w:r>
        <w:rPr>
          <w:rtl w:val="true"/>
        </w:rPr>
        <w:t xml:space="preserve">המערער יצא מהבניין ועבר למולה כאשר מבטו מופנה ישר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זומבי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tl w:val="true"/>
        </w:rPr>
        <w:t xml:space="preserve">",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לאוזן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לאוזן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לצאת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30-16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השכנים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הרצח</w:t>
      </w:r>
      <w:r>
        <w:rPr>
          <w:rtl w:val="true"/>
        </w:rPr>
        <w:t xml:space="preserve">, </w:t>
      </w:r>
      <w:r>
        <w:rPr>
          <w:rtl w:val="true"/>
        </w:rPr>
        <w:t xml:space="preserve">השכנים המתגוררים בקומת הקרקע בבניין יצאו מדירתם לשמע צעקות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הצילו</w:t>
      </w:r>
      <w:r>
        <w:rPr>
          <w:rtl w:val="true"/>
        </w:rPr>
        <w:t xml:space="preserve">" </w:t>
      </w:r>
      <w:r>
        <w:rPr>
          <w:rtl w:val="true"/>
        </w:rPr>
        <w:t>של המנוחה</w:t>
      </w:r>
      <w:r>
        <w:rPr>
          <w:rtl w:val="true"/>
        </w:rPr>
        <w:t xml:space="preserve">. </w:t>
      </w:r>
      <w:r>
        <w:rPr>
          <w:rtl w:val="true"/>
        </w:rPr>
        <w:t>כאשר פתחו את דלת הדירה נגלה לעיניהם המחזה הבא</w:t>
      </w:r>
      <w:r>
        <w:rPr>
          <w:rtl w:val="true"/>
        </w:rPr>
        <w:t xml:space="preserve">, </w:t>
      </w:r>
      <w:r>
        <w:rPr>
          <w:rtl w:val="true"/>
        </w:rPr>
        <w:t>כלשון השכן מ</w:t>
      </w:r>
      <w:r>
        <w:rPr>
          <w:rtl w:val="true"/>
        </w:rPr>
        <w:t>':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שוכבת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לדקור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דוקר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פרו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6.12.2015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320-316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השכן פ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הוסיף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ותיאר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בפישוק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המנוחה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שכובה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חלקית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הרצפה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רגליו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מהגובה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בעוד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מתכופף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קצת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ודוקר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המנוחה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358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30-17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 נוסף באירוע הרצח</w:t>
      </w:r>
      <w:r>
        <w:rPr>
          <w:rtl w:val="true"/>
        </w:rPr>
        <w:t xml:space="preserve">, </w:t>
      </w:r>
      <w:r>
        <w:rPr>
          <w:rtl w:val="true"/>
        </w:rPr>
        <w:t>היה הבן ש</w:t>
      </w:r>
      <w:r>
        <w:rPr>
          <w:rtl w:val="true"/>
        </w:rPr>
        <w:t xml:space="preserve">', </w:t>
      </w:r>
      <w:r>
        <w:rPr>
          <w:rtl w:val="true"/>
        </w:rPr>
        <w:t xml:space="preserve">אשר העיד כי המנוח הפציר בו שוב ושוב כי יסייע לו לשוב לאמו </w:t>
      </w:r>
      <w:r>
        <w:rPr>
          <w:rtl w:val="true"/>
        </w:rPr>
        <w:t>–</w:t>
      </w:r>
      <w:r>
        <w:rPr>
          <w:rtl w:val="true"/>
        </w:rPr>
        <w:t xml:space="preserve"> המנוחה</w:t>
      </w:r>
      <w:r>
        <w:rPr>
          <w:rtl w:val="true"/>
        </w:rPr>
        <w:t xml:space="preserve">, </w:t>
      </w:r>
      <w:r>
        <w:rPr>
          <w:rtl w:val="true"/>
        </w:rPr>
        <w:t xml:space="preserve">אולם זו האחרונה סירבה לשמוע על המערער ובקשותיו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22.12.2015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עוד תיאר כי נפגש עם המערער בסמוך למקלט</w:t>
      </w:r>
      <w:r>
        <w:rPr>
          <w:rtl w:val="true"/>
        </w:rPr>
        <w:t xml:space="preserve">, </w:t>
      </w:r>
      <w:r>
        <w:rPr>
          <w:rtl w:val="true"/>
        </w:rPr>
        <w:t xml:space="preserve">הבהיר לו כי המנוחה לא מוכנה להיפגש עמו ולשאלתו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לעלות</w:t>
      </w:r>
      <w:r>
        <w:rPr>
          <w:rtl w:val="true"/>
        </w:rPr>
        <w:t xml:space="preserve">?" </w:t>
      </w:r>
      <w:r>
        <w:rPr>
          <w:rtl w:val="true"/>
        </w:rPr>
        <w:t xml:space="preserve">השיב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לעלות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במעמד זה</w:t>
      </w:r>
      <w:r>
        <w:rPr>
          <w:rtl w:val="true"/>
        </w:rPr>
        <w:t xml:space="preserve">, </w:t>
      </w:r>
      <w:r>
        <w:rPr>
          <w:rtl w:val="true"/>
        </w:rPr>
        <w:t>המערער הציג לבן ש</w:t>
      </w:r>
      <w:r>
        <w:rPr>
          <w:rtl w:val="true"/>
        </w:rPr>
        <w:t xml:space="preserve">' </w:t>
      </w:r>
      <w:r>
        <w:rPr>
          <w:rtl w:val="true"/>
        </w:rPr>
        <w:t xml:space="preserve">הודעה בה רשם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tl w:val="true"/>
        </w:rPr>
        <w:t xml:space="preserve">", </w:t>
      </w:r>
      <w:r>
        <w:rPr>
          <w:rtl w:val="true"/>
        </w:rPr>
        <w:t>ובטרם שב הבן ש</w:t>
      </w:r>
      <w:r>
        <w:rPr>
          <w:rtl w:val="true"/>
        </w:rPr>
        <w:t xml:space="preserve">' </w:t>
      </w:r>
      <w:r>
        <w:rPr>
          <w:rtl w:val="true"/>
        </w:rPr>
        <w:t xml:space="preserve">לדירה ביקש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ואמר לבנו כי הוא הולך מהמקום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18-5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). </w:t>
      </w:r>
      <w:r>
        <w:rPr>
          <w:rtl w:val="true"/>
        </w:rPr>
        <w:t>לפתע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הזזתי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 לאחר הרצח</w:t>
      </w:r>
      <w:r>
        <w:rPr>
          <w:rtl w:val="true"/>
        </w:rPr>
        <w:t xml:space="preserve">, </w:t>
      </w:r>
      <w:r>
        <w:rPr>
          <w:rtl w:val="true"/>
        </w:rPr>
        <w:t>המערער העיד כי יצא מהבניין</w:t>
      </w:r>
      <w:r>
        <w:rPr>
          <w:rtl w:val="true"/>
        </w:rPr>
        <w:t xml:space="preserve">, </w:t>
      </w:r>
      <w:r>
        <w:rPr>
          <w:rtl w:val="true"/>
        </w:rPr>
        <w:t>חצה את הכביש והתיישב בתחנת אוטובוס</w:t>
      </w:r>
      <w:r>
        <w:rPr>
          <w:rtl w:val="true"/>
        </w:rPr>
        <w:t xml:space="preserve">, </w:t>
      </w:r>
      <w:r>
        <w:rPr>
          <w:rtl w:val="true"/>
        </w:rPr>
        <w:t>שם פגש את 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 xml:space="preserve">אשר בהודעה שמסר במשטרה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) </w:t>
      </w:r>
      <w:r>
        <w:rPr>
          <w:rtl w:val="true"/>
        </w:rPr>
        <w:t xml:space="preserve">תיאר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הסתכלתי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והיססתי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תירגע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והדליק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סיגריה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נשואים</w:t>
      </w:r>
      <w:r>
        <w:rPr>
          <w:rtl w:val="true"/>
        </w:rPr>
        <w:t xml:space="preserve">" </w:t>
      </w:r>
      <w:r>
        <w:rPr>
          <w:rtl w:val="true"/>
        </w:rPr>
        <w:t xml:space="preserve">ובהמשך במענה לשאלת החוקר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כששאלת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החשוד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שדקר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 xml:space="preserve">" </w:t>
      </w:r>
      <w:r>
        <w:rPr>
          <w:rtl w:val="true"/>
        </w:rPr>
        <w:t>השיב 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נשואים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לילך</w:t>
      </w:r>
      <w:r>
        <w:rPr>
          <w:rtl w:val="true"/>
        </w:rPr>
        <w:t xml:space="preserve">,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מציירות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עדויות אלו סותרות את טענת החפות של המערער ובעוד שבית המשפט המחוזי אימץ אותן</w:t>
      </w:r>
      <w:r>
        <w:rPr>
          <w:rtl w:val="true"/>
        </w:rPr>
        <w:t xml:space="preserve">, </w:t>
      </w:r>
      <w:r>
        <w:rPr>
          <w:rtl w:val="true"/>
        </w:rPr>
        <w:t xml:space="preserve">ביחס לעדות המערער 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מתוחכם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מניפולטיבי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ולדייק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במילותיו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שהקפיד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ולערפל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>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לעדויות</w:t>
      </w:r>
      <w:r>
        <w:rPr>
          <w:rtl w:val="true"/>
        </w:rPr>
        <w:t xml:space="preserve">, </w:t>
      </w:r>
      <w:r>
        <w:rPr>
          <w:rtl w:val="true"/>
        </w:rPr>
        <w:t>ניתן להבחין בנקל בתמונות מזירת האירוע בכתמי דם גדולים בסמוך למעקה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 xml:space="preserve">במיקום ראשה של המנוחה בעת המעשים </w:t>
      </w:r>
      <w:r>
        <w:rPr>
          <w:rtl w:val="true"/>
        </w:rPr>
        <w:t>(</w:t>
      </w:r>
      <w:r>
        <w:rPr>
          <w:rtl w:val="true"/>
        </w:rPr>
        <w:t>תמונות מס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), </w:t>
      </w:r>
      <w:r>
        <w:rPr>
          <w:rtl w:val="true"/>
        </w:rPr>
        <w:t xml:space="preserve">וכמות דם היוצרת </w:t>
      </w:r>
      <w:r>
        <w:rPr>
          <w:rtl w:val="true"/>
        </w:rPr>
        <w:t>"</w:t>
      </w:r>
      <w:r>
        <w:rPr>
          <w:rtl w:val="true"/>
        </w:rPr>
        <w:t>שלולית ענקית של דם</w:t>
      </w:r>
      <w:r>
        <w:rPr>
          <w:rtl w:val="true"/>
        </w:rPr>
        <w:t xml:space="preserve">", </w:t>
      </w:r>
      <w:r>
        <w:rPr>
          <w:rtl w:val="true"/>
        </w:rPr>
        <w:t>על התהוותה בזמן אמת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לילך</w:t>
      </w:r>
      <w:r>
        <w:rPr>
          <w:rtl w:val="true"/>
        </w:rPr>
        <w:t xml:space="preserve">, </w:t>
      </w:r>
      <w:r>
        <w:rPr>
          <w:rtl w:val="true"/>
        </w:rPr>
        <w:t>הבן ש</w:t>
      </w:r>
      <w:r>
        <w:rPr>
          <w:rtl w:val="true"/>
        </w:rPr>
        <w:t xml:space="preserve">' </w:t>
      </w:r>
      <w:r>
        <w:rPr>
          <w:rtl w:val="true"/>
        </w:rPr>
        <w:t>והמערער בעצמו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העדויות והראיות לעיל אודות אירוע הרצח</w:t>
      </w:r>
      <w:r>
        <w:rPr>
          <w:rtl w:val="true"/>
        </w:rPr>
        <w:t xml:space="preserve">, </w:t>
      </w:r>
      <w:r>
        <w:rPr>
          <w:rtl w:val="true"/>
        </w:rPr>
        <w:t>מלמדות על כוונת הקטילה של המערער במעשיו</w:t>
      </w:r>
      <w:r>
        <w:rPr>
          <w:rtl w:val="true"/>
        </w:rPr>
        <w:t xml:space="preserve">; </w:t>
      </w:r>
      <w:r>
        <w:rPr>
          <w:rtl w:val="true"/>
        </w:rPr>
        <w:t xml:space="preserve">על האינטנסיביות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הדקירות אחת אחרי השנייה</w:t>
      </w:r>
      <w:r>
        <w:rPr>
          <w:rtl w:val="true"/>
        </w:rPr>
        <w:t xml:space="preserve">; </w:t>
      </w:r>
      <w:r>
        <w:rPr>
          <w:rtl w:val="true"/>
        </w:rPr>
        <w:t>על פצע הדקירה הגדול בצוואר המנוחה ממנו ניגר דם רב</w:t>
      </w:r>
      <w:r>
        <w:rPr>
          <w:rtl w:val="true"/>
        </w:rPr>
        <w:t xml:space="preserve">; </w:t>
      </w:r>
      <w:r>
        <w:rPr>
          <w:rtl w:val="true"/>
        </w:rPr>
        <w:t xml:space="preserve">ועל העובדה כי </w:t>
      </w:r>
      <w:r>
        <w:rPr>
          <w:rtl w:val="true"/>
        </w:rPr>
        <w:t>"</w:t>
      </w:r>
      <w:r>
        <w:rPr>
          <w:rtl w:val="true"/>
        </w:rPr>
        <w:t>הדקירה הממיתה</w:t>
      </w:r>
      <w:r>
        <w:rPr>
          <w:rtl w:val="true"/>
        </w:rPr>
        <w:t xml:space="preserve">" </w:t>
      </w:r>
      <w:r>
        <w:rPr>
          <w:rtl w:val="true"/>
        </w:rPr>
        <w:t>אשר המיתה את המנוחה תוך שניות בודדות התרחשה בזירת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וזו בוצעה בידי המערער </w:t>
      </w:r>
      <w:r>
        <w:rPr>
          <w:rtl w:val="true"/>
        </w:rPr>
        <w:t>–</w:t>
      </w:r>
      <w:r>
        <w:rPr>
          <w:rtl w:val="true"/>
        </w:rPr>
        <w:t xml:space="preserve"> הוא ולא אחר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הפרמדיק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43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 וטוען</w:t>
      </w:r>
      <w:r>
        <w:rPr>
          <w:rtl w:val="true"/>
        </w:rPr>
        <w:t xml:space="preserve">, </w:t>
      </w:r>
      <w:r>
        <w:rPr>
          <w:rtl w:val="true"/>
        </w:rPr>
        <w:t>כמפורט לעיל בהרחבה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 xml:space="preserve">" </w:t>
      </w:r>
      <w:r>
        <w:rPr>
          <w:rtl w:val="true"/>
        </w:rPr>
        <w:t xml:space="preserve">מאחר שלא ייתכן כי הוא זה שביצע את </w:t>
      </w:r>
      <w:r>
        <w:rPr>
          <w:rtl w:val="true"/>
        </w:rPr>
        <w:t>"</w:t>
      </w:r>
      <w:r>
        <w:rPr>
          <w:rtl w:val="true"/>
        </w:rPr>
        <w:t>הדקירה הממיתה</w:t>
      </w:r>
      <w:r>
        <w:rPr>
          <w:rtl w:val="true"/>
        </w:rPr>
        <w:t xml:space="preserve">". </w:t>
      </w:r>
      <w:r>
        <w:rPr>
          <w:rtl w:val="true"/>
        </w:rPr>
        <w:t>טענה זו</w:t>
      </w:r>
      <w:r>
        <w:rPr>
          <w:rtl w:val="true"/>
        </w:rPr>
        <w:t xml:space="preserve">, </w:t>
      </w:r>
      <w:r>
        <w:rPr>
          <w:rtl w:val="true"/>
        </w:rPr>
        <w:t>נדחתה בבית המשפט המחוזי ואף אני איני מוצא לקבלה משזו ניצבת בסתירה חזיתית לעדויות</w:t>
      </w:r>
      <w:r>
        <w:rPr>
          <w:rtl w:val="true"/>
        </w:rPr>
        <w:t xml:space="preserve">, </w:t>
      </w:r>
      <w:r>
        <w:rPr>
          <w:rtl w:val="true"/>
        </w:rPr>
        <w:t>לראיות ולקביעות שבעובדה של בית המשפט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בהודעת הפרמדיק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 xml:space="preserve">אשר נכח בזירה תועד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שוכבת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ענקית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ניגשתי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וזיהיתי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הקורטיד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לאוזן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נשימה</w:t>
      </w:r>
      <w:r>
        <w:rPr>
          <w:rtl w:val="true"/>
        </w:rPr>
        <w:t xml:space="preserve">". </w:t>
      </w: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קוגל קבע</w:t>
      </w:r>
      <w:r>
        <w:rPr>
          <w:rtl w:val="true"/>
        </w:rPr>
        <w:t xml:space="preserve">, </w:t>
      </w:r>
      <w:r>
        <w:rPr>
          <w:rtl w:val="true"/>
        </w:rPr>
        <w:t xml:space="preserve">בהסתמך על חוות דעתו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43</w:t>
      </w:r>
      <w:r>
        <w:rPr>
          <w:rtl w:val="true"/>
        </w:rPr>
        <w:t xml:space="preserve">)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24.1.2017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25-19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את כובד טיעונו</w:t>
      </w:r>
      <w:r>
        <w:rPr>
          <w:rtl w:val="true"/>
        </w:rPr>
        <w:t xml:space="preserve">, </w:t>
      </w:r>
      <w:r>
        <w:rPr>
          <w:rtl w:val="true"/>
        </w:rPr>
        <w:t>המערער תולה בשילוב שבין הבהרת ד</w:t>
      </w:r>
      <w:r>
        <w:rPr>
          <w:rtl w:val="true"/>
        </w:rPr>
        <w:t>"</w:t>
      </w:r>
      <w:r>
        <w:rPr>
          <w:rtl w:val="true"/>
        </w:rPr>
        <w:t xml:space="preserve">ר קוגל לפיה </w:t>
      </w:r>
      <w:r>
        <w:rPr>
          <w:rtl w:val="true"/>
        </w:rPr>
        <w:t>"</w:t>
      </w:r>
      <w:r>
        <w:rPr>
          <w:rtl w:val="true"/>
        </w:rPr>
        <w:t>הדקירה הממיתה</w:t>
      </w:r>
      <w:r>
        <w:rPr>
          <w:rtl w:val="true"/>
        </w:rPr>
        <w:t xml:space="preserve">" </w:t>
      </w:r>
      <w:r>
        <w:rPr>
          <w:rtl w:val="true"/>
        </w:rPr>
        <w:t>הביאה למותה של המנוחה תוך שניות בודדות</w:t>
      </w:r>
      <w:r>
        <w:rPr>
          <w:rtl w:val="true"/>
        </w:rPr>
        <w:t xml:space="preserve">, </w:t>
      </w:r>
      <w:r>
        <w:rPr>
          <w:rtl w:val="true"/>
        </w:rPr>
        <w:t>לבין הודעתו של הפרמדיק לפיה לאחר שנעשו במנוחה פעולות החייאה היא פונתה לבית החולים כשהוא מזהה אותות דופק בקרבה ובעודה בחיים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קוגל שלל את ההתרשמות מאותות הלב כמלמדים על כך שהמנוחה הייתה עדיין בחיים</w:t>
      </w:r>
      <w:r>
        <w:rPr>
          <w:rtl w:val="true"/>
        </w:rPr>
        <w:t xml:space="preserve">, </w:t>
      </w:r>
      <w:r>
        <w:rPr>
          <w:rtl w:val="true"/>
        </w:rPr>
        <w:t xml:space="preserve">וקבע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הלב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חשמלי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אוטונומי</w:t>
      </w:r>
      <w:r>
        <w:rPr>
          <w:rFonts w:cs="Miriam"/>
          <w:b/>
          <w:spacing w:val="0"/>
          <w:szCs w:val="24"/>
          <w:rtl w:val="true"/>
        </w:rPr>
        <w:t xml:space="preserve">... </w:t>
      </w:r>
      <w:r>
        <w:rPr>
          <w:rFonts w:cs="Miriam"/>
          <w:b/>
          <w:b/>
          <w:spacing w:val="0"/>
          <w:szCs w:val="24"/>
          <w:rtl w:val="true"/>
        </w:rPr>
        <w:t>אותות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חשמליים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יכולים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לעבוד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שהלב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מתכווץ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ואנחנו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רואים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במוניטור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כלומר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העובדה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רואה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פעילות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חשמלית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אומרת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שהלב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ואיננה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אומרת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שהבן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אדם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בחיים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משנה</w:t>
      </w:r>
      <w:r>
        <w:rPr>
          <w:rtl w:val="true"/>
        </w:rPr>
        <w:t xml:space="preserve">". </w:t>
      </w:r>
      <w:r>
        <w:rPr>
          <w:rFonts w:ascii="Arial TUR;Arial" w:hAnsi="Arial TUR;Arial" w:cs="Arial TUR;Arial"/>
          <w:sz w:val="22"/>
          <w:sz w:val="22"/>
          <w:rtl w:val="true"/>
        </w:rPr>
        <w:t>בהתייחס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להודעת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הפרמדיק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המנוחה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הייתה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בחיים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הבהיר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טעו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שהדקירה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הייתה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ומאחר שנוכח העדויות והראיות ברי כי הדקירה הממיתה בוצעה בזירת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לא נותר אלא להסיק כי הפרמדיק </w:t>
      </w:r>
      <w:r>
        <w:rPr>
          <w:rFonts w:cs="Miriam"/>
          <w:b/>
          <w:b/>
          <w:spacing w:val="0"/>
          <w:szCs w:val="24"/>
          <w:rtl w:val="true"/>
        </w:rPr>
        <w:t>טעה</w:t>
      </w:r>
      <w:r>
        <w:rPr>
          <w:rtl w:val="true"/>
        </w:rPr>
        <w:t xml:space="preserve"> באבחנתו כי המנוחה הייתה בחיים בעת פינויה לבית החולים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זז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>"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לגמרי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האחורי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</w:t>
      </w:r>
      <w:r>
        <w:rPr>
          <w:rtl w:val="true"/>
        </w:rPr>
        <w:t xml:space="preserve">).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המעקה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ומסתבר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מושחז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והעדויות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554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מושחז</w:t>
      </w:r>
      <w:r>
        <w:rPr>
          <w:rtl w:val="true"/>
        </w:rPr>
        <w:t xml:space="preserve">" </w:t>
      </w:r>
      <w:r>
        <w:rPr>
          <w:rtl w:val="true"/>
        </w:rPr>
        <w:t>כתיאור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15-14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באיזשהו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איזושהי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משפיץ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האלונקה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)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הממיתה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...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",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די באמור עד כה כדי להוכיח מעל לספק סביר את אשמתו של המערער ברצח המנוחה</w:t>
      </w:r>
      <w:r>
        <w:rPr>
          <w:rtl w:val="true"/>
        </w:rPr>
        <w:t xml:space="preserve">,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כחיזוק נוסף למסקנה זו נזקפים אירועים ונסיבות שהתרחשו עובר לרצח המלמדים על השתלשלות האירועים שהובילו לרצח</w:t>
      </w:r>
      <w:r>
        <w:rPr>
          <w:rtl w:val="true"/>
        </w:rPr>
        <w:t xml:space="preserve">, </w:t>
      </w:r>
      <w:r>
        <w:rPr>
          <w:rtl w:val="true"/>
        </w:rPr>
        <w:t>ועל המניע למעשי המערער ואופיים</w:t>
      </w:r>
      <w:r>
        <w:rPr>
          <w:rtl w:val="true"/>
        </w:rPr>
        <w:t xml:space="preserve">.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>אמרות המנוחה לקרוביה</w:t>
      </w:r>
      <w:r>
        <w:rPr>
          <w:rtl w:val="true"/>
        </w:rPr>
        <w:t xml:space="preserve">, </w:t>
      </w:r>
      <w:r>
        <w:rPr>
          <w:rtl w:val="true"/>
        </w:rPr>
        <w:t xml:space="preserve">אשר התקבלו בבית המשפט המחוזי 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אחותך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22.12.2015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איזולדה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טראומה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מפוחדת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הירצחה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tl w:val="true"/>
        </w:rPr>
        <w:t>?"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16.7.2015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אלישע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וכשבסוף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יטפטף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לנסיבות הגעת המערער לבניין מגורי המנוחה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כי ביקש להשיג </w:t>
      </w:r>
      <w:r>
        <w:rPr>
          <w:rtl w:val="true"/>
        </w:rPr>
        <w:t>"</w:t>
      </w:r>
      <w:r>
        <w:rPr>
          <w:rtl w:val="true"/>
        </w:rPr>
        <w:t>תצהיר</w:t>
      </w:r>
      <w:r>
        <w:rPr>
          <w:rtl w:val="true"/>
        </w:rPr>
        <w:t xml:space="preserve">" </w:t>
      </w:r>
      <w:r>
        <w:rPr>
          <w:rtl w:val="true"/>
        </w:rPr>
        <w:t>לביטול התלונה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 שהעידה לילך</w:t>
      </w:r>
      <w:r>
        <w:rPr>
          <w:rtl w:val="true"/>
        </w:rPr>
        <w:t xml:space="preserve">, </w:t>
      </w:r>
      <w:r>
        <w:rPr>
          <w:rtl w:val="true"/>
        </w:rPr>
        <w:t>המערער תקף את המנוחה למן הרגע הראשון</w:t>
      </w:r>
      <w:r>
        <w:rPr>
          <w:rtl w:val="true"/>
        </w:rPr>
        <w:t xml:space="preserve">, </w:t>
      </w:r>
      <w:r>
        <w:rPr>
          <w:rtl w:val="true"/>
        </w:rPr>
        <w:t>ללא כל ניסיון הידברות נראה לעין</w:t>
      </w:r>
      <w:r>
        <w:rPr>
          <w:rtl w:val="true"/>
        </w:rPr>
        <w:t xml:space="preserve">. </w:t>
      </w:r>
      <w:r>
        <w:rPr>
          <w:rtl w:val="true"/>
        </w:rPr>
        <w:t>הבן ש</w:t>
      </w:r>
      <w:r>
        <w:rPr>
          <w:rtl w:val="true"/>
        </w:rPr>
        <w:t xml:space="preserve">' </w:t>
      </w:r>
      <w:r>
        <w:rPr>
          <w:rtl w:val="true"/>
        </w:rPr>
        <w:t xml:space="preserve">בעדותו הוסיף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אמרתי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כאילו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מפחד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הקטע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התיקים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הלבישה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עליך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אז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מוכנה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לבטל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לפגוש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יגרום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לבלגאן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22.12.2015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23-22</w:t>
      </w:r>
      <w:r>
        <w:rPr>
          <w:rtl w:val="true"/>
        </w:rPr>
        <w:t xml:space="preserve">).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המערער נותר בבניין</w:t>
      </w:r>
      <w:r>
        <w:rPr>
          <w:rtl w:val="true"/>
        </w:rPr>
        <w:t xml:space="preserve">, </w:t>
      </w:r>
      <w:r>
        <w:rPr>
          <w:rtl w:val="true"/>
        </w:rPr>
        <w:t>ארב למנוחה ותקף אותה בהזדמנות הראשונה</w:t>
      </w:r>
      <w:r>
        <w:rPr>
          <w:rtl w:val="true"/>
        </w:rPr>
        <w:t xml:space="preserve">, </w:t>
      </w:r>
      <w:r>
        <w:rPr>
          <w:rtl w:val="true"/>
        </w:rPr>
        <w:t>ללמדך כי עבורו לא די היה ב</w:t>
      </w:r>
      <w:r>
        <w:rPr>
          <w:rtl w:val="true"/>
        </w:rPr>
        <w:t>"</w:t>
      </w:r>
      <w:r>
        <w:rPr>
          <w:rtl w:val="true"/>
        </w:rPr>
        <w:t>תצהיר</w:t>
      </w:r>
      <w:r>
        <w:rPr>
          <w:rtl w:val="true"/>
        </w:rPr>
        <w:t xml:space="preserve">" </w:t>
      </w:r>
      <w:r>
        <w:rPr>
          <w:rtl w:val="true"/>
        </w:rPr>
        <w:t>כזה או אחר</w:t>
      </w:r>
      <w:r>
        <w:rPr>
          <w:rtl w:val="true"/>
        </w:rPr>
        <w:t xml:space="preserve">, </w:t>
      </w:r>
      <w:r>
        <w:rPr>
          <w:rtl w:val="true"/>
        </w:rPr>
        <w:t xml:space="preserve">אלא גמר אומר בליבו </w:t>
      </w:r>
      <w:r>
        <w:rPr>
          <w:rtl w:val="true"/>
        </w:rPr>
        <w:t>–</w:t>
      </w:r>
      <w:r>
        <w:rPr>
          <w:rtl w:val="true"/>
        </w:rPr>
        <w:t xml:space="preserve"> להמית את 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העדויות והראיות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מלמדות היטב על האובססיביות של המערער כלפי המנוחה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על המכות והאיומים שספגה ממנו במשך שנים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על זעמו וכעסו המצטברים שהובילו אותו לביצוע המעשים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ועל כוונותיו ביום הרצח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שעה שארב למנוחה בבניין מגוריה כאשר הוא נושא סכין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עד שתקף אותה והביא למותה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יוצא אפוא כי מעשי המערער באים בגדרי עבירת הרצח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, </w:t>
      </w:r>
      <w:r>
        <w:rPr>
          <w:rtl w:val="true"/>
        </w:rPr>
        <w:t>כפי שפירט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ביסוד מעשי המערער ניצבת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את המנוחה כפי שניתן ללמוד מהשימוש בסכין</w:t>
      </w:r>
      <w:r>
        <w:rPr>
          <w:rtl w:val="true"/>
        </w:rPr>
        <w:t xml:space="preserve">, </w:t>
      </w:r>
      <w:r>
        <w:rPr>
          <w:rtl w:val="true"/>
        </w:rPr>
        <w:t>כמות הדקירות וטיבן</w:t>
      </w:r>
      <w:r>
        <w:rPr>
          <w:rtl w:val="true"/>
        </w:rPr>
        <w:t xml:space="preserve">, </w:t>
      </w:r>
      <w:r>
        <w:rPr>
          <w:rtl w:val="true"/>
        </w:rPr>
        <w:t>והמניע למעשים</w:t>
      </w:r>
      <w:r>
        <w:rPr>
          <w:rtl w:val="true"/>
        </w:rPr>
        <w:t xml:space="preserve">; </w:t>
      </w:r>
      <w:r>
        <w:rPr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tl w:val="true"/>
        </w:rPr>
        <w:t xml:space="preserve"> למפגש עם המנוחה</w:t>
      </w:r>
      <w:r>
        <w:rPr>
          <w:rtl w:val="true"/>
        </w:rPr>
        <w:t xml:space="preserve">, </w:t>
      </w:r>
      <w:r>
        <w:rPr>
          <w:rtl w:val="true"/>
        </w:rPr>
        <w:t>הצטייד מראש בסכין וגרזן וארב למנוחה זמן ממושך בטרם תקף אותה</w:t>
      </w:r>
      <w:r>
        <w:rPr>
          <w:rtl w:val="true"/>
        </w:rPr>
        <w:t xml:space="preserve">;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המנוחה מצדה</w:t>
      </w:r>
      <w:r>
        <w:rPr>
          <w:rtl w:val="true"/>
        </w:rPr>
        <w:t xml:space="preserve">, </w:t>
      </w:r>
      <w:r>
        <w:rPr>
          <w:rtl w:val="true"/>
        </w:rPr>
        <w:t xml:space="preserve">לא </w:t>
      </w:r>
      <w:r>
        <w:rPr>
          <w:rtl w:val="true"/>
        </w:rPr>
        <w:t>"</w:t>
      </w:r>
      <w:r>
        <w:rPr>
          <w:rtl w:val="true"/>
        </w:rPr>
        <w:t>התגרתה</w:t>
      </w:r>
      <w:r>
        <w:rPr>
          <w:rtl w:val="true"/>
        </w:rPr>
        <w:t xml:space="preserve">"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ואין במעשיה הפרטיים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 xml:space="preserve">אמותיה כדי לייסד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קנטור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יצוין כי המערער לא טען דבר על השפעת הרפורמה בעבירות ההמתה בעניינו</w:t>
      </w:r>
      <w:r>
        <w:rPr>
          <w:rtl w:val="true"/>
        </w:rPr>
        <w:t xml:space="preserve">, </w:t>
      </w:r>
      <w:r>
        <w:rPr>
          <w:rtl w:val="true"/>
        </w:rPr>
        <w:t>ובדיון שלפנינו הבהיר כי הוא כלל לא מכיר את הרפורמה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גם במישור זה</w:t>
      </w:r>
      <w:r>
        <w:rPr>
          <w:rtl w:val="true"/>
        </w:rPr>
        <w:t xml:space="preserve">, </w:t>
      </w:r>
      <w:r>
        <w:rPr>
          <w:rtl w:val="true"/>
        </w:rPr>
        <w:t>וכפי שהבהרתי למערער בדיון</w:t>
      </w:r>
      <w:r>
        <w:rPr>
          <w:rtl w:val="true"/>
        </w:rPr>
        <w:t xml:space="preserve">, </w:t>
      </w:r>
      <w:r>
        <w:rPr>
          <w:rtl w:val="true"/>
        </w:rPr>
        <w:t>יש להצר על סירובו הנחרץ להיעזר בסנגור</w:t>
      </w:r>
      <w:r>
        <w:rPr>
          <w:rtl w:val="true"/>
        </w:rPr>
        <w:t xml:space="preserve">, </w:t>
      </w:r>
      <w:r>
        <w:rPr>
          <w:rtl w:val="true"/>
        </w:rPr>
        <w:t>שמא היה בכוחו של זה האחרון להתייחס כדבעי לתחולת הרפורמה בעניינו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אפטור עצמי מלבחון סוגיה זו בנסיבות דנן</w:t>
      </w:r>
      <w:r>
        <w:rPr>
          <w:rtl w:val="true"/>
        </w:rPr>
        <w:t xml:space="preserve">. </w:t>
      </w:r>
      <w:r>
        <w:rPr>
          <w:rtl w:val="true"/>
        </w:rPr>
        <w:t>בהינתן המפורט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ברי כי מעשי המערער נכנסים לגדרי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תחת הנסיבה המנויה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–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הרפורמה תהווה דין מקל עם המערער רק אם יוחל בעניינו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>" 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מאחר שבמקרה זה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 xml:space="preserve">ייגזר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יהא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עניינו של המערער אינו בא בשערי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להט מעשיו וההכנה לקראתם והאובססיביות והזעם שהתבטאו ברצף עשרות הדקירות הברוטליות מבססים את אשמתו של 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שלא נותר ספק כי הרשעתו בעבירת הרצח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, </w:t>
      </w:r>
      <w:r>
        <w:rPr>
          <w:rtl w:val="true"/>
        </w:rPr>
        <w:t>ועונש המאסר עולם שהוטל עליו</w:t>
      </w:r>
      <w:r>
        <w:rPr>
          <w:rtl w:val="true"/>
        </w:rPr>
        <w:t xml:space="preserve">, </w:t>
      </w:r>
      <w:r>
        <w:rPr>
          <w:rtl w:val="true"/>
        </w:rPr>
        <w:t>בדין יסודם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37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במלוא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37-30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משפט זה נהג כלפי המערער בכבוד ובנימוס</w:t>
      </w:r>
      <w:r>
        <w:rPr>
          <w:rtl w:val="true"/>
        </w:rPr>
        <w:t xml:space="preserve">, </w:t>
      </w:r>
      <w:r>
        <w:rPr>
          <w:rtl w:val="true"/>
        </w:rPr>
        <w:t xml:space="preserve">כפי </w:t>
      </w:r>
      <w:r>
        <w:rPr>
          <w:rtl w:val="true"/>
        </w:rPr>
        <w:t>שהוא נוהג</w:t>
      </w:r>
      <w:r>
        <w:rPr>
          <w:rtl w:val="true"/>
        </w:rPr>
        <w:t xml:space="preserve"> כלפי כל בעל דין אחר</w:t>
      </w:r>
      <w:r>
        <w:rPr>
          <w:rtl w:val="true"/>
        </w:rPr>
        <w:t xml:space="preserve"> הבא בשעריו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בית המשפט לא זכה ליחס דומה מצדו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פנה בזלזול ובוטות </w:t>
      </w:r>
      <w:r>
        <w:rPr>
          <w:rtl w:val="true"/>
        </w:rPr>
        <w:t>אל</w:t>
      </w:r>
      <w:r>
        <w:rPr>
          <w:rtl w:val="true"/>
        </w:rPr>
        <w:t xml:space="preserve"> שופטי ההרכב</w:t>
      </w:r>
      <w:r>
        <w:rPr>
          <w:rtl w:val="true"/>
        </w:rPr>
        <w:t xml:space="preserve">, </w:t>
      </w:r>
      <w:r>
        <w:rPr>
          <w:rtl w:val="true"/>
        </w:rPr>
        <w:t>בהטיחו דברי בלע כלפי המותב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בערכאה זו ובערכאה הדיונית</w:t>
      </w:r>
      <w:r>
        <w:rPr>
          <w:rtl w:val="true"/>
        </w:rPr>
        <w:t xml:space="preserve">; </w:t>
      </w:r>
      <w:r>
        <w:rPr>
          <w:rtl w:val="true"/>
        </w:rPr>
        <w:t>השמיץ</w:t>
      </w:r>
      <w:r>
        <w:rPr>
          <w:rtl w:val="true"/>
        </w:rPr>
        <w:t xml:space="preserve">, </w:t>
      </w:r>
      <w:r>
        <w:rPr>
          <w:rtl w:val="true"/>
        </w:rPr>
        <w:t xml:space="preserve">עלב וגידף את </w:t>
      </w:r>
      <w:r>
        <w:rPr>
          <w:rtl w:val="true"/>
        </w:rPr>
        <w:t>באת</w:t>
      </w:r>
      <w:r>
        <w:rPr>
          <w:rtl w:val="true"/>
        </w:rPr>
        <w:t xml:space="preserve"> כוח המשיבה</w:t>
      </w:r>
      <w:r>
        <w:rPr>
          <w:rtl w:val="true"/>
        </w:rPr>
        <w:t xml:space="preserve">; </w:t>
      </w:r>
      <w:r>
        <w:rPr>
          <w:rtl w:val="true"/>
        </w:rPr>
        <w:t xml:space="preserve">התפרץ לדברי </w:t>
      </w:r>
      <w:r>
        <w:rPr>
          <w:rtl w:val="true"/>
        </w:rPr>
        <w:t>באת</w:t>
      </w:r>
      <w:r>
        <w:rPr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ודברי</w:t>
      </w:r>
      <w:r>
        <w:rPr>
          <w:rtl w:val="true"/>
        </w:rPr>
        <w:t xml:space="preserve"> שופטי ההרכב</w:t>
      </w:r>
      <w:r>
        <w:rPr>
          <w:rtl w:val="true"/>
        </w:rPr>
        <w:t xml:space="preserve">; </w:t>
      </w:r>
      <w:r>
        <w:rPr>
          <w:rtl w:val="true"/>
        </w:rPr>
        <w:t xml:space="preserve">ואף נהג בחוסר רגישות </w:t>
      </w:r>
      <w:r>
        <w:rPr>
          <w:rtl w:val="true"/>
        </w:rPr>
        <w:t xml:space="preserve">משווע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שנכחו בדיון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אורך</w:t>
      </w:r>
      <w:r>
        <w:rPr>
          <w:rtl w:val="true"/>
        </w:rPr>
        <w:t xml:space="preserve"> </w:t>
      </w:r>
      <w:r>
        <w:rPr>
          <w:rtl w:val="true"/>
        </w:rPr>
        <w:t>רוחה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הפרקליטה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 xml:space="preserve">נהגה במקצועיות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מתקפותיו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במידה מסוימת האיפוק שבית משפט זה הפגין במהלך השנים כלפי המערער במישור הדיוני הקשה על משפחת המנוחה אשר ביקשה לשים</w:t>
      </w:r>
      <w:r>
        <w:rPr>
          <w:rtl w:val="true"/>
        </w:rPr>
        <w:t xml:space="preserve">, </w:t>
      </w:r>
      <w:r>
        <w:rPr>
          <w:rtl w:val="true"/>
        </w:rPr>
        <w:t>ככל שניתן</w:t>
      </w:r>
      <w:r>
        <w:rPr>
          <w:rtl w:val="true"/>
        </w:rPr>
        <w:t xml:space="preserve">, </w:t>
      </w:r>
      <w:r>
        <w:rPr>
          <w:rtl w:val="true"/>
        </w:rPr>
        <w:t>את האירוע הנורא מאחוריה</w:t>
      </w:r>
      <w:r>
        <w:rPr>
          <w:rtl w:val="true"/>
        </w:rPr>
        <w:t xml:space="preserve">. </w:t>
      </w:r>
      <w:r>
        <w:rPr>
          <w:rtl w:val="true"/>
        </w:rPr>
        <w:t>כפי שלמדנו מהתגובות שהוגשו לבקשות הארכה השונות ומדברי נציגת המשפחה בדיון בערעור</w:t>
      </w:r>
      <w:r>
        <w:rPr>
          <w:rtl w:val="true"/>
        </w:rPr>
        <w:t xml:space="preserve">, </w:t>
      </w:r>
      <w:r>
        <w:rPr>
          <w:rtl w:val="true"/>
        </w:rPr>
        <w:t>המשפחה התקשתה לעשות כן ללא הכרעה בערעור</w:t>
      </w:r>
      <w:r>
        <w:rPr>
          <w:rtl w:val="true"/>
        </w:rPr>
        <w:t xml:space="preserve">. </w:t>
      </w:r>
      <w:r>
        <w:rPr>
          <w:rtl w:val="true"/>
        </w:rPr>
        <w:t>איני מקל ראש כלל ועיקר בפגיעה שנגרמה למשפחה מכך</w:t>
      </w:r>
      <w:r>
        <w:rPr>
          <w:rtl w:val="true"/>
        </w:rPr>
        <w:t xml:space="preserve">, </w:t>
      </w:r>
      <w:r>
        <w:rPr>
          <w:rtl w:val="true"/>
        </w:rPr>
        <w:t xml:space="preserve">אולם האפשרות כי המערער ימשיך לרצות עונש של מאסר עולם מבלי שהערעור ידון לגופו </w:t>
      </w:r>
      <w:r>
        <w:rPr>
          <w:rtl w:val="true"/>
        </w:rPr>
        <w:t>–</w:t>
      </w:r>
      <w:r>
        <w:rPr>
          <w:rtl w:val="true"/>
        </w:rPr>
        <w:t xml:space="preserve"> קשתה עלינו</w:t>
      </w:r>
      <w:r>
        <w:rPr>
          <w:rtl w:val="true"/>
        </w:rPr>
        <w:t xml:space="preserve">. </w:t>
      </w:r>
      <w:r>
        <w:rPr>
          <w:rtl w:val="true"/>
        </w:rPr>
        <w:t>מכאן האיפוק והסבלנות החריגים שהופגנו כלפי המערער</w:t>
      </w:r>
      <w:r>
        <w:rPr>
          <w:rtl w:val="true"/>
        </w:rPr>
        <w:t xml:space="preserve">. </w:t>
      </w:r>
      <w:r>
        <w:rPr>
          <w:rtl w:val="true"/>
        </w:rPr>
        <w:t>כפי שמשפחת המנוחה גילתה אצילות נפש ראויה להערכה במהלך הדיון בערעור</w:t>
      </w:r>
      <w:r>
        <w:rPr>
          <w:rtl w:val="true"/>
        </w:rPr>
        <w:t xml:space="preserve">, </w:t>
      </w:r>
      <w:r>
        <w:rPr>
          <w:rtl w:val="true"/>
        </w:rPr>
        <w:t>אין לי אלא לקוות כי תוכל להבין גם את השיקולים שעמדו לנגד עיניו של בית המשפט בהיבט זה</w:t>
      </w:r>
      <w:r>
        <w:rPr>
          <w:rtl w:val="true"/>
        </w:rPr>
        <w:t xml:space="preserve">, </w:t>
      </w:r>
      <w:r>
        <w:rPr>
          <w:rtl w:val="true"/>
        </w:rPr>
        <w:t>על מותביו השונים שקדמו למותב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שנים של פרידות ומריבות</w:t>
      </w:r>
      <w:r>
        <w:rPr>
          <w:rtl w:val="true"/>
        </w:rPr>
        <w:t xml:space="preserve">, </w:t>
      </w:r>
      <w:r>
        <w:rPr>
          <w:rtl w:val="true"/>
        </w:rPr>
        <w:t xml:space="preserve">אביטל </w:t>
      </w:r>
      <w:r>
        <w:rPr>
          <w:rtl w:val="true"/>
        </w:rPr>
        <w:t>(</w:t>
      </w:r>
      <w:r>
        <w:rPr>
          <w:rtl w:val="true"/>
        </w:rPr>
        <w:t>טלי</w:t>
      </w:r>
      <w:r>
        <w:rPr>
          <w:rtl w:val="true"/>
        </w:rPr>
        <w:t xml:space="preserve">) </w:t>
      </w:r>
      <w:r>
        <w:rPr>
          <w:rtl w:val="true"/>
        </w:rPr>
        <w:t>החליטה</w:t>
      </w:r>
      <w:r>
        <w:rPr>
          <w:rtl w:val="true"/>
        </w:rPr>
        <w:t xml:space="preserve"> </w:t>
      </w:r>
      <w:r>
        <w:rPr>
          <w:rtl w:val="true"/>
        </w:rPr>
        <w:t>לשים</w:t>
      </w:r>
      <w:r>
        <w:rPr>
          <w:rtl w:val="true"/>
        </w:rPr>
        <w:t xml:space="preserve"> </w:t>
      </w:r>
      <w:r>
        <w:rPr>
          <w:rtl w:val="true"/>
        </w:rPr>
        <w:t>קץ</w:t>
      </w:r>
      <w:r>
        <w:rPr>
          <w:rtl w:val="true"/>
        </w:rPr>
        <w:t xml:space="preserve"> </w:t>
      </w:r>
      <w:r>
        <w:rPr>
          <w:rtl w:val="true"/>
        </w:rPr>
        <w:t>למערכת</w:t>
      </w:r>
      <w:r>
        <w:rPr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tl w:val="true"/>
        </w:rPr>
        <w:t xml:space="preserve"> </w:t>
      </w:r>
      <w:r>
        <w:rPr>
          <w:rtl w:val="true"/>
        </w:rPr>
        <w:t>להתגרש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רצונה</w:t>
      </w:r>
      <w:r>
        <w:rPr>
          <w:rtl w:val="true"/>
        </w:rPr>
        <w:t xml:space="preserve"> </w:t>
      </w:r>
      <w:r>
        <w:rPr>
          <w:rtl w:val="true"/>
        </w:rPr>
        <w:t>נתקל</w:t>
      </w:r>
      <w:r>
        <w:rPr>
          <w:rtl w:val="true"/>
        </w:rPr>
        <w:t xml:space="preserve"> </w:t>
      </w:r>
      <w:r>
        <w:rPr>
          <w:rtl w:val="true"/>
        </w:rPr>
        <w:t>בסירובו</w:t>
      </w:r>
      <w:r>
        <w:rPr>
          <w:rtl w:val="true"/>
        </w:rPr>
        <w:t xml:space="preserve"> </w:t>
      </w:r>
      <w:r>
        <w:rPr>
          <w:rtl w:val="true"/>
        </w:rPr>
        <w:t>העיקש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מאן</w:t>
      </w:r>
      <w:r>
        <w:rPr>
          <w:rtl w:val="true"/>
        </w:rPr>
        <w:t xml:space="preserve"> </w:t>
      </w:r>
      <w:r>
        <w:rPr>
          <w:rtl w:val="true"/>
        </w:rPr>
        <w:t>להשלים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כוונת</w:t>
      </w:r>
      <w:r>
        <w:rPr>
          <w:rtl w:val="true"/>
        </w:rPr>
        <w:t xml:space="preserve">ה </w:t>
      </w:r>
      <w:r>
        <w:rPr>
          <w:rtl w:val="true"/>
        </w:rPr>
        <w:t>להיפרד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ולפנות</w:t>
      </w:r>
      <w:r>
        <w:rPr>
          <w:rtl w:val="true"/>
        </w:rPr>
        <w:t xml:space="preserve"> </w:t>
      </w:r>
      <w:r>
        <w:rPr>
          <w:rtl w:val="true"/>
        </w:rPr>
        <w:t xml:space="preserve">כל אחד </w:t>
      </w:r>
      <w:r>
        <w:rPr>
          <w:rtl w:val="true"/>
        </w:rPr>
        <w:t>לדרכו</w:t>
      </w:r>
      <w:r>
        <w:rPr>
          <w:rtl w:val="true"/>
        </w:rPr>
        <w:t xml:space="preserve">. </w:t>
      </w:r>
      <w:r>
        <w:rPr>
          <w:rtl w:val="true"/>
        </w:rPr>
        <w:t>המחשבה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אביטל </w:t>
      </w:r>
      <w:r>
        <w:rPr>
          <w:rtl w:val="true"/>
        </w:rPr>
        <w:t>עוזב</w:t>
      </w:r>
      <w:r>
        <w:rPr>
          <w:rtl w:val="true"/>
        </w:rPr>
        <w:t>ת אותו ולא תשוב עוד לא התקבלה על ידי המערער</w:t>
      </w:r>
      <w:r>
        <w:rPr>
          <w:rtl w:val="true"/>
        </w:rPr>
        <w:t xml:space="preserve">, </w:t>
      </w:r>
      <w:r>
        <w:rPr>
          <w:rtl w:val="true"/>
        </w:rPr>
        <w:t>והוא זעם על מה שסבר כקשריה עם אחרים</w:t>
      </w:r>
      <w:r>
        <w:rPr>
          <w:rtl w:val="true"/>
        </w:rPr>
        <w:t xml:space="preserve">, </w:t>
      </w:r>
      <w:r>
        <w:rPr>
          <w:rtl w:val="true"/>
        </w:rPr>
        <w:t>חרף העובדה שהם חיו בנפרד במשך כשלוש שנים</w:t>
      </w:r>
      <w:r>
        <w:rPr>
          <w:rtl w:val="true"/>
        </w:rPr>
        <w:t xml:space="preserve">, </w:t>
      </w:r>
      <w:r>
        <w:rPr>
          <w:rtl w:val="true"/>
        </w:rPr>
        <w:t>והיו בעיצומו של הליך גירושין</w:t>
      </w:r>
      <w:r>
        <w:rPr>
          <w:rtl w:val="true"/>
        </w:rPr>
        <w:t xml:space="preserve">. </w:t>
      </w:r>
      <w:r>
        <w:rPr>
          <w:rtl w:val="true"/>
        </w:rPr>
        <w:t>אין לי אלא לשוב ולציין את אשר כתבתי רק לאחרונה במקרה אחר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בהווה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מיסודה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וליתן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" 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לפנינו מקרה טראגי ומצער נוסף של אלימות קטלנית של גבר כלפי פרודתו</w:t>
      </w:r>
      <w:r>
        <w:rPr>
          <w:rtl w:val="true"/>
        </w:rPr>
        <w:t xml:space="preserve">. </w:t>
      </w:r>
      <w:r>
        <w:rPr>
          <w:rtl w:val="true"/>
        </w:rPr>
        <w:t>החשש</w:t>
      </w:r>
      <w:r>
        <w:rPr>
          <w:rtl w:val="true"/>
        </w:rPr>
        <w:t xml:space="preserve"> </w:t>
      </w:r>
      <w:r>
        <w:rPr>
          <w:rtl w:val="true"/>
        </w:rPr>
        <w:t>והאימה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העיבו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אביטל רוקח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חבריה</w:t>
      </w:r>
      <w:r>
        <w:rPr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 </w:t>
      </w:r>
      <w:r>
        <w:rPr>
          <w:rtl w:val="true"/>
        </w:rPr>
        <w:t>בשבועות</w:t>
      </w:r>
      <w:r>
        <w:rPr>
          <w:rtl w:val="true"/>
        </w:rPr>
        <w:t xml:space="preserve"> </w:t>
      </w:r>
      <w:r>
        <w:rPr>
          <w:rtl w:val="true"/>
        </w:rPr>
        <w:t>שקדמו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מבשרים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הנורא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>שעומד</w:t>
      </w:r>
      <w:r>
        <w:rPr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שביכולתם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 אפוא לחברתי ולחברי כי נדחה את הערעור 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2.10.2022</w:t>
      </w:r>
      <w:r>
        <w:rPr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19005990</w:t>
      </w:r>
      <w:r>
        <w:rPr>
          <w:sz w:val="16"/>
          <w:rtl w:val="true"/>
        </w:rPr>
        <w:t>_</w:t>
      </w:r>
      <w:r>
        <w:rPr>
          <w:sz w:val="16"/>
        </w:rPr>
        <w:t>J34.docx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אלרון </w:t>
      </w:r>
      <w:r>
        <w:rPr>
          <w:rFonts w:cs="David;Times New Roman" w:ascii="David;Times New Roman" w:hAnsi="David;Times New Roman"/>
          <w:color w:val="000000"/>
          <w:szCs w:val="22"/>
        </w:rPr>
        <w:t>54678313-599/19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599/19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שמואל דטיאשוילי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eastAsia="Times New Roman" w:cs="FrankRueh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lang w:val="en-US"/>
    </w:rPr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FrankRuehl" w:hAnsi="FrankRuehl" w:eastAsia="Times New Roman" w:cs="FrankRuehl"/>
      <w:sz w:val="2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FrankRuehl" w:hAnsi="FrankRueh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eastAsia="Times New Roman" w:cs="FrankRueh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Symbol" w:hAnsi="Symbol" w:eastAsia="Times New Roman" w:cs="FrankRueh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eastAsia="Times New Roman" w:cs="FrankRueh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5728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law/70301/301a.a.1" TargetMode="External"/><Relationship Id="rId6" Type="http://schemas.openxmlformats.org/officeDocument/2006/relationships/hyperlink" Target="http://www.nevo.co.il/law/70301/301a.a.6" TargetMode="External"/><Relationship Id="rId7" Type="http://schemas.openxmlformats.org/officeDocument/2006/relationships/hyperlink" Target="http://www.nevo.co.il/law/70301/301a.a.7" TargetMode="External"/><Relationship Id="rId8" Type="http://schemas.openxmlformats.org/officeDocument/2006/relationships/hyperlink" Target="http://www.nevo.co.il/law/70301/301a.b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203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00.a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8057282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4903/203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203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case/570385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1a.a.1" TargetMode="External"/><Relationship Id="rId28" Type="http://schemas.openxmlformats.org/officeDocument/2006/relationships/hyperlink" Target="http://www.nevo.co.il/case/26991449" TargetMode="External"/><Relationship Id="rId29" Type="http://schemas.openxmlformats.org/officeDocument/2006/relationships/hyperlink" Target="http://www.nevo.co.il/case/27672788" TargetMode="External"/><Relationship Id="rId30" Type="http://schemas.openxmlformats.org/officeDocument/2006/relationships/hyperlink" Target="http://www.nevo.co.il/law/98569/10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/301a.a.1" TargetMode="External"/><Relationship Id="rId34" Type="http://schemas.openxmlformats.org/officeDocument/2006/relationships/hyperlink" Target="http://www.nevo.co.il/law/70301/301a.b" TargetMode="External"/><Relationship Id="rId35" Type="http://schemas.openxmlformats.org/officeDocument/2006/relationships/hyperlink" Target="http://www.nevo.co.il/law/70301/300.a.2" TargetMode="External"/><Relationship Id="rId36" Type="http://schemas.openxmlformats.org/officeDocument/2006/relationships/hyperlink" Target="http://www.nevo.co.il/law/70301/301a.a.6" TargetMode="External"/><Relationship Id="rId37" Type="http://schemas.openxmlformats.org/officeDocument/2006/relationships/hyperlink" Target="http://www.nevo.co.il/law/70301/301a.a.7" TargetMode="External"/><Relationship Id="rId38" Type="http://schemas.openxmlformats.org/officeDocument/2006/relationships/hyperlink" Target="http://www.nevo.co.il/case/27418439" TargetMode="External"/><Relationship Id="rId39" Type="http://schemas.openxmlformats.org/officeDocument/2006/relationships/hyperlink" Target="https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2022-10-03T06:46:00Z</dcterms:created>
  <dc:creator>h4</dc:creator>
  <dc:description/>
  <cp:keywords/>
  <dc:language>en-IL</dc:language>
  <cp:lastModifiedBy>orly</cp:lastModifiedBy>
  <cp:lastPrinted>2022-10-02T08:02:00Z</cp:lastPrinted>
  <dcterms:modified xsi:type="dcterms:W3CDTF">2022-10-03T12:30:00Z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שמואל דטיאשוילי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18057282:2;5703851;26991449;27672788;27418439</vt:lpwstr>
  </property>
  <property fmtid="{D5CDD505-2E9C-101B-9397-08002B2CF9AE}" pid="9" name="CITY">
    <vt:lpwstr/>
  </property>
  <property fmtid="{D5CDD505-2E9C-101B-9397-08002B2CF9AE}" pid="10" name="DATE">
    <vt:lpwstr>20221002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אלרון;ג' כנפי שטייניץ;י' כשר</vt:lpwstr>
  </property>
  <property fmtid="{D5CDD505-2E9C-101B-9397-08002B2CF9AE}" pid="14" name="LAWLISTTMP1">
    <vt:lpwstr>70301/300.a.2:4;301a.a.1:2;301a.b;301a.a.6;301a.a.7</vt:lpwstr>
  </property>
  <property fmtid="{D5CDD505-2E9C-101B-9397-08002B2CF9AE}" pid="15" name="LAWLISTTMP2">
    <vt:lpwstr>74903/203:2</vt:lpwstr>
  </property>
  <property fmtid="{D5CDD505-2E9C-101B-9397-08002B2CF9AE}" pid="16" name="LAWLISTTMP3">
    <vt:lpwstr>98569/010</vt:lpwstr>
  </property>
  <property fmtid="{D5CDD505-2E9C-101B-9397-08002B2CF9AE}" pid="17" name="LAWYER">
    <vt:lpwstr>שרית משגב;ורד אנוך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עבירת הרצח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1443;12455;1446</vt:lpwstr>
  </property>
  <property fmtid="{D5CDD505-2E9C-101B-9397-08002B2CF9AE}" pid="50" name="NOSE31">
    <vt:lpwstr>רצח בכוונה תחילה</vt:lpwstr>
  </property>
  <property fmtid="{D5CDD505-2E9C-101B-9397-08002B2CF9AE}" pid="51" name="NOSE310">
    <vt:lpwstr/>
  </property>
  <property fmtid="{D5CDD505-2E9C-101B-9397-08002B2CF9AE}" pid="52" name="NOSE32">
    <vt:lpwstr>תיקון 137</vt:lpwstr>
  </property>
  <property fmtid="{D5CDD505-2E9C-101B-9397-08002B2CF9AE}" pid="53" name="NOSE33">
    <vt:lpwstr>מאסר עולם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17798;18905;15651</vt:lpwstr>
  </property>
  <property fmtid="{D5CDD505-2E9C-101B-9397-08002B2CF9AE}" pid="61" name="PADIDATE">
    <vt:lpwstr>20221003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599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410120221002</vt:lpwstr>
  </property>
  <property fmtid="{D5CDD505-2E9C-101B-9397-08002B2CF9AE}" pid="71" name="TYPE_N_DATE">
    <vt:lpwstr>41020221002</vt:lpwstr>
  </property>
  <property fmtid="{D5CDD505-2E9C-101B-9397-08002B2CF9AE}" pid="72" name="VOLUME">
    <vt:lpwstr/>
  </property>
  <property fmtid="{D5CDD505-2E9C-101B-9397-08002B2CF9AE}" pid="73" name="WORDNUMPAGES">
    <vt:lpwstr>28</vt:lpwstr>
  </property>
</Properties>
</file>