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6003/19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אריה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גרינס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היועץ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לממשלה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החלטתו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ירושלים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תה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508-02-19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13.8.2019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שניתנה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ח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לומפ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bidi w:val="0"/>
              <w:jc w:val="end"/>
              <w:rPr>
                <w:sz w:val="24"/>
                <w:szCs w:val="24"/>
              </w:rPr>
            </w:pPr>
            <w:r>
              <w:rPr/>
              <w:t>(6.8.2020)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אסף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קליין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אביטל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ריבנר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אורון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ההסגרה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1954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</w:rPr>
          <w:t>2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</w:rPr>
          <w:t>2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6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</w:rPr>
          <w:t>2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8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</w:rPr>
          <w:t>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</w:rPr>
          <w:t>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</w:rPr>
          <w:t>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z w:val="24"/>
          </w:rPr>
          <w:t>415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</w:rPr>
          <w:t>418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</w:rPr>
          <w:t>420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</w:rPr>
          <w:t>423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16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1982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17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יסוד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כבוד האדם וחירותו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bookmarkStart w:id="8" w:name="ABSTRACT_START"/>
      <w:bookmarkEnd w:id="8"/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פסק כי בעניינו של המערער התקיימו הדרישות הפרוצדורליות והמהותיות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הנחוצות כדי להסגירו לארה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 לפי חוק ההסגרה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התשתית הראייתית בבקשת ההסגרה עונה על דרישת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האחיזה לאישום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';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העבירות המיוחסות לו לא התיישנו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שיקולי תקנת הציבור אינם מונעים הסגרה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והוכח במידה הנדרשת להליך ההסגרה כי הומצא עותק נאמן למקור של צו המעצר שהוּצא נגדו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הסגרה – הכרזה כבר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הסגרה – הראיות הנדרשות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הסגרה – תנאי הסגרה – תשתית ראייתית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הסגרה – מעצר – במסגרת הליכי הסגרה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הסגרה – סייגים להסגרה – התיישנות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הסגרה – סייגים להסגרה – תקנת הציבור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ערעור על החלטת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 בגדרה הוכרז המערער כבר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הסגרה לפי חוק ההסגרה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בגין העמדתו לדין בעבירות הונאה בארצות הברית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הואשם יחד עם מר מזרחי בביצוע עבירות של הונאת בנק וכן עבירות של מתן הצהרה כוזבת למוסד פיננסי המבוטח על ידי ממשלת ארצות הברית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מפי השופט אלרון ובהסכמת השופטות ברק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ארז וברון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דחה את הערעור ופסק כי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סעיף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לחוק קובע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כי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יכריז על מבוקש כבר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הסגרה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אם הוכח כי יש ראיות שהיו מספיקות כדי להעמידו לדין על עבירה כזאת בישראל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וכי נתמלאו שאר התנאים הקבועים בחוק להסגרתו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בבחינת התשתית הראייתית טרם ההכרזה על מבוקש כבר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הסגרה לצורך העמדתו לדין על ידי מדינה שעמה יש לישראל הסכם הסגרה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אין צורך להכריע האם יש בחומר הראיות כדי להוביל להרשעת המבוקש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אלא די בקיומה של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אחיזה לאישום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",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קרי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ראיות שיש בהן כדי להצדיק את המשך בירור אשמת המבוקש במדינה המבקשת להעמידו לדין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במסגרת בירור זה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אין לבחון את משקלן של הראיות או את קבילותן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ואף עדות שמיעה עשויה להספיק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הנחת המוצא היא כי המדינה מבקשת ההסגרה אינה צריכה להוכיח את נכונות ממצאי החקירה הנמסרים על ידה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וכי השאלה אליה נדרש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המתבקש להכריז על ההסגרה היא אך האם מדובר בעובדות שיש בהן כדי להצדיק את העמדת המבוקש לדין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לאחר בחינת התשתית הראייתית על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ליתן דעתו לסייגים הקבועים בחוק ולבחון האם התקיימו כלל התנאים להסגרת המבוקש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שאת התקיימותם יש לפרש במצומצם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בנוסף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ככלל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אין מקום לברר בהליך ההסגרה טענות שלפיהן אין להסגיר את המבוקש נוכח הוראות הדין במדינה המבקשת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בענייננו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אין מחלוקת שהמערער נחשב למבוקש כהגדרתו בחוק ההסגרה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לפיכך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טרם ההכרזה עליו כבר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הסגרה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יש לבחון האם התשתית הראייתית שעליה נסמכת ממשלת ארצות הברית בבקשת ההסגרה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היתה מספיקה לצורך העמדתו לדין פלילי בישראל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נמצא כי כלל האינדיקציות מלמדות על קיומה של תשתית ראייתית שיש בה כדי לקשור את המערער למעשי ההונאה המיוחסים למזרחי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בידי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הדן בעתירה להסגרת מבוקש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אין את הכלים המתאימים כדי לבחון את משקל הראיות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או את מהימנות העדים שתצהיריהם נמסרו במסגרת הבקשה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הנחת העבודה היא כי הדברים שנמסרו בידי גופי החקירה משקפים את הממצאים העולים מחקירתם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והנטל להוכיח כי גופי החקירה במדינה שיש לישראל הסכם הסגרה עמה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מעוותים את ממצאי החקירה באופן מודע מתוך שיקולים זרים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מוטל על הטוען לכך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בנטל זה לא עמד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טענת המערער שלפיה כל מטרתה של בקשת ההסגרה נגדו אינה אלא להביאו למתן עדות במשפטו של מזרחי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ומשכך היענות לבקשת ההסגרה תפגע באופן ממשי בתחושת הצדק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באופן המקים בעניינו את הסייג בדבר תקנת הציבור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הינה טענה בעלמא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 נמצא כי הסגרת המערער תפגע בתקנת הציבור במידה הנדרשת כדי למנוע את הסגרתו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בפרט נוכח חומרת העבירות המיוחסות לו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ובשים לב לכך כי מרבית הראיות נגדו מושתתות על מסמכים פיננסיים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ולכן הנזק שנגרם לו בשל השיהוי מצומצם יחסית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לאור המסקנה באשר לקיומה של תשתית לכאורית הן באשר למצגי שווא שנעשו על ידו לשם הגדלת היקף האשראי של החברות הן בדבר מודעותו לפעילות ההונאה של מזרחי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נדחתה טענת המערער בסוגיית ההתיישנות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לטענות המערער בעניין עותק צו המעצר שהומצא על ידי רשויות החקירה בארצות הברית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מטרת הדרישה למסירת העתק של צו המעצר היא להניח תשתית ראייתית בדבר החלטה שיפוטית שניתנה אודות מעצר המבוקש במדינה המבקשת את הסגרתו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די בתשתית שהונחה בבקשת ההסגרה כדי ללמד כי הוּצא נגד המערער צו מעצר על ידי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בארצות הברית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  <w:sz w:val="24"/>
          <w:szCs w:val="24"/>
        </w:rPr>
      </w:pPr>
      <w:r>
        <w:rPr>
          <w:rFonts w:cs="Century" w:ascii="Century" w:hAnsi="Century"/>
          <w:sz w:val="24"/>
          <w:szCs w:val="24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לפנינו ערעור על החלטת בית המשפט המחוזי בירושלים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לומפ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1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תה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508-02-19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13.8.2019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בגדרה הוכרז המערער כבר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הסגרה לפי </w:t>
      </w:r>
      <w:hyperlink r:id="rId19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2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ההסגרה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התשי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1954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>:</w:t>
      </w:r>
      <w:r>
        <w:rPr>
          <w:b/>
          <w:spacing w:val="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בגין העמדתו לדין בעבירות הונאה בארצות הברית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FrankRuehl" w:hAnsi="FrankRuehl" w:cs="FrankRuehl"/>
          <w:b/>
          <w:spacing w:val="0"/>
          <w:sz w:val="28"/>
        </w:rPr>
      </w:pPr>
      <w:r>
        <w:rPr>
          <w:rFonts w:cs="FrankRuehl" w:ascii="FrankRuehl" w:hAnsi="FrankRuehl"/>
          <w:b/>
          <w:spacing w:val="0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בשלהי שנת </w:t>
      </w:r>
      <w:r>
        <w:rPr>
          <w:rFonts w:cs="Century" w:ascii="Century" w:hAnsi="Century"/>
          <w:sz w:val="22"/>
        </w:rPr>
        <w:t>2008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נפתחה בארצות הברית חקירה פלילית נגד המערער ואדם נוסף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>: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מזרחי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בחשד לביצוע עבירות הונאה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חקירה זו הובילה בשנת </w:t>
      </w:r>
      <w:r>
        <w:rPr>
          <w:rFonts w:cs="Century" w:ascii="Century" w:hAnsi="Century"/>
          <w:sz w:val="22"/>
        </w:rPr>
        <w:t>2012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להגשת כתב אישום נגד מזרחי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במסגרתו יוחסו לו עבירות הונאה שונות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FrankRuehl" w:hAnsi="FrankRuehl" w:cs="FrankRuehl"/>
          <w:b/>
          <w:spacing w:val="0"/>
          <w:sz w:val="28"/>
        </w:rPr>
      </w:pPr>
      <w:r>
        <w:rPr>
          <w:rFonts w:cs="FrankRuehl" w:ascii="FrankRuehl" w:hAnsi="FrankRuehl"/>
          <w:b/>
          <w:spacing w:val="0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FrankRuehl" w:ascii="FrankRuehl" w:hAnsi="FrankRuehl"/>
          <w:b/>
          <w:spacing w:val="0"/>
          <w:sz w:val="28"/>
          <w:rtl w:val="true"/>
        </w:rPr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30.1.2014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תוקן כתב האישום שהוגש נגד מזרחי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צורף כנאשם נוסף ביחס לחלק מסעיפי האישום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במסגרת כתב האישום המתוקן הואשמו השניים בביצוע עבירות של הונאת בנק וסיוע וגרימת ביצוע </w:t>
      </w:r>
      <w:r>
        <w:rPr>
          <w:rFonts w:cs="Century" w:ascii="Century" w:hAnsi="Century"/>
          <w:rtl w:val="true"/>
        </w:rPr>
        <w:t>(</w:t>
      </w:r>
      <w:r>
        <w:rPr>
          <w:rFonts w:cs="Garamond" w:ascii="Garamond" w:hAnsi="Garamond"/>
          <w:bCs/>
          <w:spacing w:val="0"/>
          <w:sz w:val="26"/>
          <w:szCs w:val="26"/>
        </w:rPr>
        <w:t>Bank Fraud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Garamond" w:ascii="Garamond" w:hAnsi="Garamond"/>
          <w:bCs/>
          <w:spacing w:val="0"/>
          <w:sz w:val="26"/>
          <w:szCs w:val="26"/>
        </w:rPr>
        <w:t>Aiding and Abetting and Causing an Act to be Done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וכן עבירות של מתן הצהרה כוזבת למוסד פיננסי המבוטח על ידי ממשלת ארצות הברית וגרימת ביצוע</w:t>
      </w:r>
      <w:r>
        <w:rPr>
          <w:rFonts w:ascii="FrankRuehl" w:hAnsi="FrankRuehl"/>
          <w:b/>
          <w:b/>
          <w:spacing w:val="0"/>
          <w:sz w:val="28"/>
          <w:sz w:val="28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Garamond" w:ascii="Garamond" w:hAnsi="Garamond"/>
          <w:bCs/>
          <w:spacing w:val="0"/>
          <w:sz w:val="26"/>
          <w:szCs w:val="26"/>
        </w:rPr>
        <w:t>False Statement to a Federally Insured Financial Institution</w:t>
      </w:r>
      <w:r>
        <w:rPr>
          <w:rFonts w:cs="Garamond" w:ascii="Garamond" w:hAnsi="Garamond"/>
          <w:bCs/>
          <w:spacing w:val="0"/>
          <w:sz w:val="26"/>
          <w:szCs w:val="26"/>
          <w:rtl w:val="true"/>
        </w:rPr>
        <w:t xml:space="preserve"> </w:t>
      </w:r>
      <w:r>
        <w:rPr>
          <w:rFonts w:cs="Garamond" w:ascii="Garamond" w:hAnsi="Garamond"/>
          <w:bCs/>
          <w:spacing w:val="0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Garamond" w:ascii="Garamond" w:hAnsi="Garamond"/>
          <w:bCs/>
          <w:spacing w:val="0"/>
          <w:sz w:val="26"/>
          <w:szCs w:val="26"/>
          <w:rtl w:val="true"/>
        </w:rPr>
        <w:t xml:space="preserve"> </w:t>
      </w:r>
      <w:r>
        <w:rPr>
          <w:rFonts w:cs="Garamond" w:ascii="Garamond" w:hAnsi="Garamond"/>
          <w:bCs/>
          <w:spacing w:val="0"/>
          <w:sz w:val="26"/>
          <w:szCs w:val="26"/>
        </w:rPr>
        <w:t>Aiding and Abetting and Causing an Act to be Done</w:t>
      </w:r>
      <w:r>
        <w:rPr>
          <w:rFonts w:cs="FrankRuehl" w:ascii="FrankRuehl" w:hAnsi="FrankRuehl"/>
          <w:b/>
          <w:spacing w:val="0"/>
          <w:sz w:val="28"/>
          <w:rtl w:val="true"/>
        </w:rPr>
        <w:t>).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מזרחי הואשם בעבירות שבוצעו בין חודש פברואר 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לחודש יוני </w:t>
      </w:r>
      <w:r>
        <w:rPr>
          <w:rFonts w:cs="Century" w:ascii="Century" w:hAnsi="Century"/>
        </w:rPr>
        <w:t>2008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הואשם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במסגרת סעיפים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</w:rPr>
        <w:t>-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לכתב האישום המתוקן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בעבירות שבוצעו בין חודש פברואר 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עד ליום </w:t>
      </w:r>
      <w:r>
        <w:rPr>
          <w:rFonts w:cs="Century" w:ascii="Century" w:hAnsi="Century"/>
        </w:rPr>
        <w:t>15.4.2005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לפחות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FrankRuehl" w:hAnsi="FrankRuehl" w:cs="FrankRuehl"/>
          <w:b/>
          <w:spacing w:val="0"/>
          <w:sz w:val="28"/>
        </w:rPr>
      </w:pPr>
      <w:r>
        <w:rPr>
          <w:rFonts w:cs="FrankRuehl" w:ascii="FrankRuehl" w:hAnsi="FrankRuehl"/>
          <w:b/>
          <w:spacing w:val="0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FrankRuehl" w:ascii="FrankRuehl" w:hAnsi="FrankRuehl"/>
          <w:b/>
          <w:spacing w:val="0"/>
          <w:sz w:val="28"/>
          <w:rtl w:val="true"/>
        </w:rPr>
        <w:tab/>
      </w:r>
      <w:r>
        <w:rPr>
          <w:rFonts w:ascii="Century" w:hAnsi="Century" w:cs="Century"/>
          <w:rtl w:val="true"/>
        </w:rPr>
        <w:t>עם הגשת כתב האישום המתוקן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הוצאו צווי מעצר נגד השניים בבית המשפט הפדראלי המחוזי במחוז מרכז בקליפורניה שבארצות הברית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על פי עובדות כתב האישום המתוקן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בתקופה הרלוונטית לאישומים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ניהל מזרחי עסק למכירות סיטונאיות של מכשירים אלקטרוניים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במסגרת שתי חברות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שתכוננה להלן</w:t>
      </w:r>
      <w:r>
        <w:rPr>
          <w:rFonts w:cs="Century" w:ascii="Century" w:hAnsi="Century"/>
          <w:sz w:val="22"/>
          <w:rtl w:val="true"/>
        </w:rPr>
        <w:t>:</w:t>
      </w:r>
      <w:r>
        <w:rPr>
          <w:rtl w:val="true"/>
        </w:rPr>
        <w:t xml:space="preserve"> </w:t>
      </w:r>
      <w:r>
        <w:rPr>
          <w:bCs/>
          <w:sz w:val="26"/>
          <w:szCs w:val="26"/>
        </w:rPr>
        <w:t>NEI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bCs/>
          <w:sz w:val="26"/>
          <w:szCs w:val="26"/>
        </w:rPr>
        <w:t>TCI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וביחד</w:t>
      </w:r>
      <w:r>
        <w:rPr>
          <w:rFonts w:cs="Century" w:ascii="Century" w:hAnsi="Century"/>
          <w:sz w:val="22"/>
          <w:rtl w:val="true"/>
        </w:rPr>
        <w:t>: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החברות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המערער שימש כמנהל הכספים של</w:t>
      </w:r>
      <w:r>
        <w:rPr>
          <w:rtl w:val="true"/>
        </w:rPr>
        <w:t xml:space="preserve"> </w:t>
      </w:r>
      <w:r>
        <w:rPr>
          <w:bCs/>
          <w:sz w:val="26"/>
          <w:szCs w:val="26"/>
        </w:rPr>
        <w:t>NEI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ומזכיר של</w:t>
      </w:r>
      <w:r>
        <w:rPr>
          <w:rtl w:val="true"/>
        </w:rPr>
        <w:t xml:space="preserve"> </w:t>
      </w:r>
      <w:r>
        <w:rPr>
          <w:bCs/>
          <w:sz w:val="26"/>
          <w:szCs w:val="26"/>
        </w:rPr>
        <w:t>TCI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FrankRuehl" w:hAnsi="FrankRuehl" w:cs="FrankRuehl"/>
          <w:b/>
          <w:spacing w:val="0"/>
          <w:sz w:val="28"/>
        </w:rPr>
      </w:pPr>
      <w:r>
        <w:rPr>
          <w:rFonts w:cs="FrankRuehl" w:ascii="FrankRuehl" w:hAnsi="FrankRuehl"/>
          <w:b/>
          <w:spacing w:val="0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FrankRuehl" w:ascii="FrankRuehl" w:hAnsi="FrankRuehl"/>
          <w:b/>
          <w:spacing w:val="0"/>
          <w:sz w:val="28"/>
          <w:rtl w:val="true"/>
        </w:rPr>
        <w:tab/>
      </w:r>
      <w:r>
        <w:rPr>
          <w:rFonts w:ascii="Century" w:hAnsi="Century" w:cs="Century"/>
          <w:rtl w:val="true"/>
        </w:rPr>
        <w:t xml:space="preserve">לפני חודש נובמבר </w:t>
      </w:r>
      <w:r>
        <w:rPr>
          <w:rFonts w:cs="Century" w:ascii="Century" w:hAnsi="Century"/>
        </w:rPr>
        <w:t>2003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יצרו מזרחי ואחרים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שזהותם אינה ידועה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מערכת הנהלת חשבונות עבור</w:t>
      </w:r>
      <w:r>
        <w:rPr>
          <w:rFonts w:ascii="FrankRuehl" w:hAnsi="FrankRuehl"/>
          <w:b/>
          <w:b/>
          <w:spacing w:val="0"/>
          <w:sz w:val="28"/>
          <w:sz w:val="28"/>
          <w:rtl w:val="true"/>
        </w:rPr>
        <w:t xml:space="preserve"> </w:t>
      </w:r>
      <w:r>
        <w:rPr>
          <w:rFonts w:cs="Garamond" w:ascii="Garamond" w:hAnsi="Garamond"/>
          <w:bCs/>
          <w:spacing w:val="0"/>
          <w:sz w:val="26"/>
          <w:szCs w:val="26"/>
        </w:rPr>
        <w:t>NEI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ובראשית שנת 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יצרו מערכת דומה עבור</w:t>
      </w:r>
      <w:r>
        <w:rPr>
          <w:rFonts w:ascii="FrankRuehl" w:hAnsi="FrankRuehl"/>
          <w:b/>
          <w:b/>
          <w:spacing w:val="0"/>
          <w:sz w:val="28"/>
          <w:sz w:val="28"/>
          <w:rtl w:val="true"/>
        </w:rPr>
        <w:t xml:space="preserve"> </w:t>
      </w:r>
      <w:r>
        <w:rPr>
          <w:rFonts w:cs="Garamond" w:ascii="Garamond" w:hAnsi="Garamond"/>
          <w:bCs/>
          <w:spacing w:val="0"/>
          <w:sz w:val="26"/>
          <w:szCs w:val="26"/>
        </w:rPr>
        <w:t>TCI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במערכות אלו נרשמו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בכוונה להונות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ערכים כוזבים של מלאי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מכירות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חובות הלקוחות ופרטיהם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מאז הקמת המערכות לרישום הנתונים הפיקטיביים ועד לסיום ביצוע ההונאה בשנת </w:t>
      </w:r>
      <w:r>
        <w:rPr>
          <w:rFonts w:cs="Century" w:ascii="Century" w:hAnsi="Century"/>
        </w:rPr>
        <w:t>2008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נרשמו במערכת</w:t>
      </w:r>
      <w:r>
        <w:rPr>
          <w:rFonts w:ascii="FrankRuehl" w:hAnsi="FrankRuehl"/>
          <w:b/>
          <w:b/>
          <w:spacing w:val="0"/>
          <w:sz w:val="28"/>
          <w:sz w:val="28"/>
          <w:rtl w:val="true"/>
        </w:rPr>
        <w:t xml:space="preserve"> </w:t>
      </w:r>
      <w:r>
        <w:rPr>
          <w:rFonts w:cs="Garamond" w:ascii="Garamond" w:hAnsi="Garamond"/>
          <w:bCs/>
          <w:spacing w:val="0"/>
          <w:sz w:val="26"/>
          <w:szCs w:val="26"/>
        </w:rPr>
        <w:t>NEI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הכנסות פיקטיביות ממכירות בסכום כולל של </w:t>
      </w:r>
      <w:r>
        <w:rPr>
          <w:rFonts w:cs="Century" w:ascii="Century" w:hAnsi="Century"/>
        </w:rPr>
        <w:t>104,865,435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דולר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שהיווה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32%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מכלל המכירות שנרשמו במערכת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ואילו במערכת</w:t>
      </w:r>
      <w:r>
        <w:rPr>
          <w:rFonts w:ascii="FrankRuehl" w:hAnsi="FrankRuehl"/>
          <w:b/>
          <w:b/>
          <w:spacing w:val="0"/>
          <w:sz w:val="28"/>
          <w:sz w:val="28"/>
          <w:rtl w:val="true"/>
        </w:rPr>
        <w:t xml:space="preserve"> </w:t>
      </w:r>
      <w:r>
        <w:rPr>
          <w:rFonts w:cs="Garamond" w:ascii="Garamond" w:hAnsi="Garamond"/>
          <w:bCs/>
          <w:spacing w:val="0"/>
          <w:sz w:val="26"/>
          <w:szCs w:val="26"/>
        </w:rPr>
        <w:t>TCI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>נרשמו הכנסות פיקטיביות ממכירות בסכום כולל של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36,207,530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דולר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שהיווה קרוב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40%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מכלל המכירות שנרשמו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FrankRuehl" w:hAnsi="FrankRuehl" w:cs="FrankRuehl"/>
          <w:b/>
          <w:spacing w:val="0"/>
          <w:sz w:val="28"/>
        </w:rPr>
      </w:pPr>
      <w:r>
        <w:rPr>
          <w:rFonts w:cs="FrankRuehl" w:ascii="FrankRuehl" w:hAnsi="FrankRuehl"/>
          <w:b/>
          <w:spacing w:val="0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FrankRuehl" w:ascii="FrankRuehl" w:hAnsi="FrankRuehl"/>
          <w:b/>
          <w:spacing w:val="0"/>
          <w:sz w:val="28"/>
          <w:rtl w:val="true"/>
        </w:rPr>
        <w:tab/>
      </w:r>
      <w:r>
        <w:rPr>
          <w:rFonts w:ascii="Century" w:hAnsi="Century" w:cs="Century"/>
          <w:rtl w:val="true"/>
        </w:rPr>
        <w:t>על בסיס הנתונים שהופקו ממערכות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ובכללם מסמכים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דוחות מס כוזבים והצהרות כוזבות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התקבל מצג שווא בדבר פעילות עסקית רבה ורמת סיכון נמוכה לבנקים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כתוצאה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קיבלו המערער ומזרחי הלוואות עסקיות עבור החברות משני בנקים במדינת קליפורניה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הבנקים יכונו להלן</w:t>
      </w:r>
      <w:r>
        <w:rPr>
          <w:rFonts w:cs="Century" w:ascii="Century" w:hAnsi="Century"/>
          <w:rtl w:val="true"/>
        </w:rPr>
        <w:t>: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 </w:t>
      </w:r>
      <w:r>
        <w:rPr>
          <w:rFonts w:cs="Miriam" w:ascii="Garamond" w:hAnsi="Garamond"/>
          <w:bCs/>
          <w:spacing w:val="0"/>
          <w:sz w:val="26"/>
          <w:szCs w:val="26"/>
        </w:rPr>
        <w:t>UCB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 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 </w:t>
      </w:r>
      <w:r>
        <w:rPr>
          <w:rFonts w:ascii="FrankRuehl" w:hAnsi="FrankRuehl"/>
          <w:b/>
          <w:b/>
          <w:spacing w:val="0"/>
          <w:sz w:val="28"/>
          <w:sz w:val="28"/>
          <w:rtl w:val="true"/>
        </w:rPr>
        <w:t>ו</w:t>
      </w:r>
      <w:r>
        <w:rPr>
          <w:rFonts w:cs="FrankRuehl" w:ascii="FrankRuehl" w:hAnsi="FrankRuehl"/>
          <w:b/>
          <w:spacing w:val="0"/>
          <w:sz w:val="28"/>
          <w:rtl w:val="true"/>
        </w:rPr>
        <w:t>-</w:t>
      </w:r>
      <w:r>
        <w:rPr>
          <w:rFonts w:cs="Miriam" w:ascii="Garamond" w:hAnsi="Garamond"/>
          <w:bCs/>
          <w:spacing w:val="0"/>
          <w:sz w:val="26"/>
          <w:szCs w:val="26"/>
        </w:rPr>
        <w:t>TB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ומזרחי קיבל הלוואות עסקיות עבור</w:t>
      </w:r>
      <w:r>
        <w:rPr>
          <w:rFonts w:ascii="FrankRuehl" w:hAnsi="FrankRuehl"/>
          <w:b/>
          <w:b/>
          <w:spacing w:val="0"/>
          <w:sz w:val="28"/>
          <w:sz w:val="28"/>
          <w:rtl w:val="true"/>
        </w:rPr>
        <w:t xml:space="preserve"> </w:t>
      </w:r>
      <w:r>
        <w:rPr>
          <w:rFonts w:cs="Miriam" w:ascii="Garamond" w:hAnsi="Garamond"/>
          <w:bCs/>
          <w:spacing w:val="0"/>
          <w:sz w:val="26"/>
          <w:szCs w:val="26"/>
        </w:rPr>
        <w:t>TCI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מבנק נוסף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שיכונה להלן</w:t>
      </w:r>
      <w:r>
        <w:rPr>
          <w:rFonts w:cs="Century" w:ascii="Century" w:hAnsi="Century"/>
          <w:rtl w:val="true"/>
        </w:rPr>
        <w:t>: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 </w:t>
      </w:r>
      <w:r>
        <w:rPr>
          <w:rFonts w:cs="Miriam" w:ascii="Garamond" w:hAnsi="Garamond"/>
          <w:bCs/>
          <w:spacing w:val="0"/>
          <w:sz w:val="26"/>
          <w:szCs w:val="26"/>
        </w:rPr>
        <w:t>SPB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מעת לעת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בהתבסס על הנתונים האמורים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ולבקשת השניים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האריכו הבנקים את תוקף ההלוואות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הגדילו את תקרות קווי האשראי ואישרו הלוואות חורגות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FrankRuehl" w:hAnsi="FrankRuehl" w:cs="FrankRuehl"/>
          <w:b/>
          <w:spacing w:val="0"/>
          <w:sz w:val="28"/>
        </w:rPr>
      </w:pPr>
      <w:r>
        <w:rPr>
          <w:rFonts w:cs="FrankRuehl" w:ascii="FrankRuehl" w:hAnsi="FrankRuehl"/>
          <w:b/>
          <w:spacing w:val="0"/>
          <w:sz w:val="28"/>
          <w:rtl w:val="true"/>
        </w:rPr>
      </w:r>
    </w:p>
    <w:p>
      <w:pPr>
        <w:pStyle w:val="Ruller4"/>
        <w:ind w:end="0"/>
        <w:jc w:val="both"/>
        <w:rPr>
          <w:rFonts w:ascii="FrankRuehl" w:hAnsi="FrankRuehl" w:cs="FrankRuehl"/>
          <w:b/>
          <w:spacing w:val="0"/>
          <w:sz w:val="28"/>
        </w:rPr>
      </w:pPr>
      <w:r>
        <w:rPr>
          <w:rFonts w:cs="FrankRuehl" w:ascii="FrankRuehl" w:hAnsi="FrankRuehl"/>
          <w:b/>
          <w:spacing w:val="0"/>
          <w:sz w:val="28"/>
          <w:rtl w:val="true"/>
        </w:rPr>
        <w:tab/>
      </w:r>
      <w:r>
        <w:rPr>
          <w:rFonts w:ascii="Century" w:hAnsi="Century" w:cs="Century"/>
          <w:rtl w:val="true"/>
        </w:rPr>
        <w:t xml:space="preserve">בשנת </w:t>
      </w:r>
      <w:r>
        <w:rPr>
          <w:rFonts w:cs="Century" w:ascii="Century" w:hAnsi="Century"/>
        </w:rPr>
        <w:t>2008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כשלו החברות בפירעון הלוואות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ובכך הביאו לכישלון עסקי של</w:t>
      </w:r>
      <w:r>
        <w:rPr>
          <w:rFonts w:ascii="FrankRuehl" w:hAnsi="FrankRuehl"/>
          <w:b/>
          <w:b/>
          <w:spacing w:val="0"/>
          <w:sz w:val="28"/>
          <w:sz w:val="28"/>
          <w:rtl w:val="true"/>
        </w:rPr>
        <w:t xml:space="preserve"> </w:t>
      </w:r>
      <w:r>
        <w:rPr>
          <w:rFonts w:cs="Miriam" w:ascii="Garamond" w:hAnsi="Garamond"/>
          <w:bCs/>
          <w:spacing w:val="0"/>
          <w:sz w:val="26"/>
          <w:szCs w:val="26"/>
        </w:rPr>
        <w:t>UCB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Miriam" w:ascii="Garamond" w:hAnsi="Garamond"/>
          <w:bCs/>
          <w:spacing w:val="0"/>
          <w:sz w:val="26"/>
          <w:szCs w:val="26"/>
        </w:rPr>
        <w:t>SPB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. </w:t>
      </w:r>
      <w:r>
        <w:rPr>
          <w:rFonts w:ascii="Century" w:hAnsi="Century" w:cs="Century"/>
          <w:rtl w:val="true"/>
        </w:rPr>
        <w:t>ההלוואות של</w:t>
      </w:r>
      <w:r>
        <w:rPr>
          <w:rFonts w:ascii="FrankRuehl" w:hAnsi="FrankRuehl"/>
          <w:b/>
          <w:b/>
          <w:spacing w:val="0"/>
          <w:sz w:val="28"/>
          <w:sz w:val="28"/>
          <w:rtl w:val="true"/>
        </w:rPr>
        <w:t xml:space="preserve"> </w:t>
      </w:r>
      <w:r>
        <w:rPr>
          <w:rFonts w:cs="Miriam" w:ascii="Garamond" w:hAnsi="Garamond"/>
          <w:bCs/>
          <w:spacing w:val="0"/>
          <w:sz w:val="26"/>
          <w:szCs w:val="26"/>
        </w:rPr>
        <w:t>NEI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>שלא נפרעו כלפי</w:t>
      </w:r>
      <w:r>
        <w:rPr>
          <w:rFonts w:ascii="FrankRuehl" w:hAnsi="FrankRuehl"/>
          <w:b/>
          <w:b/>
          <w:spacing w:val="0"/>
          <w:sz w:val="28"/>
          <w:sz w:val="28"/>
          <w:rtl w:val="true"/>
        </w:rPr>
        <w:t xml:space="preserve"> </w:t>
      </w:r>
      <w:r>
        <w:rPr>
          <w:rFonts w:cs="Miriam" w:ascii="Garamond" w:hAnsi="Garamond"/>
          <w:bCs/>
          <w:spacing w:val="0"/>
          <w:sz w:val="26"/>
          <w:szCs w:val="26"/>
        </w:rPr>
        <w:t>U</w:t>
      </w:r>
      <w:r>
        <w:rPr>
          <w:rFonts w:cs="Miriam" w:ascii="Garamond" w:hAnsi="Garamond"/>
          <w:bCs/>
          <w:spacing w:val="0"/>
          <w:sz w:val="26"/>
          <w:szCs w:val="26"/>
        </w:rPr>
        <w:t>C</w:t>
      </w:r>
      <w:r>
        <w:rPr>
          <w:rFonts w:cs="Miriam" w:ascii="Garamond" w:hAnsi="Garamond"/>
          <w:bCs/>
          <w:spacing w:val="0"/>
          <w:sz w:val="26"/>
          <w:szCs w:val="26"/>
        </w:rPr>
        <w:t>B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הסתכמו בסכום כולל של מעל </w:t>
      </w:r>
      <w:r>
        <w:rPr>
          <w:rFonts w:cs="Century" w:ascii="Century" w:hAnsi="Century"/>
        </w:rPr>
        <w:t>28,000,000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דולר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ההלוואות ללא פירעון של</w:t>
      </w:r>
      <w:r>
        <w:rPr>
          <w:rFonts w:ascii="FrankRuehl" w:hAnsi="FrankRuehl"/>
          <w:b/>
          <w:b/>
          <w:spacing w:val="0"/>
          <w:sz w:val="28"/>
          <w:sz w:val="28"/>
          <w:rtl w:val="true"/>
        </w:rPr>
        <w:t xml:space="preserve"> </w:t>
      </w:r>
      <w:r>
        <w:rPr>
          <w:rFonts w:cs="Miriam" w:ascii="Garamond" w:hAnsi="Garamond"/>
          <w:bCs/>
          <w:spacing w:val="0"/>
          <w:sz w:val="26"/>
          <w:szCs w:val="26"/>
        </w:rPr>
        <w:t>TCI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>כלפי</w:t>
      </w:r>
      <w:r>
        <w:rPr>
          <w:rFonts w:ascii="FrankRuehl" w:hAnsi="FrankRuehl"/>
          <w:b/>
          <w:b/>
          <w:spacing w:val="0"/>
          <w:sz w:val="28"/>
          <w:sz w:val="28"/>
          <w:rtl w:val="true"/>
        </w:rPr>
        <w:t xml:space="preserve"> </w:t>
      </w:r>
      <w:r>
        <w:rPr>
          <w:rFonts w:cs="Miriam" w:ascii="Garamond" w:hAnsi="Garamond"/>
          <w:bCs/>
          <w:spacing w:val="0"/>
          <w:sz w:val="26"/>
          <w:szCs w:val="26"/>
        </w:rPr>
        <w:t>SPB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הסתכמו בסכום כולל של </w:t>
      </w:r>
      <w:r>
        <w:rPr>
          <w:rFonts w:cs="Century" w:ascii="Century" w:hAnsi="Century"/>
        </w:rPr>
        <w:t>5,000,000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דולר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מזרחי פרע את רוב החובות ל</w:t>
      </w:r>
      <w:r>
        <w:rPr>
          <w:rFonts w:cs="Century" w:ascii="Century" w:hAnsi="Century"/>
          <w:rtl w:val="true"/>
        </w:rPr>
        <w:t>-</w:t>
      </w:r>
      <w:r>
        <w:rPr>
          <w:rFonts w:cs="Miriam" w:ascii="Garamond" w:hAnsi="Garamond"/>
          <w:bCs/>
          <w:spacing w:val="0"/>
          <w:sz w:val="26"/>
          <w:szCs w:val="26"/>
        </w:rPr>
        <w:t>TB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>באמצעות כספי הלוואה עסקית שהתקבלה מ</w:t>
      </w:r>
      <w:r>
        <w:rPr>
          <w:rFonts w:cs="Century" w:ascii="Century" w:hAnsi="Century"/>
          <w:rtl w:val="true"/>
        </w:rPr>
        <w:t>-</w:t>
      </w:r>
      <w:r>
        <w:rPr>
          <w:rFonts w:cs="Miriam" w:ascii="Garamond" w:hAnsi="Garamond"/>
          <w:bCs/>
          <w:spacing w:val="0"/>
          <w:sz w:val="26"/>
          <w:szCs w:val="26"/>
        </w:rPr>
        <w:t>SPB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>בעקבות הצהרה כוזבת לפיה מטרת ההלוואה היתה רכישת סחורה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החוב הנותר כלפי</w:t>
      </w:r>
      <w:r>
        <w:rPr>
          <w:rFonts w:ascii="FrankRuehl" w:hAnsi="FrankRuehl"/>
          <w:b/>
          <w:b/>
          <w:spacing w:val="0"/>
          <w:sz w:val="28"/>
          <w:sz w:val="28"/>
          <w:rtl w:val="true"/>
        </w:rPr>
        <w:t xml:space="preserve"> </w:t>
      </w:r>
      <w:r>
        <w:rPr>
          <w:rFonts w:cs="Miriam" w:ascii="Garamond" w:hAnsi="Garamond"/>
          <w:bCs/>
          <w:spacing w:val="0"/>
          <w:sz w:val="26"/>
          <w:szCs w:val="26"/>
        </w:rPr>
        <w:t>TB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עומד על סך של </w:t>
      </w:r>
      <w:r>
        <w:rPr>
          <w:rFonts w:cs="Century" w:ascii="Century" w:hAnsi="Century"/>
        </w:rPr>
        <w:t>183,440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דולר</w:t>
      </w:r>
      <w:r>
        <w:rPr>
          <w:rFonts w:cs="Century" w:ascii="Century" w:hAnsi="Century"/>
          <w:rtl w:val="true"/>
        </w:rPr>
        <w:t>.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FrankRuehl" w:hAnsi="FrankRuehl" w:cs="FrankRuehl"/>
          <w:b/>
          <w:spacing w:val="0"/>
          <w:sz w:val="28"/>
        </w:rPr>
      </w:pPr>
      <w:r>
        <w:rPr>
          <w:rFonts w:cs="FrankRuehl" w:ascii="FrankRuehl" w:hAnsi="FrankRuehl"/>
          <w:b/>
          <w:spacing w:val="0"/>
          <w:sz w:val="28"/>
          <w:rtl w:val="true"/>
        </w:rPr>
      </w:r>
    </w:p>
    <w:p>
      <w:pPr>
        <w:pStyle w:val="Ruller4"/>
        <w:ind w:end="0"/>
        <w:jc w:val="both"/>
        <w:rPr>
          <w:rFonts w:ascii="FrankRuehl" w:hAnsi="FrankRuehl" w:cs="FrankRuehl"/>
          <w:b/>
          <w:spacing w:val="0"/>
          <w:sz w:val="28"/>
        </w:rPr>
      </w:pPr>
      <w:r>
        <w:rPr>
          <w:rFonts w:cs="FrankRuehl" w:ascii="FrankRuehl" w:hAnsi="FrankRuehl"/>
          <w:b/>
          <w:spacing w:val="0"/>
          <w:sz w:val="28"/>
          <w:rtl w:val="true"/>
        </w:rPr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7.11.2008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נסגר</w:t>
      </w:r>
      <w:r>
        <w:rPr>
          <w:rFonts w:ascii="FrankRuehl" w:hAnsi="FrankRuehl"/>
          <w:b/>
          <w:b/>
          <w:spacing w:val="0"/>
          <w:sz w:val="28"/>
          <w:sz w:val="28"/>
          <w:rtl w:val="true"/>
        </w:rPr>
        <w:t xml:space="preserve"> </w:t>
      </w:r>
      <w:r>
        <w:rPr>
          <w:rFonts w:cs="Miriam" w:ascii="Garamond" w:hAnsi="Garamond"/>
          <w:bCs/>
          <w:spacing w:val="0"/>
          <w:sz w:val="26"/>
          <w:szCs w:val="26"/>
        </w:rPr>
        <w:t>SPB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>על ידי מדינת קליפורניה ומונה לו כונס נכסים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וביום </w:t>
      </w:r>
      <w:r>
        <w:rPr>
          <w:rFonts w:cs="Century" w:ascii="Century" w:hAnsi="Century"/>
        </w:rPr>
        <w:t>6.11.2009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נסגר גם</w:t>
      </w:r>
      <w:r>
        <w:rPr>
          <w:rFonts w:ascii="FrankRuehl" w:hAnsi="FrankRuehl"/>
          <w:b/>
          <w:b/>
          <w:spacing w:val="0"/>
          <w:sz w:val="28"/>
          <w:sz w:val="28"/>
          <w:rtl w:val="true"/>
        </w:rPr>
        <w:t xml:space="preserve"> </w:t>
      </w:r>
      <w:r>
        <w:rPr>
          <w:rFonts w:cs="Miriam" w:ascii="Garamond" w:hAnsi="Garamond"/>
          <w:bCs/>
          <w:spacing w:val="0"/>
          <w:sz w:val="26"/>
          <w:szCs w:val="26"/>
        </w:rPr>
        <w:t>UCB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>ומונה אף לו כונס נכסים</w:t>
      </w:r>
      <w:r>
        <w:rPr>
          <w:rFonts w:cs="Century" w:ascii="Century" w:hAnsi="Century"/>
          <w:rtl w:val="true"/>
        </w:rPr>
        <w:t>.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FrankRuehl" w:hAnsi="FrankRuehl" w:cs="FrankRuehl"/>
          <w:b/>
          <w:spacing w:val="0"/>
          <w:sz w:val="28"/>
        </w:rPr>
      </w:pPr>
      <w:r>
        <w:rPr>
          <w:rFonts w:cs="FrankRuehl" w:ascii="FrankRuehl" w:hAnsi="FrankRuehl"/>
          <w:b/>
          <w:spacing w:val="0"/>
          <w:sz w:val="28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לקראת סוף שנת </w:t>
      </w:r>
      <w:r>
        <w:rPr>
          <w:rFonts w:cs="Century" w:ascii="Century" w:hAnsi="Century"/>
          <w:sz w:val="22"/>
        </w:rPr>
        <w:t>2008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נפתחו שתי חקירות פליליות בפרשה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האחת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ידי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לשכת החקירות הפדראלית שבארצות הברית </w:t>
      </w:r>
      <w:r>
        <w:rPr>
          <w:rFonts w:cs="Century" w:ascii="Century" w:hAnsi="Century"/>
          <w:sz w:val="22"/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Fonts w:cs="Miriam"/>
          <w:bCs/>
          <w:spacing w:val="0"/>
          <w:sz w:val="26"/>
          <w:szCs w:val="26"/>
        </w:rPr>
        <w:t>FBI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והשניה על ידי ה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Miriam"/>
          <w:bCs/>
          <w:spacing w:val="0"/>
          <w:sz w:val="26"/>
          <w:szCs w:val="26"/>
        </w:rPr>
        <w:t>Federal Deposit Insurance Corporation</w:t>
      </w:r>
      <w:r>
        <w:rPr>
          <w:rtl w:val="true"/>
        </w:rPr>
        <w:t xml:space="preserve"> </w:t>
      </w:r>
      <w:r>
        <w:rPr>
          <w:rtl w:val="true"/>
        </w:rPr>
        <w:t xml:space="preserve"> (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Fonts w:cs="Miriam"/>
          <w:bCs/>
          <w:spacing w:val="0"/>
          <w:sz w:val="26"/>
          <w:szCs w:val="26"/>
        </w:rPr>
        <w:t>FDIC</w:t>
      </w:r>
      <w:r>
        <w:rPr>
          <w:rtl w:val="true"/>
        </w:rPr>
        <w:t xml:space="preserve">) </w:t>
      </w:r>
      <w:r>
        <w:rPr>
          <w:rFonts w:cs="Century" w:ascii="Century" w:hAnsi="Century"/>
          <w:sz w:val="22"/>
          <w:rtl w:val="true"/>
        </w:rPr>
        <w:t>–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רשות ממשלתית פדראלית בארצות הברית המבטחת הפקדות בחשבונות בנקים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אשר שילמה חלק מחובות החברות לבנקים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לאחר הגשת כתב האישום המקורי נגד מזרחי בשנת </w:t>
      </w:r>
      <w:r>
        <w:rPr>
          <w:rFonts w:cs="Century" w:ascii="Century" w:hAnsi="Century"/>
          <w:sz w:val="22"/>
        </w:rPr>
        <w:t>2012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המשיכו החוקרים לחקור את הפרשה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חשפו ראיות נוספות ואת ביצוע העבירות גם נגד</w:t>
      </w:r>
      <w:r>
        <w:rPr>
          <w:rtl w:val="true"/>
        </w:rPr>
        <w:t xml:space="preserve"> </w:t>
      </w:r>
      <w:r>
        <w:rPr>
          <w:bCs/>
          <w:sz w:val="26"/>
          <w:szCs w:val="26"/>
        </w:rPr>
        <w:t>TB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כמתואר לעיל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לאחר הגשת כתב האישום המתוקן בשנת </w:t>
      </w:r>
      <w:r>
        <w:rPr>
          <w:rFonts w:cs="Century" w:ascii="Century" w:hAnsi="Century"/>
          <w:sz w:val="22"/>
        </w:rPr>
        <w:t>2014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נמשכו פעולות החקירה בפרשה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27.2.2017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הגישה ממשלת ארצות הברית בקשות להסגיר לידיה את המערער ואת מזרחי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בהמשך לכך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31.1.2019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הורתה שרת המשפטים על הבאת השניים לפני בית המשפט המחוזי בירושלים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כדי שיקבע האם הם בני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הסגרה לארצות הברית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זאת על פי סמכותה לפי </w:t>
      </w:r>
      <w:hyperlink r:id="rId21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2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ההסגרה</w:t>
        </w:r>
      </w:hyperlink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בהתאם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27.2.2019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הגיש המשיב לבית המשפט המחוזי עתירה להכרזה עליהם כבני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הסגרה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FrankRuehl" w:hAnsi="FrankRuehl" w:cs="FrankRuehl"/>
          <w:b/>
          <w:spacing w:val="0"/>
          <w:sz w:val="28"/>
        </w:rPr>
      </w:pPr>
      <w:r>
        <w:rPr>
          <w:rFonts w:cs="FrankRuehl" w:ascii="FrankRuehl" w:hAnsi="FrankRuehl"/>
          <w:b/>
          <w:spacing w:val="0"/>
          <w:sz w:val="28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בהחלטתו נשוא הערעור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קיבל בית המשפט המחוזי את העתירה והכריז על השניים כבני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הסגרה לארצות הברית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FrankRuehl" w:hAnsi="FrankRuehl" w:cs="FrankRuehl"/>
          <w:b/>
          <w:spacing w:val="0"/>
          <w:sz w:val="28"/>
        </w:rPr>
      </w:pPr>
      <w:r>
        <w:rPr>
          <w:rFonts w:cs="FrankRuehl" w:ascii="FrankRuehl" w:hAnsi="FrankRuehl"/>
          <w:b/>
          <w:spacing w:val="0"/>
          <w:sz w:val="28"/>
          <w:rtl w:val="true"/>
        </w:rPr>
      </w:r>
    </w:p>
    <w:p>
      <w:pPr>
        <w:pStyle w:val="Ruller4"/>
        <w:ind w:end="0"/>
        <w:jc w:val="both"/>
        <w:rPr>
          <w:rFonts w:ascii="FrankRuehl" w:hAnsi="FrankRuehl" w:cs="FrankRuehl"/>
          <w:b/>
          <w:spacing w:val="0"/>
          <w:sz w:val="28"/>
        </w:rPr>
      </w:pPr>
      <w:r>
        <w:rPr>
          <w:rFonts w:cs="FrankRuehl" w:ascii="FrankRuehl" w:hAnsi="FrankRuehl"/>
          <w:b/>
          <w:spacing w:val="0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החלטת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FrankRuehl" w:hAnsi="FrankRuehl" w:cs="FrankRuehl"/>
          <w:b/>
          <w:spacing w:val="0"/>
          <w:sz w:val="28"/>
          <w:szCs w:val="24"/>
        </w:rPr>
      </w:pPr>
      <w:r>
        <w:rPr>
          <w:rFonts w:cs="FrankRuehl" w:ascii="FrankRuehl" w:hAnsi="FrankRuehl"/>
          <w:b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במסגרת ההליך בבית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טען המערער חמש טענות נגד הסגרתו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שעל ארבע מהן עמד בערעורו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כפי שיפורט להלן</w:t>
      </w:r>
      <w:r>
        <w:rPr>
          <w:rFonts w:cs="Century" w:ascii="Century" w:hAnsi="Century"/>
          <w:sz w:val="22"/>
          <w:rtl w:val="true"/>
        </w:rPr>
        <w:t xml:space="preserve">: 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די בראיות שהוצגו במסגרת בקשת ההסגרה כדי לקיים את דרישת 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אחיזה לאישום</w:t>
      </w:r>
      <w:r>
        <w:rPr>
          <w:rFonts w:cs="Century" w:ascii="Century" w:hAnsi="Century"/>
          <w:rtl w:val="true"/>
        </w:rPr>
        <w:t>" (</w:t>
      </w:r>
      <w:hyperlink r:id="rId2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ההסגרה</w:t>
        </w:r>
      </w:hyperlink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שכן לא הובאו ראיות המלמדות על מודעותו למעשי ההונאה שביצע מזרחי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על כך שנטל בהם חלק כלשהו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לא מתקיימת דרישת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הפליליות הכפולה</w:t>
      </w:r>
      <w:r>
        <w:rPr>
          <w:rFonts w:cs="Century" w:ascii="Century" w:hAnsi="Century"/>
          <w:rtl w:val="true"/>
        </w:rPr>
        <w:t>" (</w:t>
      </w:r>
      <w:hyperlink r:id="rId2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ההסגרה</w:t>
        </w:r>
      </w:hyperlink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שכן לפי החוק הישראלי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המעשים המיוחסים לו אינם עולים כדי מרמה בנסיבות מחמירות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מאחר שלטענתו הוא לא היה מעורב בתכנון מעשי המרמה כלפי הבנקים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חל הסייג שעניינו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תקנת הציבור</w:t>
      </w:r>
      <w:r>
        <w:rPr>
          <w:rFonts w:cs="Century" w:ascii="Century" w:hAnsi="Century"/>
          <w:rtl w:val="true"/>
        </w:rPr>
        <w:t>" (</w:t>
      </w:r>
      <w:hyperlink r:id="rId2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8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ההסגרה</w:t>
        </w:r>
      </w:hyperlink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בנסיבות שבהן הסגרתו התבקשה רק כדי להביאו לעדות במשפטו של מזרחי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לטענתו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כמו גם בשל השיהוי בהגשת בקשת ההסגרה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זו הוגשה בחלוף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מעת ביצוע העבירות המיוחסות לו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רביעית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העבירות שבהן הואשם התיישנו זה מכבר </w:t>
      </w:r>
      <w:r>
        <w:rPr>
          <w:rFonts w:cs="Century" w:ascii="Century" w:hAnsi="Century"/>
          <w:rtl w:val="true"/>
        </w:rPr>
        <w:t>(</w:t>
      </w:r>
      <w:hyperlink r:id="rId2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cs="Century" w:ascii="Century" w:hAnsi="Century"/>
          </w:rPr>
          <w:t>6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ההסגרה</w:t>
        </w:r>
      </w:hyperlink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שכן עבירת מרמה בצורתה המופחתת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שאינה בנסיבות מחמירות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היא עבירה מסוג עוון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וככזו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התיישנה בחלוף חמש שנים מיום ביצוע העבירה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בנסיבות שבהן צו המעצר שצורף לעתירה אינו הצו המקורי או העתק נאמן למקור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העתק של העתק של צו המעצר שאבד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וכאשר הצו נחתם על ידי פקיד בית המשפט ולא על ידי שופט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התקיים התנאי הפורמלי לפי סעיף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לפרוטוקול בין ממשלת ישראל לבין ממשלת ארצות הברית המתקן את אמנת ההסגרה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הפרוטוקול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המתקן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הקובע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בקשה להסגרה של אדם המבוקש לצורך העמדה לדין תיתמך גם על ידי עותק של הצו או פקודת מעצר שהוציאו שופט או רשות מוסמכת אחרת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 xml:space="preserve">באשר לטענה הראשונה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נקבע 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החומר הראייתי שצורף לבקשת ההסגרה הוא עשיר ומגוון ויש בו כדי לעמוד בדרישה ל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אחיזה לאישום</w:t>
      </w:r>
      <w:r>
        <w:rPr>
          <w:rFonts w:cs="Century" w:ascii="Century" w:hAnsi="Century"/>
          <w:sz w:val="22"/>
          <w:rtl w:val="true"/>
        </w:rPr>
        <w:t xml:space="preserve">'". </w:t>
      </w:r>
      <w:r>
        <w:rPr>
          <w:rFonts w:ascii="Century" w:hAnsi="Century" w:cs="Century"/>
          <w:sz w:val="22"/>
          <w:sz w:val="22"/>
          <w:rtl w:val="true"/>
        </w:rPr>
        <w:t>בהקשר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נסמך בית המשפט על תצהיריו של הפרקליט</w:t>
      </w:r>
      <w:r>
        <w:rPr>
          <w:rtl w:val="true"/>
        </w:rPr>
        <w:t xml:space="preserve"> </w:t>
      </w:r>
      <w:r>
        <w:rPr>
          <w:bCs/>
          <w:szCs w:val="24"/>
        </w:rPr>
        <w:t>Steven M. Arkow</w:t>
      </w:r>
      <w:r>
        <w:rPr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ארקו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בעניינו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אליו צורפו כנספחים גם תצהיריה של החוקרת</w:t>
      </w:r>
      <w:r>
        <w:rPr>
          <w:rtl w:val="true"/>
        </w:rPr>
        <w:t xml:space="preserve"> </w:t>
      </w:r>
      <w:r>
        <w:rPr>
          <w:bCs/>
          <w:sz w:val="26"/>
          <w:szCs w:val="26"/>
        </w:rPr>
        <w:t>Marten Williams</w:t>
      </w:r>
      <w:r>
        <w:rPr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>: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ויליאמס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מימים </w:t>
      </w:r>
      <w:r>
        <w:rPr>
          <w:rFonts w:cs="Century" w:ascii="Century" w:hAnsi="Century"/>
          <w:sz w:val="22"/>
        </w:rPr>
        <w:t>24.1.2017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3.8.2017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23.8.2018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>: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התצהיר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ותצהירו של מי ששימש כסגן נשיא</w:t>
      </w:r>
      <w:r>
        <w:rPr>
          <w:rtl w:val="true"/>
        </w:rPr>
        <w:t xml:space="preserve"> </w:t>
      </w:r>
      <w:r>
        <w:rPr>
          <w:bCs/>
          <w:sz w:val="26"/>
          <w:szCs w:val="26"/>
        </w:rPr>
        <w:t>UCB</w:t>
      </w:r>
      <w:r>
        <w:rPr>
          <w:rtl w:val="true"/>
        </w:rPr>
        <w:t xml:space="preserve"> </w:t>
      </w:r>
      <w:r>
        <w:rPr>
          <w:rtl w:val="true"/>
        </w:rPr>
        <w:t xml:space="preserve">בין השנים </w:t>
      </w:r>
      <w:r>
        <w:rPr/>
        <w:t>2001</w:t>
      </w:r>
      <w:r>
        <w:rPr>
          <w:rFonts w:cs="FrankRuehl" w:ascii="FrankRuehl" w:hAnsi="FrankRuehl"/>
          <w:rtl w:val="true"/>
        </w:rPr>
        <w:t>–</w:t>
      </w:r>
      <w:r>
        <w:rPr/>
        <w:t>2005</w:t>
      </w:r>
      <w:r>
        <w:rPr>
          <w:rtl w:val="true"/>
        </w:rPr>
        <w:t xml:space="preserve">, </w:t>
      </w:r>
      <w:r>
        <w:rPr>
          <w:bCs/>
          <w:szCs w:val="24"/>
        </w:rPr>
        <w:t>Neville Wellman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szCs w:val="24"/>
          <w:rtl w:val="true"/>
        </w:rPr>
        <w:t>וולמן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FrankRuehl" w:hAnsi="FrankRuehl" w:cs="FrankRuehl"/>
          <w:b/>
          <w:spacing w:val="0"/>
          <w:sz w:val="28"/>
        </w:rPr>
      </w:pPr>
      <w:r>
        <w:rPr>
          <w:rFonts w:cs="FrankRuehl" w:ascii="FrankRuehl" w:hAnsi="FrankRuehl"/>
          <w:b/>
          <w:spacing w:val="0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FrankRuehl" w:ascii="FrankRuehl" w:hAnsi="FrankRuehl"/>
          <w:b/>
          <w:spacing w:val="0"/>
          <w:sz w:val="28"/>
          <w:rtl w:val="true"/>
        </w:rPr>
        <w:tab/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מתצהיר</w:t>
      </w:r>
      <w:r>
        <w:rPr>
          <w:rFonts w:ascii="Century" w:hAnsi="Century" w:cs="Century"/>
          <w:rtl w:val="true"/>
        </w:rPr>
        <w:t>יהם של ארקו וויליאמס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עלה כי בביקורים שנערכו במחסני החברות התגלה כי רוב הקרטונים במחסנים היו ריקים וסודרו כדי ליצור מצג שווא שלפיו היה במחסנים מלאי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באחד המחסנים נמצא מחשב שבו אותרו מערכות הנהלת החשבונות הפיקטיביות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החקירה העלתה שלא נמכרה כלל סחורה לגורמים שונים שהיו רשומים כלקוחותיהן של החברות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שנמכרה להם סחורה בהיקף נמוך באופן משמעותי מכפי שדווח לבנקים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השוואה בין דוחות המס של החברות והדוחות שהוגשו לבנקים על ידי מזרחי והמערער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מנת לקבל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להאריך ולהגדיל את קווי האשראי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מעלה כי האחרונים היו כוזבים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המערער הגיש ל</w:t>
      </w:r>
      <w:r>
        <w:rPr>
          <w:rFonts w:cs="Century" w:ascii="Century" w:hAnsi="Century"/>
          <w:rtl w:val="true"/>
        </w:rPr>
        <w:t>-</w:t>
      </w:r>
      <w:r>
        <w:rPr>
          <w:rFonts w:cs="Garamond" w:ascii="Garamond" w:hAnsi="Garamond"/>
          <w:bCs/>
          <w:sz w:val="26"/>
          <w:szCs w:val="26"/>
        </w:rPr>
        <w:t>UCB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דוח חייבים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של חברת </w:t>
      </w:r>
      <w:r>
        <w:rPr>
          <w:rFonts w:cs="Garamond" w:ascii="Garamond" w:hAnsi="Garamond"/>
          <w:bCs/>
          <w:sz w:val="26"/>
          <w:szCs w:val="26"/>
        </w:rPr>
        <w:t>NEI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>שהמידע בו תואם את המידע שבמערכת בעלת הנתונים הפיקטיביים של החברה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מתצהירו של וולמן 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הוא הסתמך על המידע והמסמכים הפיננסיים שהמערער הגיש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בסיסם המליץ על אישור הלוואה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המשך מימון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הגבהת תקרת קו האשראי ואישור מימון חורג 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למעשה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כעולה מתצהירה של ויליאמס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השניים הפנו את כספי ההלוואות למימון פעולות שונות החורגות מאלו שהוגדרו בבקשות ההלוואה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ליצור מצג שווא של הכנסות לחברות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FrankRuehl" w:hAnsi="FrankRuehl" w:cs="FrankRuehl"/>
          <w:b/>
          <w:spacing w:val="0"/>
          <w:sz w:val="28"/>
        </w:rPr>
      </w:pPr>
      <w:r>
        <w:rPr>
          <w:rFonts w:cs="FrankRuehl" w:ascii="FrankRuehl" w:hAnsi="FrankRuehl"/>
          <w:b/>
          <w:spacing w:val="0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בית המשפט דחה אף את </w:t>
      </w:r>
      <w:r>
        <w:rPr>
          <w:rtl w:val="true"/>
        </w:rPr>
        <w:t>טענת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 </w:t>
      </w:r>
      <w:r>
        <w:rPr>
          <w:rtl w:val="true"/>
        </w:rPr>
        <w:t>למודעותו</w:t>
      </w:r>
      <w:r>
        <w:rPr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 </w:t>
      </w:r>
      <w:r>
        <w:rPr>
          <w:rtl w:val="true"/>
        </w:rPr>
        <w:t>ההונאה</w:t>
      </w:r>
      <w:r>
        <w:rPr>
          <w:rtl w:val="true"/>
        </w:rPr>
        <w:t xml:space="preserve"> </w:t>
      </w:r>
      <w:r>
        <w:rPr>
          <w:rtl w:val="true"/>
        </w:rPr>
        <w:t>המיוחסות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בהקשר זה נשען בית המשפט על תצהירה השלישי של ויליאמס ממנו עלה כי במסגרת הודעות שנגבו ממנו</w:t>
      </w:r>
      <w:r>
        <w:rPr>
          <w:rtl w:val="true"/>
        </w:rPr>
        <w:t xml:space="preserve">, </w:t>
      </w:r>
      <w:r>
        <w:rPr>
          <w:rtl w:val="true"/>
        </w:rPr>
        <w:t>הודה המערער כי העביר מידע ומסמכים פיננסיים ל</w:t>
      </w:r>
      <w:r>
        <w:rPr>
          <w:rtl w:val="true"/>
        </w:rPr>
        <w:t>-</w:t>
      </w:r>
      <w:r>
        <w:rPr>
          <w:bCs/>
          <w:sz w:val="26"/>
          <w:szCs w:val="26"/>
        </w:rPr>
        <w:t>UCB</w:t>
      </w:r>
      <w:r>
        <w:rPr>
          <w:bCs/>
          <w:szCs w:val="24"/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bCs/>
          <w:sz w:val="26"/>
          <w:szCs w:val="26"/>
        </w:rPr>
        <w:t>TB</w:t>
      </w:r>
      <w:r>
        <w:rPr>
          <w:rtl w:val="true"/>
        </w:rPr>
        <w:t xml:space="preserve">; </w:t>
      </w:r>
      <w:r>
        <w:rPr>
          <w:rtl w:val="true"/>
        </w:rPr>
        <w:t xml:space="preserve">כי בעת התפטרותו מהעסק בשנת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ידע ש</w:t>
      </w:r>
      <w:r>
        <w:rPr>
          <w:rtl w:val="true"/>
        </w:rPr>
        <w:t>"</w:t>
      </w:r>
      <w:r>
        <w:rPr>
          <w:rtl w:val="true"/>
        </w:rPr>
        <w:t>רוב העסק היה הונאה</w:t>
      </w:r>
      <w:r>
        <w:rPr>
          <w:rtl w:val="true"/>
        </w:rPr>
        <w:t xml:space="preserve">"; </w:t>
      </w:r>
      <w:r>
        <w:rPr>
          <w:rtl w:val="true"/>
        </w:rPr>
        <w:t xml:space="preserve">כי נהג לעזוב את המשרד בשעה </w:t>
      </w:r>
      <w:r>
        <w:rPr/>
        <w:t>14:00</w:t>
      </w:r>
      <w:r>
        <w:rPr>
          <w:rtl w:val="true"/>
        </w:rPr>
        <w:t xml:space="preserve"> "</w:t>
      </w:r>
      <w:r>
        <w:rPr>
          <w:rtl w:val="true"/>
        </w:rPr>
        <w:t xml:space="preserve">משום שלא רצה להיות חלק </w:t>
      </w:r>
      <w:r>
        <w:rPr>
          <w:rFonts w:ascii="Century" w:hAnsi="Century" w:cs="Century"/>
          <w:rtl w:val="true"/>
        </w:rPr>
        <w:t>מה</w:t>
      </w:r>
      <w:r>
        <w:rPr>
          <w:rFonts w:cs="Century" w:ascii="Century" w:hAnsi="Century"/>
          <w:rtl w:val="true"/>
        </w:rPr>
        <w:t>'</w:t>
      </w:r>
      <w:r>
        <w:rPr>
          <w:bCs/>
          <w:sz w:val="26"/>
          <w:szCs w:val="26"/>
        </w:rPr>
        <w:t>funny business</w:t>
      </w:r>
      <w:r>
        <w:rPr>
          <w:rtl w:val="true"/>
        </w:rPr>
        <w:t xml:space="preserve">'" </w:t>
      </w:r>
      <w:r>
        <w:rPr>
          <w:rtl w:val="true"/>
        </w:rPr>
        <w:t>של מזרחי</w:t>
      </w:r>
      <w:r>
        <w:rPr>
          <w:rtl w:val="true"/>
        </w:rPr>
        <w:t xml:space="preserve">; </w:t>
      </w:r>
      <w:r>
        <w:rPr>
          <w:rtl w:val="true"/>
        </w:rPr>
        <w:t xml:space="preserve">וכי עוד בשנת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כאשר רצה לעזוב את העסק</w:t>
      </w:r>
      <w:r>
        <w:rPr>
          <w:rtl w:val="true"/>
        </w:rPr>
        <w:t xml:space="preserve">, </w:t>
      </w:r>
      <w:r>
        <w:rPr>
          <w:rtl w:val="true"/>
        </w:rPr>
        <w:t xml:space="preserve">מזרחי ניסה להרגיעו ואמר לו שהוא אחראי והשם של המערער </w:t>
      </w:r>
      <w:r>
        <w:rPr>
          <w:rtl w:val="true"/>
        </w:rPr>
        <w:t>"</w:t>
      </w:r>
      <w:r>
        <w:rPr>
          <w:rtl w:val="true"/>
        </w:rPr>
        <w:t>לא יופיע בשום מקום</w:t>
      </w:r>
      <w:r>
        <w:rPr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>בית המשפט הדגיש כי די בראיות אלו</w:t>
      </w:r>
      <w:r>
        <w:rPr>
          <w:rtl w:val="true"/>
        </w:rPr>
        <w:t xml:space="preserve">, </w:t>
      </w:r>
      <w:r>
        <w:rPr>
          <w:rtl w:val="true"/>
        </w:rPr>
        <w:t>המלמדות לכאורה על מודעותו לנתונים הפיקטיביים שהושתלו במערכות המחשב והוגשו לבנקים</w:t>
      </w:r>
      <w:r>
        <w:rPr>
          <w:rtl w:val="true"/>
        </w:rPr>
        <w:t xml:space="preserve">, </w:t>
      </w:r>
      <w:r>
        <w:rPr>
          <w:rtl w:val="true"/>
        </w:rPr>
        <w:t xml:space="preserve">כדי לקיים את דרישת האחיזה </w:t>
      </w:r>
      <w:r>
        <w:rPr>
          <w:rFonts w:ascii="Century" w:hAnsi="Century" w:cs="Century"/>
          <w:sz w:val="22"/>
          <w:sz w:val="22"/>
          <w:rtl w:val="true"/>
        </w:rPr>
        <w:t>לאישום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 שאלת היסוד הנפשי במלוא היקפה תתברר במשפטו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אשר להתקיימות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דרישת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הכפולה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נקבע כי בנסיבות בהן המערער מבוקש בגין מסירת דוחות כוזבים לבנקים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נתינת הצהרות כוזבות ביחס למטרת ההלוואות שביקשו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הצהרה על ערך מלאי גדול מערכו האמתי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ומסירת דוחות כוזבים בדבר חובות הלקוחות לחברות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הרי שמתקיימים יסודותיהן של העבירות המנויות </w:t>
      </w:r>
      <w:hyperlink r:id="rId31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בסעיפים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415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hyperlink r:id="rId32">
        <w:r>
          <w:rPr>
            <w:rStyle w:val="Hyperlink"/>
            <w:rFonts w:cs="Century" w:ascii="Century" w:hAnsi="Century"/>
            <w:sz w:val="22"/>
          </w:rPr>
          <w:t>418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hyperlink r:id="rId33">
        <w:r>
          <w:rPr>
            <w:rStyle w:val="Hyperlink"/>
            <w:rFonts w:cs="Century" w:ascii="Century" w:hAnsi="Century"/>
            <w:sz w:val="22"/>
          </w:rPr>
          <w:t>420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hyperlink r:id="rId34">
        <w:r>
          <w:rPr>
            <w:rStyle w:val="Hyperlink"/>
            <w:rFonts w:cs="Century" w:ascii="Century" w:hAnsi="Century"/>
            <w:sz w:val="22"/>
          </w:rPr>
          <w:t>423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3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התשל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ז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1977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קבלת דבר במרמה בנסיבות מחמירות וזיוף ושימוש במסמך מזויף בנסיבות מחמירות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כך 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מדובר בזהות המעשה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אף אם אין מדובר בחפיפה של כל יסודות העבירה</w:t>
      </w:r>
      <w:r>
        <w:rPr>
          <w:rFonts w:cs="Century" w:ascii="Century" w:hAnsi="Century"/>
          <w:sz w:val="22"/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FrankRuehl" w:hAnsi="FrankRuehl" w:cs="FrankRuehl"/>
          <w:b/>
          <w:spacing w:val="0"/>
          <w:sz w:val="28"/>
        </w:rPr>
      </w:pPr>
      <w:r>
        <w:rPr>
          <w:rFonts w:cs="FrankRuehl" w:ascii="FrankRuehl" w:hAnsi="FrankRuehl"/>
          <w:b/>
          <w:spacing w:val="0"/>
          <w:sz w:val="28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בית המשפט המחוזי הוסיף ודחה אף הטענה באשר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תחולת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סייג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ההתיישנות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וקבע 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נוכח תחכומה של המרמה הנטענת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היקפיה וממדיה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היותה פרי מאמץ מתוכנן שיטתי וממושך בסכומים נכבדים כלפי מספר קורבנות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יש לראות בעבירות שבהן הואשם המערער ככאלו שנעשו בנסיבות מחמירות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העבירות בדין הישראלי המקבילות לעבירות בגינן הועמד המערער לדין לפי החוק האמריקני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הן מסוג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פשע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שתקופת ההתיישנות בגינן היא עשר שנים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ממילא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כך נקבע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טרם חלפה תקופת ההתיישנות ואין מניעה להעמיד את המערער לדין בגין ביצוען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אשר לתחולתו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סייג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הציבור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נקבע כי הגם שיש צדק מסוים בטענת המערער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ומדובר בשיהוי לא מבוטל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אין בכך כדי להצדיק את סיכול ההסגרה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בפרט משום שבשל טיב העבירות נדרש פרק זמן משמעותי לצרכי חקירת הפרשה מחד גיסא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ומאידך גיסא השיהוי לא פגע פגיעה של ממש ביכולתו של המערער להתגונן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שכן מדובר בתיק שנשען על תשתית ראייתית הכוללת בעיקר מסמכים פיננסיים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להבדיל מעדויות של עדי ראיה</w:t>
      </w:r>
      <w:r>
        <w:rPr>
          <w:rFonts w:cs="Century" w:ascii="Century" w:hAnsi="Century"/>
          <w:sz w:val="22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לבסוף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המעצר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נקבע כי יש לפרש את הוראת הפרוטוקול המתקן כך שבקשת ההסגרה יכולה להיתמך בעותק של עותק של צו המעצר המקורי ואין חובה לצרף אליה עותק מצו המעצר המקורי עצמו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וכי בנסיבות בהן צווי המעצר המקוריים אבדו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העתקי הצווים שצורפו קבילים לפי תקנות </w:t>
      </w:r>
      <w:r>
        <w:rPr>
          <w:rFonts w:cs="Century" w:ascii="Century" w:hAnsi="Century"/>
          <w:sz w:val="22"/>
        </w:rPr>
        <w:t>1003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1004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לכללי הראיות הפדראליים של ארצות הברית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הודגש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הפורום המתאים לדון בכללי הראיות של הדין האמריקאי הוא ההליך העיקרי בארצות הברית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ועל כן שאלת קבילות צווי המעצר תיבחן לעומקה במסגרת אותו הליך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FrankRuehl" w:hAnsi="FrankRuehl" w:cs="FrankRuehl"/>
          <w:b/>
          <w:spacing w:val="0"/>
          <w:sz w:val="28"/>
        </w:rPr>
      </w:pPr>
      <w:r>
        <w:rPr>
          <w:rFonts w:cs="FrankRuehl" w:ascii="FrankRuehl" w:hAnsi="FrankRuehl"/>
          <w:b/>
          <w:spacing w:val="0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FrankRuehl" w:hAnsi="FrankRuehl" w:cs="FrankRuehl"/>
          <w:b/>
          <w:spacing w:val="0"/>
          <w:sz w:val="28"/>
          <w:szCs w:val="24"/>
        </w:rPr>
      </w:pPr>
      <w:r>
        <w:rPr>
          <w:rFonts w:cs="FrankRuehl" w:ascii="FrankRuehl" w:hAnsi="FrankRuehl"/>
          <w:b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במסגרת נימוקי הערעור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עיקרי הטיעון מטעמו ובדיון שנערך לפנינו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שב המערער על טענותיו כפי שנטענו בהליך בבית המשפט המחוזי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למעט באשר לסוגיית ה</w:t>
      </w:r>
      <w:r>
        <w:rPr>
          <w:rFonts w:ascii="Century" w:hAnsi="Century" w:cs="Century"/>
          <w:sz w:val="22"/>
          <w:sz w:val="22"/>
          <w:rtl w:val="true"/>
        </w:rPr>
        <w:t>פליליות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הכפולה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אליה התייחס המערער רק במסגרת טענת ההתיישנות</w:t>
      </w:r>
      <w:r>
        <w:rPr>
          <w:rFonts w:cs="Century" w:ascii="Century" w:hAnsi="Century"/>
          <w:sz w:val="22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את עיקר יהבו תולה המערער בשאלת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הוכחה מודעותו לביצוע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לא ברמה הראשונית הנדרשת לשם העמדתו לדין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שכן החלטתו לעזוב את עבודתו אצל מזרחי בחודש אפריל </w:t>
      </w:r>
      <w:r>
        <w:rPr>
          <w:rFonts w:cs="Century" w:ascii="Century" w:hAnsi="Century"/>
        </w:rPr>
        <w:t>2005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בשל החשד שהתעורר בקרבו כלפיו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מלמדת כי חדל לעבוד בחברות ברגע שהבין כי מתבצעות בהן מעשי מרמה והונאה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בכתב האישום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קיימת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בהירות גדולה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ביחס לשאלה מי הגורם שהגיש את המסמכים הכוזבים לבנקים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וכי באופן ספציפי ביחס לאישומים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עולה מתצהירה של ויליאמס כי ההצהרה הפיננסית הוכנה ושוגרה על ידי רואה החשבון סטיבן סטרול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סטרול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ולא על ידי המערער עצמו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FrankRuehl" w:hAnsi="FrankRuehl" w:cs="FrankRuehl"/>
          <w:b/>
          <w:spacing w:val="0"/>
          <w:sz w:val="28"/>
        </w:rPr>
      </w:pPr>
      <w:r>
        <w:rPr>
          <w:rFonts w:cs="FrankRuehl" w:ascii="FrankRuehl" w:hAnsi="FrankRuehl"/>
          <w:b/>
          <w:spacing w:val="0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FrankRuehl" w:ascii="FrankRuehl" w:hAnsi="FrankRuehl"/>
          <w:b/>
          <w:spacing w:val="0"/>
          <w:sz w:val="28"/>
          <w:rtl w:val="true"/>
        </w:rPr>
        <w:tab/>
      </w:r>
      <w:r>
        <w:rPr>
          <w:rFonts w:ascii="Century" w:hAnsi="Century" w:cs="Century"/>
          <w:rtl w:val="true"/>
        </w:rPr>
        <w:t>נוסף על כך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המשפט המחוזי התעלם מתצהיריהם של משה גרוויצקי וחיים פרידמן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שהובאו מטעם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שמהם עולה כי מזרחי סיפר להם בעת שהתנהל ההליך להסגרתו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הוא מצר על מה שנגרם למערער בעטיו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המערער לא היה מודע להונאה החשבונאית שביסוד עבירות ההונאה בהן הואשם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ומתצהירו של סטרול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שבו נכתב כי עבד כרואה חשבון חיצוני עבור מזרחי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ומעולם לא דיבר עם המערער על מצבן הפיננסי של החברות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FrankRuehl" w:ascii="FrankRuehl" w:hAnsi="FrankRuehl"/>
          <w:b/>
          <w:spacing w:val="0"/>
          <w:sz w:val="28"/>
          <w:rtl w:val="true"/>
        </w:rPr>
        <w:tab/>
      </w:r>
      <w:r>
        <w:rPr>
          <w:rFonts w:ascii="Century" w:hAnsi="Century" w:cs="Century"/>
          <w:rtl w:val="true"/>
        </w:rPr>
        <w:t>אשר 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ההתיישנות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 המערער על טענותיו בענין אופי העבירות המקבילות בדין הישראלי לאלו שבגינן הועמד לדין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אם כל הטענות נגדו יתבררו כנכונות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בהן כדי ללמד על ביצוע העבירה בנסיבות מחמירות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לא הוכח כי היה מעורב בתכנון המעשים יחד עם מזרחי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 מדובר בעבירה מסוג עוון שתקופת התיישנותה עומד על חמש 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חלפה בטרם הגשת כתב האישום נגדו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FrankRuehl" w:ascii="FrankRuehl" w:hAnsi="FrankRuehl"/>
          <w:b/>
          <w:spacing w:val="0"/>
          <w:sz w:val="28"/>
          <w:rtl w:val="true"/>
        </w:rPr>
        <w:tab/>
      </w:r>
      <w:r>
        <w:rPr>
          <w:rFonts w:ascii="Century" w:hAnsi="Century" w:cs="Century"/>
          <w:rtl w:val="true"/>
        </w:rPr>
        <w:t>לבסוף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לא קוימה הדרישה להמצאת עותק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המעצר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 העתק נאמן למקור של הצו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בנסיבות שבהן מדובר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במסמך שהועתק ממסמך אחר שגם הוא לא היה מאומת כנדרש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הוא לא נחתם על ידי שופט ואף לא על ידי פקיד מורשה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ולא נשא חותמת רשמית של בית המשפט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כל זאת בניגוד לדרישת סעיף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ascii="Century" w:hAnsi="Century" w:cs="Century"/>
          <w:rtl w:val="true"/>
        </w:rPr>
        <w:t xml:space="preserve"> הפדראלי ובניגוד לסעיפים </w:t>
      </w:r>
      <w:r>
        <w:rPr>
          <w:rFonts w:cs="Century" w:ascii="Century" w:hAnsi="Century"/>
        </w:rPr>
        <w:t>230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240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לפרק </w:t>
      </w:r>
      <w:r>
        <w:rPr>
          <w:rFonts w:cs="Century" w:ascii="Century" w:hAnsi="Century"/>
        </w:rPr>
        <w:t>9-15.00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מדריך משרד המשפטנים האמריקני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לפיהם על בקשת ההסגרה להיתמך במסמכים אשר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אושרו ואומתו כדין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ויש להגישה יחד עם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העתק נאמן למקור של צו המעצר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המשיב סומך ידו על קביעותיו של בית המשפט המחוזי וסבור כי יש לדחות את הערעור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FrankRuehl" w:hAnsi="FrankRuehl" w:cs="FrankRuehl"/>
          <w:b/>
          <w:spacing w:val="0"/>
          <w:sz w:val="28"/>
        </w:rPr>
      </w:pPr>
      <w:r>
        <w:rPr>
          <w:rFonts w:cs="FrankRuehl" w:ascii="FrankRuehl" w:hAnsi="FrankRuehl"/>
          <w:b/>
          <w:spacing w:val="0"/>
          <w:sz w:val="28"/>
          <w:rtl w:val="true"/>
        </w:rPr>
      </w:r>
    </w:p>
    <w:p>
      <w:pPr>
        <w:pStyle w:val="Ruller4"/>
        <w:ind w:end="0"/>
        <w:jc w:val="both"/>
        <w:rPr/>
      </w:pPr>
      <w:r>
        <w:rPr>
          <w:rFonts w:cs="FrankRuehl" w:ascii="FrankRuehl" w:hAnsi="FrankRuehl"/>
          <w:b/>
          <w:spacing w:val="0"/>
          <w:sz w:val="28"/>
          <w:rtl w:val="true"/>
        </w:rPr>
        <w:tab/>
      </w:r>
      <w:r>
        <w:rPr>
          <w:rFonts w:ascii="Century" w:hAnsi="Century" w:cs="Century"/>
          <w:rtl w:val="true"/>
        </w:rPr>
        <w:t xml:space="preserve">אשר לסוגית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נטען כי </w:t>
      </w:r>
      <w:r>
        <w:rPr>
          <w:rFonts w:ascii="Century" w:hAnsi="Century" w:cs="Century"/>
          <w:rtl w:val="true"/>
        </w:rPr>
        <w:t>חומר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שצורף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לבקשת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ההסגרה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מלמד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מודע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להונאה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בעצמו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מסמכים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כוזבים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לבנקים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מתצהירה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השלישי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ויליאמס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מסר 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שידע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מזרחי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שותל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נתונים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פיקטיביים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>מערכת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הנהלת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החשבונות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החברות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נעזר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בדוחות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פיקטיביים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לקבל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הלוואות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מהבנקים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מתצהירו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וולמן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נפגש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הלוואה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עבור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TCI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הפגישה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מסמכי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ניהול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חשבונות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כוזבים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החברה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העביר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בקשות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הלוואות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שחרגו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ממסגרת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האשראי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>הצהיר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הצהרות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שקריות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השימוש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המיועד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בהלוואות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המשיב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הוסיף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ודחה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במסגרת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חלק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</w:t>
      </w:r>
      <w:r>
        <w:rPr>
          <w:rFonts w:ascii="Century" w:hAnsi="Century" w:cs="Century"/>
          <w:rtl w:val="true"/>
        </w:rPr>
        <w:t>סעיפים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בכתב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האישום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המתוקן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הובהר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המסמכים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לבנקים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שטען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חלקו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במרמה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מפורט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היטב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בתצהירים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השונים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מקומה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להתברר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בהליך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העיקרי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FrankRuehl" w:hAnsi="FrankRuehl" w:cs="FrankRuehl"/>
          <w:b/>
          <w:spacing w:val="0"/>
          <w:sz w:val="28"/>
        </w:rPr>
      </w:pPr>
      <w:r>
        <w:rPr>
          <w:rFonts w:cs="FrankRuehl" w:ascii="FrankRuehl" w:hAnsi="FrankRuehl"/>
          <w:b/>
          <w:spacing w:val="0"/>
          <w:sz w:val="28"/>
          <w:rtl w:val="true"/>
        </w:rPr>
      </w:r>
    </w:p>
    <w:p>
      <w:pPr>
        <w:pStyle w:val="Ruller4"/>
        <w:ind w:end="0"/>
        <w:jc w:val="both"/>
        <w:rPr/>
      </w:pPr>
      <w:r>
        <w:rPr>
          <w:rFonts w:cs="FrankRuehl" w:ascii="FrankRuehl" w:hAnsi="FrankRuehl"/>
          <w:b/>
          <w:spacing w:val="0"/>
          <w:sz w:val="28"/>
          <w:rtl w:val="true"/>
        </w:rPr>
        <w:tab/>
      </w:r>
      <w:r>
        <w:rPr>
          <w:rFonts w:ascii="Century" w:hAnsi="Century" w:cs="Century"/>
          <w:rtl w:val="true"/>
        </w:rPr>
        <w:t>אשר 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סוגיית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ההתיישנות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יש לדחות את 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שכן </w:t>
      </w:r>
      <w:r>
        <w:rPr>
          <w:rFonts w:ascii="Century" w:hAnsi="Century" w:cs="Century"/>
          <w:rtl w:val="true"/>
        </w:rPr>
        <w:t>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בהיקף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המרמה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תחכומה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והעובדה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שבוצעה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בנקים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נפרדים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להוות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מחמירות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צורתן המחמירה של </w:t>
      </w:r>
      <w:r>
        <w:rPr>
          <w:rFonts w:ascii="Century" w:hAnsi="Century" w:cs="Century"/>
          <w:rtl w:val="true"/>
        </w:rPr>
        <w:t>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המרמה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והזיוף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באשר 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המעצר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טען המשיב כי צדק בית המשפט המחוזי בקביעתו לפיה צו המעצר עונה על דרישות סעיף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לפרוטוקול המתקן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מקומן של טענות המערער בקשר לתוקפו של הצו לפי הדין האמריקני להתברר בהליך הפלילי גופו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FrankRuehl" w:hAnsi="FrankRuehl" w:cs="FrankRuehl"/>
          <w:b/>
          <w:spacing w:val="0"/>
          <w:sz w:val="28"/>
        </w:rPr>
      </w:pPr>
      <w:r>
        <w:rPr>
          <w:rFonts w:cs="FrankRuehl" w:ascii="FrankRuehl" w:hAnsi="FrankRuehl"/>
          <w:b/>
          <w:spacing w:val="0"/>
          <w:sz w:val="28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לשלמות התמונה יצוין כי מזרחי הגיש אף הוא ערעור על החלטת ההסגרה בעניינו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משיקוליו שלו ביקש מזרחי לחזור בו מערעורו במעמד הדיון שהתקיים בעניינו ביום </w:t>
      </w:r>
      <w:r>
        <w:rPr/>
        <w:t>25.6.2020</w:t>
      </w:r>
      <w:r>
        <w:rPr>
          <w:rtl w:val="true"/>
        </w:rPr>
        <w:t xml:space="preserve">, </w:t>
      </w:r>
      <w:r>
        <w:rPr>
          <w:rtl w:val="true"/>
        </w:rPr>
        <w:t>ולפיכך הוא נדחה ומזרחי הוכרז כבר</w:t>
      </w:r>
      <w:r>
        <w:rPr>
          <w:rtl w:val="true"/>
        </w:rPr>
        <w:t>-</w:t>
      </w:r>
      <w:r>
        <w:rPr>
          <w:rtl w:val="true"/>
        </w:rPr>
        <w:t xml:space="preserve">הסגרה </w:t>
      </w:r>
      <w:r>
        <w:rPr>
          <w:rtl w:val="true"/>
        </w:rPr>
        <w:t>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5998/19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מזרחי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שוורץ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30.6.2020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FrankRuehl" w:hAnsi="FrankRuehl" w:cs="FrankRuehl"/>
          <w:b/>
          <w:spacing w:val="0"/>
          <w:sz w:val="28"/>
          <w:szCs w:val="24"/>
        </w:rPr>
      </w:pPr>
      <w:r>
        <w:rPr>
          <w:rFonts w:cs="FrankRuehl" w:ascii="FrankRuehl" w:hAnsi="FrankRuehl"/>
          <w:b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שעיינתי בערעור ובנספחיו ושמעתי את באי</w:t>
      </w:r>
      <w:r>
        <w:rPr>
          <w:rtl w:val="true"/>
        </w:rPr>
        <w:t>-</w:t>
      </w:r>
      <w:r>
        <w:rPr>
          <w:rtl w:val="true"/>
        </w:rPr>
        <w:t>כוח הצדדים בדיון שנערך לפנינו</w:t>
      </w:r>
      <w:r>
        <w:rPr>
          <w:rtl w:val="true"/>
        </w:rPr>
        <w:t xml:space="preserve">, </w:t>
      </w:r>
      <w:r>
        <w:rPr>
          <w:rtl w:val="true"/>
        </w:rPr>
        <w:t>באתי לכלל מסקנה כי דין הערעור 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המסגרת הנורמטיבית לענייננו מצויה בהוראות 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. </w:t>
      </w:r>
      <w:r>
        <w:rPr>
          <w:rtl w:val="true"/>
        </w:rPr>
        <w:t xml:space="preserve">תכלית 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 היא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מניעת הפיכתה של מדינת ישראל למקום מקלט לעבריינים</w:t>
      </w:r>
      <w:r>
        <w:rPr>
          <w:rtl w:val="true"/>
        </w:rPr>
        <w:t xml:space="preserve">, </w:t>
      </w:r>
      <w:r>
        <w:rPr>
          <w:rtl w:val="true"/>
        </w:rPr>
        <w:t>באופן שיסכן את ביטחונם של אזרחי המדינה ויפגע בתדמיתה הבינלאומי</w:t>
      </w:r>
      <w:r>
        <w:rPr>
          <w:rtl w:val="true"/>
        </w:rPr>
        <w:t xml:space="preserve">; </w:t>
      </w:r>
      <w:r>
        <w:rPr>
          <w:rtl w:val="true"/>
        </w:rPr>
        <w:t>השתתפות במאבק הבינלאומי למיגור הפשיעה וסיכול הימלטות פושעים מנתינת הדין על מעשיהם</w:t>
      </w:r>
      <w:r>
        <w:rPr>
          <w:rtl w:val="true"/>
        </w:rPr>
        <w:t xml:space="preserve">; </w:t>
      </w:r>
      <w:r>
        <w:rPr>
          <w:rtl w:val="true"/>
        </w:rPr>
        <w:t>ותיחום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בזכותו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המבוקש</w:t>
      </w:r>
      <w:r>
        <w:rPr>
          <w:rtl w:val="true"/>
        </w:rPr>
        <w:t xml:space="preserve"> </w:t>
      </w:r>
      <w:r>
        <w:rPr>
          <w:rtl w:val="true"/>
        </w:rPr>
        <w:t>לחירות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tl w:val="true"/>
        </w:rPr>
        <w:t xml:space="preserve"> </w:t>
      </w:r>
      <w:r>
        <w:rPr>
          <w:rtl w:val="true"/>
        </w:rPr>
        <w:t>שאינה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tl w:val="true"/>
        </w:rPr>
        <w:t xml:space="preserve"> להוראות 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יסוד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כבוד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האדם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וחירותו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גרוזדוב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אוסטורובסקי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המשנה לנשיאה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מלצר</w:t>
      </w:r>
      <w:r>
        <w:rPr>
          <w:rtl w:val="true"/>
        </w:rPr>
        <w:t xml:space="preserve">, </w:t>
      </w:r>
      <w:r>
        <w:rPr>
          <w:rtl w:val="true"/>
        </w:rPr>
        <w:t xml:space="preserve">ופסקה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לפסק דיני </w:t>
      </w:r>
      <w:r>
        <w:rPr>
          <w:rtl w:val="true"/>
        </w:rPr>
        <w:t>(</w:t>
      </w:r>
      <w:r>
        <w:rPr/>
        <w:t>27.1.2020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 קובע</w:t>
      </w:r>
      <w:r>
        <w:rPr>
          <w:rtl w:val="true"/>
        </w:rPr>
        <w:t xml:space="preserve">, </w:t>
      </w:r>
      <w:r>
        <w:rPr>
          <w:rtl w:val="true"/>
        </w:rPr>
        <w:t>כי בית המשפט יכריז על מבוקש כבר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tl w:val="true"/>
        </w:rPr>
        <w:t xml:space="preserve">, </w:t>
      </w:r>
      <w:r>
        <w:rPr>
          <w:rtl w:val="true"/>
        </w:rPr>
        <w:t xml:space="preserve">אם הוכח </w:t>
      </w:r>
      <w:r>
        <w:rPr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>כי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יש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ראיות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שהיו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מספיקות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כדי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להעמידו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לדין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על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עבירה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כזאת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בישראל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וכי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נתמלאו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שאר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התנאים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הקבועים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בחוק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להסגרתו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tl w:val="true"/>
        </w:rPr>
        <w:t xml:space="preserve">",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8304/17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למפל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8.5.2018</w:t>
      </w:r>
      <w:r>
        <w:rPr>
          <w:rtl w:val="true"/>
        </w:rPr>
        <w:t xml:space="preserve">);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למפל</w:t>
      </w:r>
      <w:r>
        <w:rPr>
          <w:rtl w:val="true"/>
        </w:rPr>
        <w:t xml:space="preserve">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4576/18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25.2.2019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קבילותן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8010/07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חזיזה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(</w:t>
      </w:r>
      <w:r>
        <w:rPr/>
        <w:t>13.5.2009</w:t>
      </w:r>
      <w:r>
        <w:rPr>
          <w:rtl w:val="true"/>
        </w:rPr>
        <w:t xml:space="preserve">)). </w:t>
      </w:r>
      <w:r>
        <w:rPr>
          <w:rtl w:val="true"/>
        </w:rPr>
        <w:t>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הנחת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, </w:t>
      </w:r>
      <w:r>
        <w:rPr>
          <w:rtl w:val="true"/>
        </w:rPr>
        <w:t>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המבקשת</w:t>
      </w:r>
      <w:r>
        <w:rPr>
          <w:rtl w:val="true"/>
        </w:rPr>
        <w:t xml:space="preserve">, </w:t>
      </w:r>
      <w:r>
        <w:rPr>
          <w:rtl w:val="true"/>
        </w:rPr>
        <w:t>לחקור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המצהירים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ולקבוע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tl w:val="true"/>
        </w:rPr>
        <w:t xml:space="preserve">.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יהפוך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במהותו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ייתכנו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כוזבים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בחינת התשתית הראייתית כפי שפורט לעיל</w:t>
      </w:r>
      <w:r>
        <w:rPr>
          <w:rtl w:val="true"/>
        </w:rPr>
        <w:t xml:space="preserve">, </w:t>
      </w:r>
      <w:r>
        <w:rPr>
          <w:rtl w:val="true"/>
        </w:rPr>
        <w:t>על בית המשפט ליתן את דעתו ליתר הסייגים הקבועים ב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, </w:t>
      </w:r>
      <w:r>
        <w:rPr>
          <w:rtl w:val="true"/>
        </w:rPr>
        <w:t>ולבחון האם התקיימו כלל התנאים להסגרת המבוקש</w:t>
      </w:r>
      <w:r>
        <w:rPr>
          <w:rtl w:val="true"/>
        </w:rPr>
        <w:t xml:space="preserve">. </w:t>
      </w:r>
      <w:r>
        <w:rPr>
          <w:rtl w:val="true"/>
        </w:rPr>
        <w:t>כפי שהודגש בפסיקת בית משפט זה</w:t>
      </w:r>
      <w:r>
        <w:rPr>
          <w:rtl w:val="true"/>
        </w:rPr>
        <w:t xml:space="preserve">, </w:t>
      </w:r>
      <w:r>
        <w:rPr>
          <w:rtl w:val="true"/>
        </w:rPr>
        <w:t>יש לפרש את התקיימות הסייגים להסגרה באופן מצומצם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על מנת שלא לעודד עבריינים להימלט ארצה ולהשתמש במדינת ישראל כמקום מפלט מפני אימת 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כך לדוגמה</w:t>
      </w:r>
      <w:r>
        <w:rPr>
          <w:rtl w:val="true"/>
        </w:rPr>
        <w:t xml:space="preserve">, 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8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 קובע כי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לא יוסגר מבוקש למדינה המבקשת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אם</w:t>
      </w:r>
      <w:r>
        <w:rPr>
          <w:rStyle w:val="default"/>
          <w:rFonts w:ascii="Century" w:hAnsi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Century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היענות לבקשת ההסגרה עלולה לפגוע בתקנת הציבור או באינטרס חיוני של מדינת ישראל</w:t>
      </w:r>
      <w:r>
        <w:rPr>
          <w:rFonts w:cs="Century" w:ascii="Century" w:hAnsi="Century"/>
          <w:sz w:val="22"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בפסיקה נקבע</w:t>
      </w:r>
      <w:r>
        <w:rPr>
          <w:rtl w:val="true"/>
        </w:rPr>
        <w:t xml:space="preserve">, </w:t>
      </w:r>
      <w:r>
        <w:rPr>
          <w:rtl w:val="true"/>
        </w:rPr>
        <w:t xml:space="preserve">כי סייג זה שמור עבור מקרים חריגים ביותר שבהם </w:t>
      </w:r>
      <w:r>
        <w:rPr>
          <w:rtl w:val="true"/>
        </w:rPr>
        <w:t>"</w:t>
      </w:r>
      <w:r>
        <w:rPr>
          <w:rtl w:val="true"/>
        </w:rPr>
        <w:t>הפגיעה בזכויותיו של המבוקש כתוצאה מהסגרתו הינה בעלת עוצמה מיוחדת</w:t>
      </w:r>
      <w:r>
        <w:rPr>
          <w:rtl w:val="true"/>
        </w:rPr>
        <w:t xml:space="preserve">, </w:t>
      </w:r>
      <w:r>
        <w:rPr>
          <w:rtl w:val="true"/>
        </w:rPr>
        <w:t>אשר יש בה בכדי להכריע את האינטרס הציבורי הגלום בהסגרתו</w:t>
      </w:r>
      <w:r>
        <w:rPr>
          <w:rtl w:val="true"/>
        </w:rPr>
        <w:t>" (</w:t>
      </w:r>
      <w:hyperlink r:id="rId50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7835/17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בלומברג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אלזרה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בפסקה </w:t>
      </w:r>
      <w:r>
        <w:rPr>
          <w:rFonts w:cs="FrankRuehl" w:ascii="FrankRuehl" w:hAnsi="FrankRuehl"/>
          <w:color w:val="000000"/>
          <w:sz w:val="28"/>
        </w:rPr>
        <w:t>14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לפסק דיני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7.11.2018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ענין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למפל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35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אף ביחס לטענות שעניינן בשיהוי בו נקטה המדינה המבקשת בהגשת בקשת ההסגרה</w:t>
      </w:r>
      <w:r>
        <w:rPr>
          <w:rtl w:val="true"/>
        </w:rPr>
        <w:t xml:space="preserve">, </w:t>
      </w:r>
      <w:r>
        <w:rPr>
          <w:rtl w:val="true"/>
        </w:rPr>
        <w:t xml:space="preserve">נקבע כי רק נסיבות חריגות של שיהוי עשויות לסכל את הסגרת המבוקש למדינה המבקשת </w:t>
      </w:r>
      <w:r>
        <w:rPr>
          <w:rtl w:val="true"/>
        </w:rPr>
        <w:t>(</w:t>
      </w:r>
      <w:hyperlink r:id="rId51"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ע</w:t>
        </w:r>
        <w:r>
          <w:rPr>
            <w:rStyle w:val="Hyperlink"/>
            <w:rFonts w:cs="FrankRuehl" w:ascii="FrankRuehl" w:hAnsi="FrankRuehl"/>
            <w:sz w:val="28"/>
            <w:rtl w:val="true"/>
          </w:rPr>
          <w:t>"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sz w:val="28"/>
          </w:rPr>
          <w:t>3439/04</w:t>
        </w:r>
        <w:r>
          <w:rPr>
            <w:rStyle w:val="Hyperlink"/>
            <w:rFonts w:cs="FrankRuehl" w:ascii="FrankRuehl" w:hAnsi="FrankRuehl"/>
            <w:sz w:val="28"/>
            <w:rtl w:val="true"/>
          </w:rPr>
          <w:t xml:space="preserve">‏ 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 xml:space="preserve">בזק </w:t>
        </w:r>
        <w:r>
          <w:rPr>
            <w:rStyle w:val="Hyperlink"/>
            <w:rFonts w:cs="FrankRuehl" w:ascii="FrankRuehl" w:hAnsi="FrankRuehl"/>
            <w:sz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בוזגלו</w:t>
        </w:r>
        <w:r>
          <w:rPr>
            <w:rStyle w:val="Hyperlink"/>
            <w:rFonts w:cs="FrankRuehl" w:ascii="FrankRuehl" w:hAnsi="FrankRuehl"/>
            <w:sz w:val="28"/>
            <w:rtl w:val="true"/>
          </w:rPr>
          <w:t xml:space="preserve">) 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נ</w:t>
        </w:r>
        <w:r>
          <w:rPr>
            <w:rStyle w:val="Hyperlink"/>
            <w:rFonts w:cs="FrankRuehl" w:ascii="FrankRuehl" w:hAnsi="FrankRuehl"/>
            <w:sz w:val="28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היועץ המשפטי לממשלה</w:t>
        </w:r>
        <w:r>
          <w:rPr>
            <w:rStyle w:val="Hyperlink"/>
            <w:rFonts w:cs="FrankRuehl" w:ascii="FrankRuehl" w:hAnsi="FrankRuehl"/>
            <w:sz w:val="28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פ</w:t>
        </w:r>
        <w:r>
          <w:rPr>
            <w:rStyle w:val="Hyperlink"/>
            <w:rFonts w:cs="FrankRuehl" w:ascii="FrankRuehl" w:hAnsi="FrankRuehl"/>
            <w:sz w:val="28"/>
            <w:rtl w:val="true"/>
          </w:rPr>
          <w:t>''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ד נט</w:t>
        </w:r>
      </w:hyperlink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4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cs="FrankRuehl" w:ascii="FrankRuehl" w:hAnsi="FrankRuehl"/>
          <w:color w:val="000000"/>
          <w:sz w:val="28"/>
        </w:rPr>
        <w:t>294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</w:rPr>
        <w:t>302</w:t>
      </w:r>
      <w:r>
        <w:rPr>
          <w:rFonts w:cs="FrankRuehl" w:ascii="FrankRuehl" w:hAnsi="FrankRuehl"/>
          <w:color w:val="000000"/>
          <w:sz w:val="28"/>
          <w:rtl w:val="true"/>
        </w:rPr>
        <w:t>–</w:t>
      </w:r>
      <w:r>
        <w:rPr>
          <w:rFonts w:cs="FrankRuehl" w:ascii="FrankRuehl" w:hAnsi="FrankRuehl"/>
          <w:color w:val="000000"/>
          <w:sz w:val="28"/>
        </w:rPr>
        <w:t>303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במלואן</w:t>
      </w:r>
      <w:r>
        <w:rPr>
          <w:rtl w:val="true"/>
        </w:rPr>
        <w:t xml:space="preserve">, </w:t>
      </w:r>
      <w:r>
        <w:rPr>
          <w:rtl w:val="true"/>
        </w:rPr>
        <w:t>ומהו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9026/11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שוחט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(</w:t>
      </w:r>
      <w:r>
        <w:rPr/>
        <w:t>6.12.2012</w:t>
      </w:r>
      <w:r>
        <w:rPr>
          <w:rtl w:val="true"/>
        </w:rPr>
        <w:t xml:space="preserve">);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3234/10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Fonts w:cs="FrankRuehl" w:ascii="FrankRuehl" w:hAnsi="FrankRuehl"/>
          <w:rtl w:val="true"/>
        </w:rPr>
        <w:t>–</w:t>
      </w:r>
      <w:r>
        <w:rPr/>
        <w:t>15</w:t>
      </w:r>
      <w:r>
        <w:rPr>
          <w:rtl w:val="true"/>
        </w:rPr>
        <w:t xml:space="preserve"> (</w:t>
      </w:r>
      <w:r>
        <w:rPr/>
        <w:t>16.1.2011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אין מחלוקת שהמערער נחשב למבוקש כהגדרתו </w:t>
      </w:r>
      <w:hyperlink r:id="rId5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דהיינו </w:t>
      </w:r>
      <w:r>
        <w:rPr>
          <w:shd w:fill="FFFFFF" w:val="clear"/>
          <w:rtl w:val="true"/>
        </w:rPr>
        <w:t xml:space="preserve">אדם </w:t>
      </w:r>
      <w:r>
        <w:rPr>
          <w:shd w:fill="FFFFFF" w:val="clear"/>
          <w:rtl w:val="true"/>
        </w:rPr>
        <w:t>ש</w:t>
      </w:r>
      <w:r>
        <w:rPr>
          <w:shd w:fill="FFFFFF" w:val="clear"/>
          <w:rtl w:val="true"/>
        </w:rPr>
        <w:t xml:space="preserve">נאשם במדינה המבקשת בשל </w:t>
      </w:r>
      <w:r>
        <w:rPr>
          <w:shd w:fill="FFFFFF" w:val="clear"/>
          <w:rtl w:val="true"/>
        </w:rPr>
        <w:t>"</w:t>
      </w:r>
      <w:r>
        <w:rPr>
          <w:shd w:fill="FFFFFF" w:val="clear"/>
          <w:rtl w:val="true"/>
        </w:rPr>
        <w:t>עבירת הסגרה</w:t>
      </w:r>
      <w:r>
        <w:rPr>
          <w:shd w:fill="FFFFFF" w:val="clear"/>
          <w:rtl w:val="true"/>
        </w:rPr>
        <w:t xml:space="preserve">", </w:t>
      </w:r>
      <w:r>
        <w:rPr>
          <w:shd w:fill="FFFFFF" w:val="clear"/>
          <w:rtl w:val="true"/>
        </w:rPr>
        <w:t xml:space="preserve">המוגדרת </w:t>
      </w:r>
      <w:hyperlink r:id="rId56">
        <w:r>
          <w:rPr>
            <w:rStyle w:val="Hyperlink"/>
            <w:shd w:fill="FFFFFF" w:val="clear"/>
            <w:rtl w:val="true"/>
          </w:rPr>
          <w:t>בסעיף</w:t>
        </w:r>
        <w:r>
          <w:rPr>
            <w:rStyle w:val="Hyperlink"/>
            <w:shd w:fill="FFFFFF" w:val="clear"/>
            <w:rtl w:val="true"/>
          </w:rPr>
          <w:t xml:space="preserve"> </w:t>
        </w:r>
        <w:r>
          <w:rPr>
            <w:rStyle w:val="Hyperlink"/>
            <w:shd w:fill="FFFFFF" w:val="clear"/>
          </w:rPr>
          <w:t>2</w:t>
        </w:r>
        <w:r>
          <w:rPr>
            <w:rStyle w:val="Hyperlink"/>
            <w:shd w:fill="FFFFFF" w:val="clear"/>
            <w:rtl w:val="true"/>
          </w:rPr>
          <w:t>(</w:t>
        </w:r>
        <w:r>
          <w:rPr>
            <w:rStyle w:val="Hyperlink"/>
            <w:shd w:fill="FFFFFF" w:val="clear"/>
            <w:rtl w:val="true"/>
          </w:rPr>
          <w:t>א</w:t>
        </w:r>
        <w:r>
          <w:rPr>
            <w:rStyle w:val="Hyperlink"/>
            <w:shd w:fill="FFFFFF" w:val="clear"/>
            <w:rtl w:val="true"/>
          </w:rPr>
          <w:t>)</w:t>
        </w:r>
      </w:hyperlink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לחוק ההסגרה כ</w:t>
      </w:r>
      <w:r>
        <w:rPr>
          <w:shd w:fill="FFFFFF" w:val="clear"/>
          <w:rtl w:val="true"/>
        </w:rPr>
        <w:t xml:space="preserve">עבירה שאילו נעברה בישראל דינה </w:t>
      </w:r>
      <w:r>
        <w:rPr>
          <w:shd w:fill="FFFFFF" w:val="clear"/>
          <w:rtl w:val="true"/>
        </w:rPr>
        <w:t xml:space="preserve">היה </w:t>
      </w:r>
      <w:r>
        <w:rPr>
          <w:shd w:fill="FFFFFF" w:val="clear"/>
          <w:rtl w:val="true"/>
        </w:rPr>
        <w:t xml:space="preserve">מאסר שנה </w:t>
      </w:r>
      <w:r>
        <w:rPr>
          <w:shd w:fill="FFFFFF" w:val="clear"/>
          <w:rtl w:val="true"/>
        </w:rPr>
        <w:t>לפחות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התשתית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הראייתית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משפט המחוזי קבע כאמור</w:t>
      </w:r>
      <w:r>
        <w:rPr>
          <w:rtl w:val="true"/>
        </w:rPr>
        <w:t xml:space="preserve">, </w:t>
      </w:r>
      <w:r>
        <w:rPr>
          <w:rtl w:val="true"/>
        </w:rPr>
        <w:t>כי קיימת תשתית ראייתית במידה הנדרשת להסגרת המערער לארצות הברית לשם בירור אשמתו בדין פלילי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לא קיימת בחומר הראיות תשתית מספקת לביסוס מעורבותו בעבירות המרמה שתוכננו ובוצעו על ידי מזרחי</w:t>
      </w:r>
      <w:r>
        <w:rPr>
          <w:rtl w:val="true"/>
        </w:rPr>
        <w:t xml:space="preserve">, </w:t>
      </w:r>
      <w:r>
        <w:rPr>
          <w:rtl w:val="true"/>
        </w:rPr>
        <w:t>והסגרתו לארצות הברית התבקשה על יסוד שיקולים זרים</w:t>
      </w:r>
      <w:r>
        <w:rPr>
          <w:rtl w:val="true"/>
        </w:rPr>
        <w:t xml:space="preserve">: </w:t>
      </w:r>
      <w:r>
        <w:rPr>
          <w:rtl w:val="true"/>
        </w:rPr>
        <w:t>הבאתו למתן עדות במשפטו של מזרחי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מזרחי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מזרחי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מהבנקים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בתצהירה השלישי של </w:t>
      </w:r>
      <w:r>
        <w:rPr>
          <w:rFonts w:ascii="FrankRuehl" w:hAnsi="FrankRuehl" w:cs="FrankRuehl"/>
          <w:b/>
          <w:b/>
          <w:spacing w:val="0"/>
          <w:sz w:val="28"/>
          <w:sz w:val="28"/>
          <w:rtl w:val="true"/>
        </w:rPr>
        <w:t>ויליאמס</w:t>
      </w:r>
      <w:r>
        <w:rPr>
          <w:rtl w:val="true"/>
        </w:rPr>
        <w:t xml:space="preserve"> מפורטים חלק מהמעשים המיוחסים למערער בסעיפי האישום נגדו</w:t>
      </w:r>
      <w:r>
        <w:rPr>
          <w:rtl w:val="true"/>
        </w:rPr>
        <w:t xml:space="preserve">, </w:t>
      </w:r>
      <w:r>
        <w:rPr>
          <w:rtl w:val="true"/>
        </w:rPr>
        <w:t>והאינדיקציות המצביעות על מעורבותו בהם</w:t>
      </w:r>
      <w:r>
        <w:rPr>
          <w:rtl w:val="true"/>
        </w:rPr>
        <w:t xml:space="preserve">. </w:t>
      </w:r>
      <w:r>
        <w:rPr>
          <w:rtl w:val="true"/>
        </w:rPr>
        <w:t xml:space="preserve">בסעיף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לתצהיר זה</w:t>
      </w:r>
      <w:r>
        <w:rPr>
          <w:rtl w:val="true"/>
        </w:rPr>
        <w:t xml:space="preserve">, </w:t>
      </w:r>
      <w:r>
        <w:rPr>
          <w:rtl w:val="true"/>
        </w:rPr>
        <w:t xml:space="preserve">נכתב כי המערער אישר בהודעתו מיום </w:t>
      </w:r>
      <w:r>
        <w:rPr/>
        <w:t>6.3.2012</w:t>
      </w:r>
      <w:r>
        <w:rPr>
          <w:rtl w:val="true"/>
        </w:rPr>
        <w:t xml:space="preserve"> </w:t>
      </w:r>
      <w:r>
        <w:rPr>
          <w:rtl w:val="true"/>
        </w:rPr>
        <w:t>כי חתימתו מתנוססת על טופס בקשת הלוואה מ</w:t>
      </w:r>
      <w:r>
        <w:rPr>
          <w:rtl w:val="true"/>
        </w:rPr>
        <w:t>-</w:t>
      </w:r>
      <w:r>
        <w:rPr/>
        <w:t>UCB</w:t>
      </w:r>
      <w:r>
        <w:rPr>
          <w:rtl w:val="true"/>
        </w:rPr>
        <w:t xml:space="preserve"> </w:t>
      </w:r>
      <w:r>
        <w:rPr>
          <w:rtl w:val="true"/>
        </w:rPr>
        <w:t>למטרת רכישת מוצרים שונים</w:t>
      </w:r>
      <w:r>
        <w:rPr>
          <w:rtl w:val="true"/>
        </w:rPr>
        <w:t xml:space="preserve">, </w:t>
      </w:r>
      <w:r>
        <w:rPr>
          <w:rtl w:val="true"/>
        </w:rPr>
        <w:t xml:space="preserve">כחלק מפעילותה של </w:t>
      </w:r>
      <w:r>
        <w:rPr/>
        <w:t>NEI</w:t>
      </w:r>
      <w:r>
        <w:rPr>
          <w:rtl w:val="true"/>
        </w:rPr>
        <w:t xml:space="preserve">; </w:t>
      </w:r>
      <w:r>
        <w:rPr>
          <w:rtl w:val="true"/>
        </w:rPr>
        <w:t xml:space="preserve">כי וולמן מסר בהודעתו מיום </w:t>
      </w:r>
      <w:r>
        <w:rPr/>
        <w:t>21.6.2011</w:t>
      </w:r>
      <w:r>
        <w:rPr>
          <w:rtl w:val="true"/>
        </w:rPr>
        <w:t xml:space="preserve"> </w:t>
      </w:r>
      <w:r>
        <w:rPr>
          <w:rtl w:val="true"/>
        </w:rPr>
        <w:t xml:space="preserve">כי לא היה מאשר את ההלוואה אם היה יודע שהנתונים שהוגשו לו כוזבים </w:t>
      </w:r>
      <w:r>
        <w:rPr>
          <w:rtl w:val="true"/>
        </w:rPr>
        <w:t>(</w:t>
      </w:r>
      <w:r>
        <w:rPr>
          <w:rtl w:val="true"/>
        </w:rPr>
        <w:t>והדבר עולה אף מתצהירו שצורף להליך</w:t>
      </w:r>
      <w:r>
        <w:rPr>
          <w:rtl w:val="true"/>
        </w:rPr>
        <w:t xml:space="preserve">); </w:t>
      </w:r>
      <w:r>
        <w:rPr>
          <w:rtl w:val="true"/>
        </w:rPr>
        <w:t>וכי חקירה פורנזית שערכה רואת</w:t>
      </w:r>
      <w:r>
        <w:rPr>
          <w:rtl w:val="true"/>
        </w:rPr>
        <w:t>-</w:t>
      </w:r>
      <w:r>
        <w:rPr>
          <w:rtl w:val="true"/>
        </w:rPr>
        <w:t>חשבון מטעם ה</w:t>
      </w:r>
      <w:r>
        <w:rPr>
          <w:rtl w:val="true"/>
        </w:rPr>
        <w:t>-</w:t>
      </w:r>
      <w:r>
        <w:rPr/>
        <w:t>FBI</w:t>
      </w:r>
      <w:r>
        <w:rPr>
          <w:rtl w:val="true"/>
        </w:rPr>
        <w:t xml:space="preserve">, </w:t>
      </w:r>
      <w:r>
        <w:rPr>
          <w:rtl w:val="true"/>
        </w:rPr>
        <w:t xml:space="preserve">ניקול ברלוביץ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ברלוביץ</w:t>
      </w:r>
      <w:r>
        <w:rPr>
          <w:rtl w:val="true"/>
        </w:rPr>
        <w:t xml:space="preserve">), </w:t>
      </w:r>
      <w:r>
        <w:rPr>
          <w:rtl w:val="true"/>
        </w:rPr>
        <w:t>העלתה כי בכספים אלו נעשה שימוש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לקניית המחאות בנקאיות שהועברו לחשבונות בנק של </w:t>
      </w:r>
      <w:r>
        <w:rPr/>
        <w:t>TCI</w:t>
      </w:r>
      <w:r>
        <w:rPr>
          <w:rtl w:val="true"/>
        </w:rPr>
        <w:t xml:space="preserve"> </w:t>
      </w:r>
      <w:r>
        <w:rPr>
          <w:rtl w:val="true"/>
        </w:rPr>
        <w:t>שבהם היתה למערער ולמזרחי שליטה משותפת</w:t>
      </w:r>
      <w:r>
        <w:rPr>
          <w:rtl w:val="true"/>
        </w:rPr>
        <w:t xml:space="preserve">, </w:t>
      </w:r>
      <w:r>
        <w:rPr>
          <w:rtl w:val="true"/>
        </w:rPr>
        <w:t>וכי המערער היה מעורב ברכישת המחאות אלו</w:t>
      </w:r>
      <w:r>
        <w:rPr>
          <w:rtl w:val="true"/>
        </w:rPr>
        <w:t xml:space="preserve">, </w:t>
      </w:r>
      <w:r>
        <w:rPr>
          <w:rtl w:val="true"/>
        </w:rPr>
        <w:t>אף ששמו לא הופיע באופן גלוי בהקשר לרכישה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מפורטות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למזרחי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1.12.2010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מזרחי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Fonts w:cs="Garamond" w:ascii="Garamond" w:hAnsi="Garamond"/>
          <w:sz w:val="26"/>
          <w:szCs w:val="26"/>
          <w:rtl w:val="true"/>
        </w:rPr>
        <w:t>"</w:t>
      </w:r>
      <w:r>
        <w:rPr>
          <w:rFonts w:cs="Garamond" w:ascii="Garamond" w:hAnsi="Garamond"/>
          <w:sz w:val="26"/>
          <w:szCs w:val="26"/>
        </w:rPr>
        <w:t>monkey business</w:t>
      </w:r>
      <w:r>
        <w:rPr>
          <w:rFonts w:cs="Garamond" w:ascii="Garamond" w:hAnsi="Garamond"/>
          <w:sz w:val="26"/>
          <w:szCs w:val="26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מזרחי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Garamond" w:ascii="Garamond" w:hAnsi="Garamond"/>
          <w:sz w:val="26"/>
          <w:szCs w:val="26"/>
          <w:rtl w:val="true"/>
        </w:rPr>
        <w:t>"</w:t>
      </w:r>
      <w:r>
        <w:rPr>
          <w:rFonts w:cs="Garamond" w:ascii="Garamond" w:hAnsi="Garamond"/>
          <w:sz w:val="26"/>
          <w:szCs w:val="26"/>
        </w:rPr>
        <w:t>monkey business</w:t>
      </w:r>
      <w:r>
        <w:rPr>
          <w:rFonts w:cs="Garamond" w:ascii="Garamond" w:hAnsi="Garamond"/>
          <w:sz w:val="26"/>
          <w:szCs w:val="26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כפעילות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הונאה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החברות</w:t>
      </w:r>
      <w:r>
        <w:rPr>
          <w:rtl w:val="true"/>
        </w:rPr>
        <w:t xml:space="preserve">, </w:t>
      </w:r>
      <w:r>
        <w:rPr>
          <w:rtl w:val="true"/>
        </w:rPr>
        <w:t>ששימשה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מזרחי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cs="Garamond" w:ascii="Garamond" w:hAnsi="Garamond"/>
          <w:sz w:val="26"/>
          <w:szCs w:val="26"/>
          <w:rtl w:val="true"/>
        </w:rPr>
        <w:t>"</w:t>
      </w:r>
      <w:r>
        <w:rPr>
          <w:rFonts w:cs="Garamond" w:ascii="Garamond" w:hAnsi="Garamond"/>
          <w:sz w:val="26"/>
          <w:szCs w:val="26"/>
        </w:rPr>
        <w:t>stooge</w:t>
      </w:r>
      <w:r>
        <w:rPr>
          <w:rFonts w:cs="Garamond" w:ascii="Garamond" w:hAnsi="Garamond"/>
          <w:sz w:val="26"/>
          <w:szCs w:val="26"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Garamond" w:ascii="Garamond" w:hAnsi="Garamond"/>
          <w:sz w:val="26"/>
          <w:szCs w:val="26"/>
          <w:rtl w:val="true"/>
        </w:rPr>
        <w:t>"</w:t>
      </w:r>
      <w:r>
        <w:rPr>
          <w:rFonts w:cs="Garamond" w:ascii="Garamond" w:hAnsi="Garamond"/>
          <w:sz w:val="26"/>
          <w:szCs w:val="26"/>
        </w:rPr>
        <w:t>stupid blind bat</w:t>
      </w:r>
      <w:r>
        <w:rPr>
          <w:rFonts w:cs="Garamond" w:ascii="Garamond" w:hAnsi="Garamond"/>
          <w:sz w:val="26"/>
          <w:szCs w:val="26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שמזרחי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החברות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מזרחי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ההונאה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שמזרחי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פעולותיו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להתפטר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ההונאה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בחברות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לתחנוניו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מזרחי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במחסני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מופתע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הסחורה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שהחזיקו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החברות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שתזרים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המזומנים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בתצהיר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6.3.2012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ההונאה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מזרחי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כשהתפטר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מתפקידיו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בחברות</w:t>
      </w:r>
      <w:r>
        <w:rPr>
          <w:rtl w:val="true"/>
        </w:rPr>
        <w:t xml:space="preserve">, </w:t>
      </w:r>
      <w:r>
        <w:rPr>
          <w:rtl w:val="true"/>
        </w:rPr>
        <w:t>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מזרחי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האינדיקציות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ההונאה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למזרחי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ההונאה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החייבים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שההלוואה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>
          <w:rFonts w:cs="Garamond" w:ascii="Garamond" w:hAnsi="Garamond"/>
          <w:sz w:val="26"/>
          <w:szCs w:val="26"/>
        </w:rPr>
        <w:t>UCB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ניטלה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מוסיף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וטוען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לייחס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>לתצהיריה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ויליאמס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שהדברים</w:t>
      </w:r>
      <w:r>
        <w:rPr>
          <w:rtl w:val="true"/>
        </w:rPr>
        <w:t xml:space="preserve"> </w:t>
      </w:r>
      <w:r>
        <w:rPr>
          <w:rtl w:val="true"/>
        </w:rPr>
        <w:t>שהובאו</w:t>
      </w:r>
      <w:r>
        <w:rPr>
          <w:rtl w:val="true"/>
        </w:rPr>
        <w:t xml:space="preserve"> </w:t>
      </w:r>
      <w:r>
        <w:rPr>
          <w:rtl w:val="true"/>
        </w:rPr>
        <w:t>בשמו</w:t>
      </w:r>
      <w:r>
        <w:rPr>
          <w:rtl w:val="true"/>
        </w:rPr>
        <w:t xml:space="preserve"> </w:t>
      </w:r>
      <w:r>
        <w:rPr>
          <w:rtl w:val="true"/>
        </w:rPr>
        <w:t>בתצהירה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ויליאמס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הינם</w:t>
      </w:r>
      <w:r>
        <w:rPr>
          <w:rtl w:val="true"/>
        </w:rPr>
        <w:t xml:space="preserve"> </w:t>
      </w:r>
      <w:r>
        <w:rPr>
          <w:rtl w:val="true"/>
        </w:rPr>
        <w:t>בליל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 </w:t>
      </w:r>
      <w:r>
        <w:rPr>
          <w:rtl w:val="true"/>
        </w:rPr>
        <w:t>המהווים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עיוות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 </w:t>
      </w:r>
      <w:r>
        <w:rPr>
          <w:rtl w:val="true"/>
        </w:rPr>
        <w:t>מהדברים</w:t>
      </w:r>
      <w:r>
        <w:rPr>
          <w:rtl w:val="true"/>
        </w:rPr>
        <w:t xml:space="preserve"> </w:t>
      </w:r>
      <w:r>
        <w:rPr>
          <w:rtl w:val="true"/>
        </w:rPr>
        <w:t>שמסר</w:t>
      </w:r>
      <w:r>
        <w:rPr>
          <w:rtl w:val="true"/>
        </w:rPr>
        <w:t xml:space="preserve"> </w:t>
      </w:r>
      <w:r>
        <w:rPr>
          <w:rtl w:val="true"/>
        </w:rPr>
        <w:t>בהודעותיו</w:t>
      </w:r>
      <w:r>
        <w:rPr>
          <w:rtl w:val="true"/>
        </w:rPr>
        <w:t xml:space="preserve">".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tl w:val="true"/>
        </w:rPr>
        <w:t xml:space="preserve"> </w:t>
      </w:r>
      <w:r>
        <w:rPr>
          <w:rtl w:val="true"/>
        </w:rPr>
        <w:t>שעזב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 </w:t>
      </w:r>
      <w:r>
        <w:rPr>
          <w:rtl w:val="true"/>
        </w:rPr>
        <w:t>עבור</w:t>
      </w:r>
      <w:r>
        <w:rPr>
          <w:rtl w:val="true"/>
        </w:rPr>
        <w:t xml:space="preserve"> </w:t>
      </w:r>
      <w:r>
        <w:rPr>
          <w:rtl w:val="true"/>
        </w:rPr>
        <w:t>מזרחי</w:t>
      </w:r>
      <w:r>
        <w:rPr>
          <w:rtl w:val="true"/>
        </w:rPr>
        <w:t xml:space="preserve"> </w:t>
      </w:r>
      <w:r>
        <w:rPr>
          <w:rtl w:val="true"/>
        </w:rPr>
        <w:t>מלמדת</w:t>
      </w:r>
      <w:r>
        <w:rPr>
          <w:rtl w:val="true"/>
        </w:rPr>
        <w:t xml:space="preserve"> </w:t>
      </w:r>
      <w:r>
        <w:rPr>
          <w:rtl w:val="true"/>
        </w:rPr>
        <w:t>דווקא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שבזמן</w:t>
      </w:r>
      <w:r>
        <w:rPr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 </w:t>
      </w:r>
      <w:r>
        <w:rPr>
          <w:rtl w:val="true"/>
        </w:rPr>
        <w:t>סמך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אמירותיו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מזרחי</w:t>
      </w:r>
      <w:r>
        <w:rPr>
          <w:rtl w:val="true"/>
        </w:rPr>
        <w:t xml:space="preserve"> </w:t>
      </w:r>
      <w:r>
        <w:rPr>
          <w:rtl w:val="true"/>
        </w:rPr>
        <w:t>שלפיהם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בקשיים</w:t>
      </w:r>
      <w:r>
        <w:rPr>
          <w:rtl w:val="true"/>
        </w:rPr>
        <w:t xml:space="preserve"> </w:t>
      </w:r>
      <w:r>
        <w:rPr>
          <w:rtl w:val="true"/>
        </w:rPr>
        <w:t>תזרימיים</w:t>
      </w:r>
      <w:r>
        <w:rPr>
          <w:rtl w:val="true"/>
        </w:rPr>
        <w:t xml:space="preserve"> </w:t>
      </w:r>
      <w:r>
        <w:rPr>
          <w:rtl w:val="true"/>
        </w:rPr>
        <w:t>שעתידים</w:t>
      </w:r>
      <w:r>
        <w:rPr>
          <w:rtl w:val="true"/>
        </w:rPr>
        <w:t xml:space="preserve"> </w:t>
      </w:r>
      <w:r>
        <w:rPr>
          <w:rtl w:val="true"/>
        </w:rPr>
        <w:t>לבוא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פתרונם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ברגע</w:t>
      </w:r>
      <w:r>
        <w:rPr>
          <w:rtl w:val="true"/>
        </w:rPr>
        <w:t xml:space="preserve"> </w:t>
      </w:r>
      <w:r>
        <w:rPr>
          <w:rtl w:val="true"/>
        </w:rPr>
        <w:t>שהבין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 </w:t>
      </w:r>
      <w:r>
        <w:rPr>
          <w:rtl w:val="true"/>
        </w:rPr>
        <w:t>במצב</w:t>
      </w:r>
      <w:r>
        <w:rPr>
          <w:rtl w:val="true"/>
        </w:rPr>
        <w:t xml:space="preserve"> זה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tl w:val="true"/>
        </w:rPr>
        <w:t xml:space="preserve"> </w:t>
      </w:r>
      <w:r>
        <w:rPr>
          <w:rtl w:val="true"/>
        </w:rPr>
        <w:t>להתפטר</w:t>
      </w:r>
      <w:r>
        <w:rPr>
          <w:rtl w:val="true"/>
        </w:rPr>
        <w:t xml:space="preserve"> </w:t>
      </w:r>
      <w:r>
        <w:rPr>
          <w:rtl w:val="true"/>
        </w:rPr>
        <w:t>מאותה</w:t>
      </w:r>
      <w:r>
        <w:rPr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היעדרן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 </w:t>
      </w:r>
      <w:r>
        <w:rPr>
          <w:rtl w:val="true"/>
        </w:rPr>
        <w:t>קונקרטיות</w:t>
      </w:r>
      <w:r>
        <w:rPr>
          <w:rtl w:val="true"/>
        </w:rPr>
        <w:t xml:space="preserve"> </w:t>
      </w:r>
      <w:r>
        <w:rPr>
          <w:rtl w:val="true"/>
        </w:rPr>
        <w:t>מלבד</w:t>
      </w:r>
      <w:r>
        <w:rPr>
          <w:rtl w:val="true"/>
        </w:rPr>
        <w:t xml:space="preserve"> </w:t>
      </w:r>
      <w:r>
        <w:rPr>
          <w:rtl w:val="true"/>
        </w:rPr>
        <w:t>הודעותיו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 </w:t>
      </w:r>
      <w:r>
        <w:rPr>
          <w:rtl w:val="true"/>
        </w:rPr>
        <w:t>שכתב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 </w:t>
      </w:r>
      <w:r>
        <w:rPr>
          <w:rtl w:val="true"/>
        </w:rPr>
        <w:t>מזרחי</w:t>
      </w:r>
      <w:r>
        <w:rPr>
          <w:rtl w:val="true"/>
        </w:rPr>
        <w:t xml:space="preserve"> </w:t>
      </w:r>
      <w:r>
        <w:rPr>
          <w:rtl w:val="true"/>
        </w:rPr>
        <w:t xml:space="preserve">בשנת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והימנעות</w:t>
      </w:r>
      <w:r>
        <w:rPr>
          <w:rtl w:val="true"/>
        </w:rPr>
        <w:t xml:space="preserve"> </w:t>
      </w:r>
      <w:r>
        <w:rPr>
          <w:rtl w:val="true"/>
        </w:rPr>
        <w:t>רשויות</w:t>
      </w:r>
      <w:r>
        <w:rPr>
          <w:rtl w:val="true"/>
        </w:rPr>
        <w:t xml:space="preserve"> החקירה</w:t>
      </w:r>
      <w:r>
        <w:rPr>
          <w:rtl w:val="true"/>
        </w:rPr>
        <w:t xml:space="preserve"> </w:t>
      </w:r>
      <w:r>
        <w:rPr>
          <w:rtl w:val="true"/>
        </w:rPr>
        <w:t>בארצות</w:t>
      </w:r>
      <w:r>
        <w:rPr>
          <w:rtl w:val="true"/>
        </w:rPr>
        <w:t xml:space="preserve"> </w:t>
      </w:r>
      <w:r>
        <w:rPr>
          <w:rtl w:val="true"/>
        </w:rPr>
        <w:t>הברית</w:t>
      </w:r>
      <w:r>
        <w:rPr>
          <w:rtl w:val="true"/>
        </w:rPr>
        <w:t xml:space="preserve"> </w:t>
      </w:r>
      <w:r>
        <w:rPr>
          <w:rtl w:val="true"/>
        </w:rPr>
        <w:t>משליחת</w:t>
      </w:r>
      <w:r>
        <w:rPr>
          <w:rtl w:val="true"/>
        </w:rPr>
        <w:t xml:space="preserve"> </w:t>
      </w:r>
      <w:r>
        <w:rPr>
          <w:rtl w:val="true"/>
        </w:rPr>
        <w:t>העתק</w:t>
      </w:r>
      <w:r>
        <w:rPr>
          <w:rtl w:val="true"/>
        </w:rPr>
        <w:t xml:space="preserve"> </w:t>
      </w:r>
      <w:r>
        <w:rPr>
          <w:rtl w:val="true"/>
        </w:rPr>
        <w:t>מהודעות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לגופן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מלמדים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תצהירה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ויליאמס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מדויק</w:t>
      </w:r>
      <w:r>
        <w:rPr>
          <w:rtl w:val="true"/>
        </w:rPr>
        <w:t xml:space="preserve"> </w:t>
      </w:r>
      <w:r>
        <w:rPr>
          <w:rtl w:val="true"/>
        </w:rPr>
        <w:t>לשון</w:t>
      </w:r>
      <w:r>
        <w:rPr>
          <w:rtl w:val="true"/>
        </w:rPr>
        <w:t xml:space="preserve"> </w:t>
      </w:r>
      <w:r>
        <w:rPr>
          <w:rtl w:val="true"/>
        </w:rPr>
        <w:t>המעטה</w:t>
      </w:r>
      <w:r>
        <w:rPr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כפי שהובא מתצהירה השלישי של ויליאמס</w:t>
      </w:r>
      <w:r>
        <w:rPr>
          <w:rtl w:val="true"/>
        </w:rPr>
        <w:t xml:space="preserve">, </w:t>
      </w:r>
      <w:r>
        <w:rPr>
          <w:rtl w:val="true"/>
        </w:rPr>
        <w:t>קיימות ראיות נוספות מלבד הודעות המערער</w:t>
      </w:r>
      <w:r>
        <w:rPr>
          <w:rtl w:val="true"/>
        </w:rPr>
        <w:t xml:space="preserve">, </w:t>
      </w:r>
      <w:r>
        <w:rPr>
          <w:rtl w:val="true"/>
        </w:rPr>
        <w:t>המצביעות על ידיעתו בזמן אמת אודות מעשי המרמה המיוחסים למזרחי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tl w:val="true"/>
        </w:rPr>
        <w:t xml:space="preserve">, </w:t>
      </w:r>
      <w:r>
        <w:rPr>
          <w:rtl w:val="true"/>
        </w:rPr>
        <w:t>ממצאי חקירתה של ברלוביץ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והיא העיקר</w:t>
      </w:r>
      <w:r>
        <w:rPr>
          <w:rtl w:val="true"/>
        </w:rPr>
        <w:t xml:space="preserve">, </w:t>
      </w:r>
      <w:r>
        <w:rPr>
          <w:rtl w:val="true"/>
        </w:rPr>
        <w:t>מקומן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למשקל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 </w:t>
      </w:r>
      <w:r>
        <w:rPr>
          <w:rtl w:val="true"/>
        </w:rPr>
        <w:t>ליתן</w:t>
      </w:r>
      <w:r>
        <w:rPr>
          <w:rtl w:val="true"/>
        </w:rPr>
        <w:t xml:space="preserve"> </w:t>
      </w:r>
      <w:r>
        <w:rPr>
          <w:rtl w:val="true"/>
        </w:rPr>
        <w:t>להודעותיו</w:t>
      </w:r>
      <w:r>
        <w:rPr>
          <w:rtl w:val="true"/>
        </w:rPr>
        <w:t xml:space="preserve"> </w:t>
      </w:r>
      <w:r>
        <w:rPr>
          <w:rtl w:val="true"/>
        </w:rPr>
        <w:t>שנגבו על ידי</w:t>
      </w:r>
      <w:r>
        <w:rPr>
          <w:rtl w:val="true"/>
        </w:rPr>
        <w:t xml:space="preserve"> </w:t>
      </w:r>
      <w:r>
        <w:rPr>
          <w:rtl w:val="true"/>
        </w:rPr>
        <w:t>ויליאמס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לממצאי</w:t>
      </w:r>
      <w:r>
        <w:rPr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ברלוביץ</w:t>
      </w:r>
      <w:r>
        <w:rPr>
          <w:rtl w:val="true"/>
        </w:rPr>
        <w:t xml:space="preserve">, </w:t>
      </w:r>
      <w:r>
        <w:rPr>
          <w:rtl w:val="true"/>
        </w:rPr>
        <w:t>מקומן</w:t>
      </w:r>
      <w:r>
        <w:rPr>
          <w:rtl w:val="true"/>
        </w:rPr>
        <w:t xml:space="preserve"> </w:t>
      </w:r>
      <w:r>
        <w:rPr>
          <w:rtl w:val="true"/>
        </w:rPr>
        <w:t>להתברר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 </w:t>
      </w:r>
      <w:r>
        <w:rPr>
          <w:rtl w:val="true"/>
        </w:rPr>
        <w:t>שיתנהל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הסגרתו</w:t>
      </w:r>
      <w:r>
        <w:rPr>
          <w:rtl w:val="true"/>
        </w:rPr>
        <w:t xml:space="preserve"> </w:t>
      </w:r>
      <w:r>
        <w:rPr>
          <w:rtl w:val="true"/>
        </w:rPr>
        <w:t>לארצות</w:t>
      </w:r>
      <w:r>
        <w:rPr>
          <w:rtl w:val="true"/>
        </w:rPr>
        <w:t xml:space="preserve"> </w:t>
      </w:r>
      <w:r>
        <w:rPr>
          <w:rtl w:val="true"/>
        </w:rPr>
        <w:t>הברית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בידיו</w:t>
      </w:r>
      <w:r>
        <w:rPr>
          <w:rtl w:val="true"/>
        </w:rPr>
        <w:t xml:space="preserve"> </w:t>
      </w:r>
      <w:r>
        <w:rPr>
          <w:rtl w:val="true"/>
        </w:rPr>
        <w:t xml:space="preserve">של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הדן</w:t>
      </w:r>
      <w:r>
        <w:rPr>
          <w:rtl w:val="true"/>
        </w:rPr>
        <w:t xml:space="preserve"> </w:t>
      </w:r>
      <w:r>
        <w:rPr>
          <w:rtl w:val="true"/>
        </w:rPr>
        <w:t>בעתירה</w:t>
      </w:r>
      <w:r>
        <w:rPr>
          <w:rtl w:val="true"/>
        </w:rPr>
        <w:t xml:space="preserve"> </w:t>
      </w:r>
      <w:r>
        <w:rPr>
          <w:rtl w:val="true"/>
        </w:rPr>
        <w:t>להסגרת מבוקש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את ה</w:t>
      </w:r>
      <w:r>
        <w:rPr>
          <w:rtl w:val="true"/>
        </w:rPr>
        <w:t>כלים</w:t>
      </w:r>
      <w:r>
        <w:rPr>
          <w:rtl w:val="true"/>
        </w:rPr>
        <w:t xml:space="preserve"> המתאימים כדי</w:t>
      </w:r>
      <w:r>
        <w:rPr>
          <w:rtl w:val="true"/>
        </w:rPr>
        <w:t xml:space="preserve"> </w:t>
      </w:r>
      <w:r>
        <w:rPr>
          <w:rtl w:val="true"/>
        </w:rPr>
        <w:t>לבחון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משקלן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מהימנותם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 </w:t>
      </w:r>
      <w:r>
        <w:rPr>
          <w:rtl w:val="true"/>
        </w:rPr>
        <w:t>שתצהיריהם</w:t>
      </w:r>
      <w:r>
        <w:rPr>
          <w:rtl w:val="true"/>
        </w:rPr>
        <w:t xml:space="preserve"> </w:t>
      </w:r>
      <w:r>
        <w:rPr>
          <w:rtl w:val="true"/>
        </w:rPr>
        <w:t>נמסרו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לאור העובדה כי מוסרי התצהיר אינם נמצאים במדינת ישראל ולא ניתן לחוקרם על תצהיריהם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בשלב זה של בקשת ההסגרה</w:t>
      </w:r>
      <w:r>
        <w:rPr>
          <w:rtl w:val="true"/>
        </w:rPr>
        <w:t xml:space="preserve">, </w:t>
      </w:r>
      <w:r>
        <w:rPr>
          <w:rtl w:val="true"/>
        </w:rPr>
        <w:t>הנחת</w:t>
      </w:r>
      <w:r>
        <w:rPr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שנמסרו</w:t>
      </w:r>
      <w:r>
        <w:rPr>
          <w:rtl w:val="true"/>
        </w:rPr>
        <w:t xml:space="preserve"> </w:t>
      </w:r>
      <w:r>
        <w:rPr>
          <w:rtl w:val="true"/>
        </w:rPr>
        <w:t>בידי</w:t>
      </w:r>
      <w:r>
        <w:rPr>
          <w:rtl w:val="true"/>
        </w:rPr>
        <w:t xml:space="preserve"> </w:t>
      </w:r>
      <w:r>
        <w:rPr>
          <w:rtl w:val="true"/>
        </w:rPr>
        <w:t>גופי</w:t>
      </w:r>
      <w:r>
        <w:rPr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 </w:t>
      </w:r>
      <w:r>
        <w:rPr>
          <w:rtl w:val="true"/>
        </w:rPr>
        <w:t>משקפים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הממצאים</w:t>
      </w:r>
      <w:r>
        <w:rPr>
          <w:rtl w:val="true"/>
        </w:rPr>
        <w:t xml:space="preserve"> </w:t>
      </w:r>
      <w:r>
        <w:rPr>
          <w:rtl w:val="true"/>
        </w:rPr>
        <w:t>העולים</w:t>
      </w:r>
      <w:r>
        <w:rPr>
          <w:rtl w:val="true"/>
        </w:rPr>
        <w:t xml:space="preserve"> </w:t>
      </w:r>
      <w:r>
        <w:rPr>
          <w:rtl w:val="true"/>
        </w:rPr>
        <w:t>מחקירתם</w:t>
      </w:r>
      <w:r>
        <w:rPr>
          <w:rtl w:val="true"/>
        </w:rPr>
        <w:t xml:space="preserve">, </w:t>
      </w:r>
      <w:r>
        <w:rPr>
          <w:rtl w:val="true"/>
        </w:rPr>
        <w:t>והנטל</w:t>
      </w:r>
      <w:r>
        <w:rPr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גופי</w:t>
      </w:r>
      <w:r>
        <w:rPr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 xml:space="preserve"> </w:t>
      </w:r>
      <w:r>
        <w:rPr>
          <w:rtl w:val="true"/>
        </w:rPr>
        <w:t>שיש לישראל הסכם הסגרה עמה</w:t>
      </w:r>
      <w:r>
        <w:rPr>
          <w:rtl w:val="true"/>
        </w:rPr>
        <w:t xml:space="preserve">, </w:t>
      </w:r>
      <w:r>
        <w:rPr>
          <w:rtl w:val="true"/>
        </w:rPr>
        <w:t>מעוותים את ממצאי החקירה באופן מודע מתוך שיקולים זרים</w:t>
      </w:r>
      <w:r>
        <w:rPr>
          <w:rtl w:val="true"/>
        </w:rPr>
        <w:t xml:space="preserve">, </w:t>
      </w:r>
      <w:r>
        <w:rPr>
          <w:rtl w:val="true"/>
        </w:rPr>
        <w:t>מוטל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כתפיו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הטוען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בנטל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הסגרתו</w:t>
      </w:r>
      <w:r>
        <w:rPr>
          <w:rtl w:val="true"/>
        </w:rPr>
        <w:t xml:space="preserve">. </w:t>
      </w:r>
      <w:r>
        <w:rPr>
          <w:rtl w:val="true"/>
        </w:rPr>
        <w:t>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, </w:t>
      </w:r>
      <w:r>
        <w:rPr>
          <w:rtl w:val="true"/>
        </w:rPr>
        <w:t>מוצג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חזיזה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נוכח מהות הליך ההסגרה</w:t>
      </w:r>
      <w:r>
        <w:rPr>
          <w:rtl w:val="true"/>
        </w:rPr>
        <w:t xml:space="preserve">, </w:t>
      </w:r>
      <w:r>
        <w:rPr>
          <w:rtl w:val="true"/>
        </w:rPr>
        <w:t>מובן כי אין לקבל את טענת המערער לפיה היה על בית המשפט המחוזי לדון בתצהירים שונים שהובאו מטעמו להוכחת חפותו</w:t>
      </w:r>
      <w:r>
        <w:rPr>
          <w:rtl w:val="true"/>
        </w:rPr>
        <w:t xml:space="preserve">. </w:t>
      </w:r>
      <w:r>
        <w:rPr>
          <w:rtl w:val="true"/>
        </w:rPr>
        <w:t>הליך ההסגרה אינו ההליך המתאים לבחינת משקלן של הראיות השונות בתיק הפלילי</w:t>
      </w:r>
      <w:r>
        <w:rPr>
          <w:rtl w:val="true"/>
        </w:rPr>
        <w:t xml:space="preserve">. </w:t>
      </w:r>
      <w:r>
        <w:rPr>
          <w:rtl w:val="true"/>
        </w:rPr>
        <w:t>ככל שקיימות למערער ראיות טובות לזכותו</w:t>
      </w:r>
      <w:r>
        <w:rPr>
          <w:rtl w:val="true"/>
        </w:rPr>
        <w:t xml:space="preserve">, </w:t>
      </w:r>
      <w:r>
        <w:rPr>
          <w:rtl w:val="true"/>
        </w:rPr>
        <w:t>מקומן להתברר בהליך העיקרי</w:t>
      </w:r>
      <w:r>
        <w:rPr>
          <w:rtl w:val="true"/>
        </w:rPr>
        <w:t xml:space="preserve">, </w:t>
      </w:r>
      <w:r>
        <w:rPr>
          <w:rtl w:val="true"/>
        </w:rPr>
        <w:t>במסגרתו ייחקרו העדים הרלוונטיים על תצהיריהם</w:t>
      </w:r>
      <w:r>
        <w:rPr>
          <w:rtl w:val="true"/>
        </w:rPr>
        <w:t xml:space="preserve">, </w:t>
      </w:r>
      <w:r>
        <w:rPr>
          <w:rtl w:val="true"/>
        </w:rPr>
        <w:t>ובסופו של דבר ייקבעו ממצאי מהימנות ועובדה על בסיס מכלול הנתונים שיובאו בהליך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תקנת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יש לדחות אף את טענת המערער שלפיה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מטרתה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בקשת</w:t>
      </w:r>
      <w:r>
        <w:rPr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 </w:t>
      </w:r>
      <w:r>
        <w:rPr>
          <w:rtl w:val="true"/>
        </w:rPr>
        <w:t>אינ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להביאו</w:t>
      </w:r>
      <w:r>
        <w:rPr>
          <w:rtl w:val="true"/>
        </w:rPr>
        <w:t xml:space="preserve"> </w:t>
      </w:r>
      <w:r>
        <w:rPr>
          <w:rtl w:val="true"/>
        </w:rPr>
        <w:t>למתן</w:t>
      </w:r>
      <w:r>
        <w:rPr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 xml:space="preserve"> </w:t>
      </w:r>
      <w:r>
        <w:rPr>
          <w:rtl w:val="true"/>
        </w:rPr>
        <w:t>במשפטו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מזרחי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tl w:val="true"/>
        </w:rPr>
        <w:t xml:space="preserve"> </w:t>
      </w:r>
      <w:r>
        <w:rPr>
          <w:rtl w:val="true"/>
        </w:rPr>
        <w:t>היענות</w:t>
      </w:r>
      <w:r>
        <w:rPr>
          <w:rtl w:val="true"/>
        </w:rPr>
        <w:t xml:space="preserve"> </w:t>
      </w:r>
      <w:r>
        <w:rPr>
          <w:rtl w:val="true"/>
        </w:rPr>
        <w:t>לבקשת</w:t>
      </w:r>
      <w:r>
        <w:rPr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 </w:t>
      </w:r>
      <w:r>
        <w:rPr>
          <w:rtl w:val="true"/>
        </w:rPr>
        <w:t>תפגע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 </w:t>
      </w:r>
      <w:r>
        <w:rPr>
          <w:rtl w:val="true"/>
        </w:rPr>
        <w:t>בתחושת</w:t>
      </w:r>
      <w:r>
        <w:rPr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, </w:t>
      </w:r>
      <w:r>
        <w:rPr>
          <w:rtl w:val="true"/>
        </w:rPr>
        <w:t xml:space="preserve">באופן המקים בעניינו את הסייג בדבר </w:t>
      </w:r>
      <w:r>
        <w:rPr>
          <w:rtl w:val="true"/>
        </w:rPr>
        <w:t>תקנת</w:t>
      </w:r>
      <w:r>
        <w:rPr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בענין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נטענו</w:t>
      </w:r>
      <w:r>
        <w:rPr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תשתית</w:t>
      </w:r>
      <w:r>
        <w:rPr>
          <w:rtl w:val="true"/>
        </w:rPr>
        <w:t xml:space="preserve"> </w:t>
      </w:r>
      <w:r>
        <w:rPr>
          <w:rtl w:val="true"/>
        </w:rPr>
        <w:t>ראייתית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לתמוך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האשמות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ייחס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רשויות</w:t>
      </w:r>
      <w:r>
        <w:rPr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 </w:t>
      </w:r>
      <w:r>
        <w:rPr>
          <w:rtl w:val="true"/>
        </w:rPr>
        <w:t>בארצות</w:t>
      </w:r>
      <w:r>
        <w:rPr>
          <w:rtl w:val="true"/>
        </w:rPr>
        <w:t xml:space="preserve"> </w:t>
      </w:r>
      <w:r>
        <w:rPr>
          <w:rtl w:val="true"/>
        </w:rPr>
        <w:t>הברית</w:t>
      </w:r>
      <w:r>
        <w:rPr>
          <w:rtl w:val="true"/>
        </w:rPr>
        <w:t xml:space="preserve">, </w:t>
      </w:r>
      <w:r>
        <w:rPr>
          <w:rtl w:val="true"/>
        </w:rPr>
        <w:t>בדבר סילוף דבריו מתוך שיקולים זרים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אף העובדה כי המערער לא נכלל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 </w:t>
      </w:r>
      <w:r>
        <w:rPr>
          <w:rtl w:val="true"/>
        </w:rPr>
        <w:t>מזרחי</w:t>
      </w:r>
      <w:r>
        <w:rPr>
          <w:rtl w:val="true"/>
        </w:rPr>
        <w:t xml:space="preserve"> </w:t>
      </w:r>
      <w:r>
        <w:rPr>
          <w:rtl w:val="true"/>
        </w:rPr>
        <w:t>בשנת</w:t>
      </w:r>
      <w:r>
        <w:rPr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אין בה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ללמד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שרשויות</w:t>
      </w:r>
      <w:r>
        <w:rPr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 </w:t>
      </w:r>
      <w:r>
        <w:rPr>
          <w:rtl w:val="true"/>
        </w:rPr>
        <w:t>בארצות</w:t>
      </w:r>
      <w:r>
        <w:rPr>
          <w:rtl w:val="true"/>
        </w:rPr>
        <w:t xml:space="preserve"> </w:t>
      </w:r>
      <w:r>
        <w:rPr>
          <w:rtl w:val="true"/>
        </w:rPr>
        <w:t>הברית</w:t>
      </w:r>
      <w:r>
        <w:rPr>
          <w:rtl w:val="true"/>
        </w:rPr>
        <w:t xml:space="preserve"> </w:t>
      </w:r>
      <w:r>
        <w:rPr>
          <w:rtl w:val="true"/>
        </w:rPr>
        <w:t>סברו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להעמידו</w:t>
      </w:r>
      <w:r>
        <w:rPr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כפי שציין בית המשפט המחוזי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 </w:t>
      </w:r>
      <w:r>
        <w:rPr>
          <w:rtl w:val="true"/>
        </w:rPr>
        <w:t>מורכב</w:t>
      </w:r>
      <w:r>
        <w:rPr>
          <w:rtl w:val="true"/>
        </w:rPr>
        <w:t xml:space="preserve"> </w:t>
      </w:r>
      <w:r>
        <w:rPr>
          <w:rtl w:val="true"/>
        </w:rPr>
        <w:t>שחקירתו</w:t>
      </w:r>
      <w:r>
        <w:rPr>
          <w:rtl w:val="true"/>
        </w:rPr>
        <w:t xml:space="preserve"> </w:t>
      </w:r>
      <w:r>
        <w:rPr>
          <w:rtl w:val="true"/>
        </w:rPr>
        <w:t>התנהלה</w:t>
      </w:r>
      <w:r>
        <w:rPr>
          <w:rtl w:val="true"/>
        </w:rPr>
        <w:t xml:space="preserve"> </w:t>
      </w:r>
      <w:r>
        <w:rPr>
          <w:rtl w:val="true"/>
        </w:rPr>
        <w:t>במשך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הנמנע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 </w:t>
      </w:r>
      <w:r>
        <w:rPr>
          <w:rtl w:val="true"/>
        </w:rPr>
        <w:t>שעמדו</w:t>
      </w:r>
      <w:r>
        <w:rPr>
          <w:rtl w:val="true"/>
        </w:rPr>
        <w:t xml:space="preserve"> </w:t>
      </w:r>
      <w:r>
        <w:rPr>
          <w:rtl w:val="true"/>
        </w:rPr>
        <w:t>בבסיס</w:t>
      </w:r>
      <w:r>
        <w:rPr>
          <w:rtl w:val="true"/>
        </w:rPr>
        <w:t xml:space="preserve"> </w:t>
      </w:r>
      <w:r>
        <w:rPr>
          <w:rtl w:val="true"/>
        </w:rPr>
        <w:t>ההחלטה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להעמידו</w:t>
      </w:r>
      <w:r>
        <w:rPr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 בתחילה</w:t>
      </w:r>
      <w:r>
        <w:rPr>
          <w:rtl w:val="true"/>
        </w:rPr>
        <w:t xml:space="preserve">, </w:t>
      </w:r>
      <w:r>
        <w:rPr>
          <w:rtl w:val="true"/>
        </w:rPr>
        <w:t>השתנו</w:t>
      </w:r>
      <w:r>
        <w:rPr>
          <w:rtl w:val="true"/>
        </w:rPr>
        <w:t xml:space="preserve"> </w:t>
      </w:r>
      <w:r>
        <w:rPr>
          <w:rtl w:val="true"/>
        </w:rPr>
        <w:t>בשלב</w:t>
      </w:r>
      <w:r>
        <w:rPr>
          <w:rtl w:val="true"/>
        </w:rPr>
        <w:t xml:space="preserve"> </w:t>
      </w:r>
      <w:r>
        <w:rPr>
          <w:rtl w:val="true"/>
        </w:rPr>
        <w:t>מאוחר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 עם התקדמות החקירה בעניינו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אף טענת השיהוי שהועלתה בהקשר זה </w:t>
      </w:r>
      <w:r>
        <w:rPr>
          <w:rtl w:val="true"/>
        </w:rPr>
        <w:t>–</w:t>
      </w:r>
      <w:r>
        <w:rPr>
          <w:rtl w:val="true"/>
        </w:rPr>
        <w:t xml:space="preserve"> דינה להידחות</w:t>
      </w:r>
      <w:r>
        <w:rPr>
          <w:rtl w:val="true"/>
        </w:rPr>
        <w:t xml:space="preserve">. </w:t>
      </w:r>
      <w:r>
        <w:rPr>
          <w:rtl w:val="true"/>
        </w:rPr>
        <w:t>בקשת ההסגרה הוגשה אמנם למעלה מ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 לאחר שסיים המערער את עבודתו עבור מזרחי</w:t>
      </w:r>
      <w:r>
        <w:rPr>
          <w:rtl w:val="true"/>
        </w:rPr>
        <w:t xml:space="preserve">, </w:t>
      </w:r>
      <w:r>
        <w:rPr>
          <w:rtl w:val="true"/>
        </w:rPr>
        <w:t>אולם כפי שנקבע בפסיקתו העקבית של בית משפט זה</w:t>
      </w:r>
      <w:r>
        <w:rPr>
          <w:rtl w:val="true"/>
        </w:rPr>
        <w:t xml:space="preserve">, </w:t>
      </w:r>
      <w:r>
        <w:rPr>
          <w:rtl w:val="true"/>
        </w:rPr>
        <w:t>הסייג שעניינו בתקנת הציבור שמור עבור מקרים חריגים ביותר שבהן הסגרת המבוקש פוגעת פגיעה מהותית ברגשי הצדק והמוסר של הציבור בישראל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 שוכנעתי כי הסגרת המערער תפגע בתקנת הציבור במידה הנדרשת כדי למנוע את הסגרתו</w:t>
      </w:r>
      <w:r>
        <w:rPr>
          <w:rtl w:val="true"/>
        </w:rPr>
        <w:t xml:space="preserve">. </w:t>
      </w:r>
      <w:r>
        <w:rPr>
          <w:rtl w:val="true"/>
        </w:rPr>
        <w:t>זאת בפרט</w:t>
      </w:r>
      <w:r>
        <w:rPr>
          <w:rtl w:val="true"/>
        </w:rPr>
        <w:t xml:space="preserve">, </w:t>
      </w:r>
      <w:r>
        <w:rPr>
          <w:rtl w:val="true"/>
        </w:rPr>
        <w:t>נוכח חומרת העבירות המיוחסות לו</w:t>
      </w:r>
      <w:r>
        <w:rPr>
          <w:rtl w:val="true"/>
        </w:rPr>
        <w:t xml:space="preserve">, </w:t>
      </w:r>
      <w:r>
        <w:rPr>
          <w:rtl w:val="true"/>
        </w:rPr>
        <w:t>ובשים לב לכך כי מרבית הראיות נגדו מושתתות על מסמכים פיננסיים</w:t>
      </w:r>
      <w:r>
        <w:rPr>
          <w:rtl w:val="true"/>
        </w:rPr>
        <w:t xml:space="preserve">, </w:t>
      </w:r>
      <w:r>
        <w:rPr>
          <w:rtl w:val="true"/>
        </w:rPr>
        <w:t>ועל כן הנזק שנגרם לו בשל השיהוי מצומצם יחסית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התיישנות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אף בהינתן כל הראיות התומכות לכאורה באשמתו</w:t>
      </w:r>
      <w:r>
        <w:rPr>
          <w:rtl w:val="true"/>
        </w:rPr>
        <w:t>, "</w:t>
      </w:r>
      <w:r>
        <w:rPr>
          <w:rtl w:val="true"/>
        </w:rPr>
        <w:t xml:space="preserve">לכל היותר ניתן לקבוע כי מדובר בביצוע עבירות בדרך של </w:t>
      </w:r>
      <w:r>
        <w:rPr>
          <w:rtl w:val="true"/>
        </w:rPr>
        <w:t>'</w:t>
      </w:r>
      <w:r>
        <w:rPr>
          <w:rtl w:val="true"/>
        </w:rPr>
        <w:t>עצימת עיניים</w:t>
      </w:r>
      <w:r>
        <w:rPr>
          <w:rtl w:val="true"/>
        </w:rPr>
        <w:t xml:space="preserve">'" </w:t>
      </w:r>
      <w:r>
        <w:rPr>
          <w:rtl w:val="true"/>
        </w:rPr>
        <w:t xml:space="preserve">ועל כן לא ניתן לייחס לו את ביצוע העבירות </w:t>
      </w:r>
      <w:r>
        <w:rPr>
          <w:rtl w:val="true"/>
        </w:rPr>
        <w:t>"</w:t>
      </w:r>
      <w:r>
        <w:rPr>
          <w:rtl w:val="true"/>
        </w:rPr>
        <w:t>בנסיבות מחמירות</w:t>
      </w:r>
      <w:r>
        <w:rPr>
          <w:rtl w:val="true"/>
        </w:rPr>
        <w:t xml:space="preserve">".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נטען כי מדובר בעבירה מסוג עוון שתקופת ההתיישנות בגינה היא חמש שנים</w:t>
      </w:r>
      <w:r>
        <w:rPr>
          <w:rtl w:val="true"/>
        </w:rPr>
        <w:t xml:space="preserve">, </w:t>
      </w:r>
      <w:r>
        <w:rPr>
          <w:rtl w:val="true"/>
        </w:rPr>
        <w:t xml:space="preserve">ואלו חלפו בטרם חקירתו הראשונה בשלהי שנת </w:t>
      </w:r>
      <w:r>
        <w:rPr/>
        <w:t>2010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לאור המסקנה אליה הגעתי באשר לקיומה של תשתית לכאורית הן באשר למצגי שווא שנעשו על ידו לשם הגדלת היקף האשראי של החברות הן בדבר מודעותו לפעילות ההונאה של מזרחי</w:t>
      </w:r>
      <w:r>
        <w:rPr>
          <w:rtl w:val="true"/>
        </w:rPr>
        <w:t xml:space="preserve">, </w:t>
      </w:r>
      <w:r>
        <w:rPr>
          <w:rtl w:val="true"/>
        </w:rPr>
        <w:t>הרי שיש לדחות את טענת המערער אף בסוגיה זו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המעשים המיוחסים למערער אינם כוללים רק את התעלמותו מסימני האזהרה בדבר פעילות ההונאה של מזרחי</w:t>
      </w:r>
      <w:r>
        <w:rPr>
          <w:rtl w:val="true"/>
        </w:rPr>
        <w:t xml:space="preserve">, </w:t>
      </w:r>
      <w:r>
        <w:rPr>
          <w:rtl w:val="true"/>
        </w:rPr>
        <w:t>אלא אף מעשים אקטיביים שנעשו למשך תקופה ממושכת</w:t>
      </w:r>
      <w:r>
        <w:rPr>
          <w:rtl w:val="true"/>
        </w:rPr>
        <w:t xml:space="preserve">, </w:t>
      </w:r>
      <w:r>
        <w:rPr>
          <w:rtl w:val="true"/>
        </w:rPr>
        <w:t>אשר נועדו להביא להגדלת היקף האשראי שהתקבל מהבנקים עבור החברות תוך מסירת מידע כוזב ביודעין</w:t>
      </w:r>
      <w:r>
        <w:rPr>
          <w:rtl w:val="true"/>
        </w:rPr>
        <w:t xml:space="preserve">, </w:t>
      </w:r>
      <w:r>
        <w:rPr>
          <w:rtl w:val="true"/>
        </w:rPr>
        <w:t>וכל זאת בידיעה כי הכספים שיתקבלו מהבנקים ישמשו למטרה שונה מזו שלשמה התבקשו</w:t>
      </w:r>
      <w:r>
        <w:rPr>
          <w:rtl w:val="true"/>
        </w:rPr>
        <w:t xml:space="preserve">. </w:t>
      </w:r>
      <w:r>
        <w:rPr>
          <w:rtl w:val="true"/>
        </w:rPr>
        <w:t>די בהיקף המעשים הללו ובתחכום שבו נעשו</w:t>
      </w:r>
      <w:r>
        <w:rPr>
          <w:rtl w:val="true"/>
        </w:rPr>
        <w:t xml:space="preserve">, </w:t>
      </w:r>
      <w:r>
        <w:rPr>
          <w:rtl w:val="true"/>
        </w:rPr>
        <w:t xml:space="preserve">כדי לבסס תשתית מספקת להעמידו לדין בעבירות הכוללות יסוד של נסיבות מחמירות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2333/07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תענך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108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12.7.2010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816/10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גולד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61</w:t>
      </w:r>
      <w:r>
        <w:rPr>
          <w:rtl w:val="true"/>
        </w:rPr>
        <w:t xml:space="preserve"> (</w:t>
      </w:r>
      <w:r>
        <w:rPr/>
        <w:t>3.9.2012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המעצר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טענה נוספת שהעלה המערער היא כי עותק צו המעצר שהומצא על ידי רשויות החקירה בארצות הברית אינו יכול להיות עותק של צו המעצר המקורי שהוּצא לו</w:t>
      </w:r>
      <w:r>
        <w:rPr>
          <w:rtl w:val="true"/>
        </w:rPr>
        <w:t xml:space="preserve">, </w:t>
      </w:r>
      <w:r>
        <w:rPr>
          <w:rtl w:val="true"/>
        </w:rPr>
        <w:t>שכן הוא לא חתום על ידי שופט או פקיד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ומשכך הוא אינו עומד בתנאים הנדרשים מצו מעצר לפי </w:t>
      </w:r>
      <w:hyperlink r:id="rId5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האמריקני</w:t>
      </w:r>
      <w:r>
        <w:rPr>
          <w:rtl w:val="true"/>
        </w:rPr>
        <w:t xml:space="preserve">. </w:t>
      </w:r>
      <w:r>
        <w:rPr>
          <w:rtl w:val="true"/>
        </w:rPr>
        <w:t>לתמיכה בטענה זו הוגשה לבית המשפט המחוזי חוות דעת מומחה באשר לדין הפלילי האמריקני</w:t>
      </w:r>
      <w:r>
        <w:rPr>
          <w:rtl w:val="true"/>
        </w:rPr>
        <w:t xml:space="preserve">, </w:t>
      </w:r>
      <w:r>
        <w:rPr>
          <w:rtl w:val="true"/>
        </w:rPr>
        <w:t>וחוות דעת נוספת הוגשה אף בהליך זה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המערער אשר מודע לכך שהליך זה אינו המקום המתאים להכרעה בכללי הפרוצדורה בדין האמריקני</w:t>
      </w:r>
      <w:r>
        <w:rPr>
          <w:rtl w:val="true"/>
        </w:rPr>
        <w:t xml:space="preserve">, </w:t>
      </w:r>
      <w:r>
        <w:rPr>
          <w:rtl w:val="true"/>
        </w:rPr>
        <w:t>מבקש לטעון כי ההכרעה בתוקפו של צו המעצר נדרשת על מנת להכריע האם נמסר העתק של צו המעצר המקורי</w:t>
      </w:r>
      <w:r>
        <w:rPr>
          <w:rtl w:val="true"/>
        </w:rPr>
        <w:t xml:space="preserve">, </w:t>
      </w:r>
      <w:r>
        <w:rPr>
          <w:rtl w:val="true"/>
        </w:rPr>
        <w:t xml:space="preserve">או שמדובר בעותק של </w:t>
      </w:r>
      <w:r>
        <w:rPr>
          <w:rtl w:val="true"/>
        </w:rPr>
        <w:t>"</w:t>
      </w:r>
      <w:r>
        <w:rPr>
          <w:rtl w:val="true"/>
        </w:rPr>
        <w:t>פיסת נייר</w:t>
      </w:r>
      <w:r>
        <w:rPr>
          <w:rtl w:val="true"/>
        </w:rPr>
        <w:t xml:space="preserve">" </w:t>
      </w:r>
      <w:r>
        <w:rPr>
          <w:rtl w:val="true"/>
        </w:rPr>
        <w:t>שאין לה כל תוקף חוקי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אם יתברר כי לא הוגש עותק מצו המעצר המקורי שהוּצא נגדו</w:t>
      </w:r>
      <w:r>
        <w:rPr>
          <w:rtl w:val="true"/>
        </w:rPr>
        <w:t xml:space="preserve">, </w:t>
      </w:r>
      <w:r>
        <w:rPr>
          <w:rtl w:val="true"/>
        </w:rPr>
        <w:t xml:space="preserve">ממילא לא התקיימה הדרישה שבסעיף </w:t>
      </w:r>
      <w:r>
        <w:rPr/>
        <w:t>6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לפרוטוקול המתקן</w:t>
      </w:r>
      <w:r>
        <w:rPr>
          <w:rtl w:val="true"/>
        </w:rPr>
        <w:t xml:space="preserve">, </w:t>
      </w:r>
      <w:r>
        <w:rPr>
          <w:rtl w:val="true"/>
        </w:rPr>
        <w:t>ואין מקום להסגירו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אף בטענה זו לא מצאתי ממש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מעיון בעותק צו המעצר שצורף לתצהיר ארקו עולה כי במקום המיועד לחתימת פקיד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מצורפת חתימה הנחזית להיות  כזו שנחתמה על הצו המקורי על ידי פקיד בית משפט בשם </w:t>
      </w:r>
      <w:r>
        <w:rPr/>
        <w:t>Luis R. Rodriguez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לא מצאתי מקום להידרש לשאלה האם היה מקום לצרף את חוות הדעת שהוגשה ביחס לדין הזר</w:t>
      </w:r>
      <w:r>
        <w:rPr>
          <w:rtl w:val="true"/>
        </w:rPr>
        <w:t xml:space="preserve">, </w:t>
      </w:r>
      <w:r>
        <w:rPr>
          <w:rtl w:val="true"/>
        </w:rPr>
        <w:t>שכן אף בחוות דעת זו נכתב כי צו מעצר שחתום על ידי פקיד בית משפט הוא בר</w:t>
      </w:r>
      <w:r>
        <w:rPr>
          <w:rtl w:val="true"/>
        </w:rPr>
        <w:t>-</w:t>
      </w:r>
      <w:r>
        <w:rPr>
          <w:rtl w:val="true"/>
        </w:rPr>
        <w:t>תוקף לפי הוראות הדין האמריקני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למקור</w:t>
      </w:r>
      <w:r>
        <w:rPr>
          <w:rtl w:val="true"/>
        </w:rPr>
        <w:t xml:space="preserve">,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האמריקני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לליבון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האמריקני</w:t>
      </w:r>
      <w:r>
        <w:rPr>
          <w:rtl w:val="true"/>
        </w:rPr>
        <w:t xml:space="preserve">, </w:t>
      </w:r>
      <w:r>
        <w:rPr>
          <w:rtl w:val="true"/>
        </w:rPr>
        <w:t>שמקומן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הסגרתו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הוּצא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</w:t>
      </w:r>
      <w:r>
        <w:rPr>
          <w:rFonts w:ascii="Century" w:hAnsi="Century" w:cs="Century"/>
          <w:rtl w:val="true"/>
        </w:rPr>
        <w:t>ער</w:t>
      </w:r>
      <w:r>
        <w:rPr>
          <w:rFonts w:ascii="Century" w:hAnsi="Century" w:cs="Century"/>
          <w:rtl w:val="true"/>
        </w:rPr>
        <w:t xml:space="preserve"> צו מעצר על ידי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הפדראלי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המחוזי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במחוז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מרכז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בקליפורניה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שבארצות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הברית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סיכומם של דברים</w:t>
      </w:r>
      <w:r>
        <w:rPr>
          <w:rtl w:val="true"/>
        </w:rPr>
        <w:t xml:space="preserve">, </w:t>
      </w:r>
      <w:r>
        <w:rPr>
          <w:rtl w:val="true"/>
        </w:rPr>
        <w:t>אני סבור כי בעניינו של המערער התקיימו</w:t>
      </w:r>
      <w:r>
        <w:rPr>
          <w:rtl w:val="true"/>
        </w:rPr>
        <w:t xml:space="preserve"> </w:t>
      </w:r>
      <w:r>
        <w:rPr>
          <w:rtl w:val="true"/>
        </w:rPr>
        <w:t>הדרישות</w:t>
      </w:r>
      <w:r>
        <w:rPr>
          <w:rtl w:val="true"/>
        </w:rPr>
        <w:t xml:space="preserve"> </w:t>
      </w:r>
      <w:r>
        <w:rPr>
          <w:rtl w:val="true"/>
        </w:rPr>
        <w:t>הפרוצדורליות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כמו גם </w:t>
      </w:r>
      <w:r>
        <w:rPr>
          <w:rtl w:val="true"/>
        </w:rPr>
        <w:t>המהותיות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הנחוצות כדי להסגירו לארצות הברית לפי</w:t>
      </w:r>
      <w:r>
        <w:rPr>
          <w:rtl w:val="true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: </w:t>
      </w:r>
      <w:r>
        <w:rPr>
          <w:rtl w:val="true"/>
        </w:rPr>
        <w:t>התשתית הראייתית שהוצגה</w:t>
      </w:r>
      <w:r>
        <w:rPr>
          <w:rtl w:val="true"/>
        </w:rPr>
        <w:t xml:space="preserve"> </w:t>
      </w:r>
      <w:r>
        <w:rPr>
          <w:rtl w:val="true"/>
        </w:rPr>
        <w:t>בבקשת</w:t>
      </w:r>
      <w:r>
        <w:rPr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 </w:t>
      </w:r>
      <w:r>
        <w:rPr>
          <w:rtl w:val="true"/>
        </w:rPr>
        <w:t>עונ</w:t>
      </w:r>
      <w:r>
        <w:rPr>
          <w:rtl w:val="true"/>
        </w:rPr>
        <w:t xml:space="preserve">ה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דרישת</w:t>
      </w:r>
      <w:r>
        <w:rPr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האחיזה</w:t>
      </w:r>
      <w:r>
        <w:rPr>
          <w:rtl w:val="true"/>
        </w:rPr>
        <w:t xml:space="preserve"> </w:t>
      </w:r>
      <w:r>
        <w:rPr>
          <w:rtl w:val="true"/>
        </w:rPr>
        <w:t>לאישום</w:t>
      </w:r>
      <w:r>
        <w:rPr>
          <w:rtl w:val="true"/>
        </w:rPr>
        <w:t>'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העבירות המיוחסות לו לא התיישנו</w:t>
      </w:r>
      <w:r>
        <w:rPr>
          <w:rtl w:val="true"/>
        </w:rPr>
        <w:t xml:space="preserve">; </w:t>
      </w:r>
      <w:r>
        <w:rPr>
          <w:rtl w:val="true"/>
        </w:rPr>
        <w:t>שיקולי</w:t>
      </w:r>
      <w:r>
        <w:rPr>
          <w:rtl w:val="true"/>
        </w:rPr>
        <w:t xml:space="preserve"> </w:t>
      </w:r>
      <w:r>
        <w:rPr>
          <w:rtl w:val="true"/>
        </w:rPr>
        <w:t>תקנת</w:t>
      </w:r>
      <w:r>
        <w:rPr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 </w:t>
      </w:r>
      <w:r>
        <w:rPr>
          <w:rtl w:val="true"/>
        </w:rPr>
        <w:t>אינם</w:t>
      </w:r>
      <w:r>
        <w:rPr>
          <w:rtl w:val="true"/>
        </w:rPr>
        <w:t xml:space="preserve"> </w:t>
      </w:r>
      <w:r>
        <w:rPr>
          <w:rtl w:val="true"/>
        </w:rPr>
        <w:t>מונעים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הסגרתו</w:t>
      </w:r>
      <w:r>
        <w:rPr>
          <w:rtl w:val="true"/>
        </w:rPr>
        <w:t xml:space="preserve">; </w:t>
      </w:r>
      <w:r>
        <w:rPr>
          <w:rtl w:val="true"/>
        </w:rPr>
        <w:t>והוכח במידה הנדרשת להליך ההסגרה כי הומצא עותק נאמן למקור של צו המעצר שהוּצא נגדו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אציע לחברותיי לדחות את הערעור</w:t>
      </w:r>
      <w:r>
        <w:rPr>
          <w:rtl w:val="true"/>
        </w:rPr>
        <w:t xml:space="preserve">, </w:t>
      </w:r>
      <w:r>
        <w:rPr>
          <w:rtl w:val="true"/>
        </w:rPr>
        <w:t>ולהותיר על כנה את ההכרזה על המערער כבר</w:t>
      </w:r>
      <w:r>
        <w:rPr>
          <w:rtl w:val="true"/>
        </w:rPr>
        <w:t>-</w:t>
      </w:r>
      <w:r>
        <w:rPr>
          <w:rtl w:val="true"/>
        </w:rPr>
        <w:t>הסגרה לארצות הברית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ארז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3.9.2020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19060030</w:t>
      </w:r>
      <w:r>
        <w:rPr>
          <w:sz w:val="16"/>
          <w:rtl w:val="true"/>
        </w:rPr>
        <w:t>_</w:t>
      </w:r>
      <w:r>
        <w:rPr>
          <w:sz w:val="16"/>
        </w:rPr>
        <w:t>J15.docx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1">
        <w:r>
          <w:rPr>
            <w:rStyle w:val="Hyperlink"/>
            <w:color w:val="000000"/>
            <w:sz w:val="16"/>
            <w:u w:val="none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</w:rPr>
      </w:pPr>
      <w:r>
        <w:rPr>
          <w:rFonts w:cs="David;Times New Roman" w:ascii="David;Times New Roman" w:hAnsi="David;Times New Roman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</w:rPr>
      </w:pPr>
      <w:r>
        <w:rPr>
          <w:rFonts w:ascii="David;Times New Roman" w:hAnsi="David;Times New Roman"/>
          <w:color w:val="000000"/>
          <w:sz w:val="22"/>
          <w:sz w:val="22"/>
          <w:szCs w:val="22"/>
          <w:rtl w:val="true"/>
        </w:rPr>
        <w:t>ד</w:t>
      </w:r>
      <w:r>
        <w:rPr>
          <w:rFonts w:cs="David;Times New Roman" w:ascii="David;Times New Roman" w:hAnsi="David;Times New Roman"/>
          <w:color w:val="000000"/>
          <w:sz w:val="22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 w:val="22"/>
          <w:sz w:val="22"/>
          <w:szCs w:val="22"/>
          <w:rtl w:val="true"/>
        </w:rPr>
        <w:t xml:space="preserve">ברק ארז </w:t>
      </w:r>
      <w:r>
        <w:rPr>
          <w:rFonts w:cs="David;Times New Roman" w:ascii="David;Times New Roman" w:hAnsi="David;Times New Roman"/>
          <w:color w:val="000000"/>
          <w:sz w:val="22"/>
          <w:szCs w:val="22"/>
        </w:rPr>
        <w:t>54678313-6003/19</w:t>
      </w:r>
    </w:p>
    <w:p>
      <w:pPr>
        <w:pStyle w:val="Normal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;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;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;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;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;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;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3"/>
      <w:footerReference w:type="default" r:id="rId6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6003/19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אריה גרינס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היועץ המשפטי לממשלה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;Times New Roman"/>
      <w:szCs w:val="24"/>
    </w:rPr>
  </w:style>
  <w:style w:type="character" w:styleId="CharChar3">
    <w:name w:val=" Char Char3"/>
    <w:qFormat/>
    <w:rPr>
      <w:rFonts w:cs="David;Times New Roman"/>
      <w:szCs w:val="24"/>
    </w:rPr>
  </w:style>
  <w:style w:type="character" w:styleId="default">
    <w:name w:val="default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390068" TargetMode="External"/><Relationship Id="rId3" Type="http://schemas.openxmlformats.org/officeDocument/2006/relationships/hyperlink" Target="http://www.nevo.co.il/law/71723" TargetMode="External"/><Relationship Id="rId4" Type="http://schemas.openxmlformats.org/officeDocument/2006/relationships/hyperlink" Target="http://www.nevo.co.il/law/71723/2.a" TargetMode="External"/><Relationship Id="rId5" Type="http://schemas.openxmlformats.org/officeDocument/2006/relationships/hyperlink" Target="http://www.nevo.co.il/law/71723/2a.a.2" TargetMode="External"/><Relationship Id="rId6" Type="http://schemas.openxmlformats.org/officeDocument/2006/relationships/hyperlink" Target="http://www.nevo.co.il/law/71723/2b.6" TargetMode="External"/><Relationship Id="rId7" Type="http://schemas.openxmlformats.org/officeDocument/2006/relationships/hyperlink" Target="http://www.nevo.co.il/law/71723/2b.a.8" TargetMode="External"/><Relationship Id="rId8" Type="http://schemas.openxmlformats.org/officeDocument/2006/relationships/hyperlink" Target="http://www.nevo.co.il/law/71723/3" TargetMode="External"/><Relationship Id="rId9" Type="http://schemas.openxmlformats.org/officeDocument/2006/relationships/hyperlink" Target="http://www.nevo.co.il/law/71723/9" TargetMode="External"/><Relationship Id="rId10" Type="http://schemas.openxmlformats.org/officeDocument/2006/relationships/hyperlink" Target="http://www.nevo.co.il/law/71723/9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15" TargetMode="External"/><Relationship Id="rId13" Type="http://schemas.openxmlformats.org/officeDocument/2006/relationships/hyperlink" Target="http://www.nevo.co.il/law/70301/418" TargetMode="External"/><Relationship Id="rId14" Type="http://schemas.openxmlformats.org/officeDocument/2006/relationships/hyperlink" Target="http://www.nevo.co.il/law/70301/420" TargetMode="External"/><Relationship Id="rId15" Type="http://schemas.openxmlformats.org/officeDocument/2006/relationships/hyperlink" Target="http://www.nevo.co.il/law/70301/423" TargetMode="External"/><Relationship Id="rId16" Type="http://schemas.openxmlformats.org/officeDocument/2006/relationships/hyperlink" Target="http://www.nevo.co.il/law/74903" TargetMode="External"/><Relationship Id="rId17" Type="http://schemas.openxmlformats.org/officeDocument/2006/relationships/hyperlink" Target="http://www.nevo.co.il/law/70320" TargetMode="External"/><Relationship Id="rId18" Type="http://schemas.openxmlformats.org/officeDocument/2006/relationships/hyperlink" Target="http://www.nevo.co.il/case/25390068" TargetMode="External"/><Relationship Id="rId19" Type="http://schemas.openxmlformats.org/officeDocument/2006/relationships/hyperlink" Target="http://www.nevo.co.il/law/71723/3" TargetMode="External"/><Relationship Id="rId20" Type="http://schemas.openxmlformats.org/officeDocument/2006/relationships/hyperlink" Target="http://www.nevo.co.il/law/71723" TargetMode="External"/><Relationship Id="rId21" Type="http://schemas.openxmlformats.org/officeDocument/2006/relationships/hyperlink" Target="http://www.nevo.co.il/law/71723/3" TargetMode="External"/><Relationship Id="rId22" Type="http://schemas.openxmlformats.org/officeDocument/2006/relationships/hyperlink" Target="http://www.nevo.co.il/law/71723" TargetMode="External"/><Relationship Id="rId23" Type="http://schemas.openxmlformats.org/officeDocument/2006/relationships/hyperlink" Target="http://www.nevo.co.il/law/71723/9" TargetMode="External"/><Relationship Id="rId24" Type="http://schemas.openxmlformats.org/officeDocument/2006/relationships/hyperlink" Target="http://www.nevo.co.il/law/71723" TargetMode="External"/><Relationship Id="rId25" Type="http://schemas.openxmlformats.org/officeDocument/2006/relationships/hyperlink" Target="http://www.nevo.co.il/law/71723/2.a" TargetMode="External"/><Relationship Id="rId26" Type="http://schemas.openxmlformats.org/officeDocument/2006/relationships/hyperlink" Target="http://www.nevo.co.il/law/71723" TargetMode="External"/><Relationship Id="rId27" Type="http://schemas.openxmlformats.org/officeDocument/2006/relationships/hyperlink" Target="http://www.nevo.co.il/law/71723/2b.a.8" TargetMode="External"/><Relationship Id="rId28" Type="http://schemas.openxmlformats.org/officeDocument/2006/relationships/hyperlink" Target="http://www.nevo.co.il/law/71723" TargetMode="External"/><Relationship Id="rId29" Type="http://schemas.openxmlformats.org/officeDocument/2006/relationships/hyperlink" Target="http://www.nevo.co.il/law/71723/2b.6" TargetMode="External"/><Relationship Id="rId30" Type="http://schemas.openxmlformats.org/officeDocument/2006/relationships/hyperlink" Target="http://www.nevo.co.il/law/71723" TargetMode="External"/><Relationship Id="rId31" Type="http://schemas.openxmlformats.org/officeDocument/2006/relationships/hyperlink" Target="http://www.nevo.co.il/law/70301/415" TargetMode="External"/><Relationship Id="rId32" Type="http://schemas.openxmlformats.org/officeDocument/2006/relationships/hyperlink" Target="http://www.nevo.co.il/law/70301/418" TargetMode="External"/><Relationship Id="rId33" Type="http://schemas.openxmlformats.org/officeDocument/2006/relationships/hyperlink" Target="http://www.nevo.co.il/law/70301/420" TargetMode="External"/><Relationship Id="rId34" Type="http://schemas.openxmlformats.org/officeDocument/2006/relationships/hyperlink" Target="http://www.nevo.co.il/law/70301/423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4903" TargetMode="External"/><Relationship Id="rId37" Type="http://schemas.openxmlformats.org/officeDocument/2006/relationships/hyperlink" Target="http://www.nevo.co.il/case/26036796" TargetMode="External"/><Relationship Id="rId38" Type="http://schemas.openxmlformats.org/officeDocument/2006/relationships/hyperlink" Target="http://www.nevo.co.il/law/71723" TargetMode="External"/><Relationship Id="rId39" Type="http://schemas.openxmlformats.org/officeDocument/2006/relationships/hyperlink" Target="http://www.nevo.co.il/law/71723" TargetMode="External"/><Relationship Id="rId40" Type="http://schemas.openxmlformats.org/officeDocument/2006/relationships/hyperlink" Target="http://www.nevo.co.il/law/70320" TargetMode="External"/><Relationship Id="rId41" Type="http://schemas.openxmlformats.org/officeDocument/2006/relationships/hyperlink" Target="http://www.nevo.co.il/case/25386888" TargetMode="External"/><Relationship Id="rId42" Type="http://schemas.openxmlformats.org/officeDocument/2006/relationships/hyperlink" Target="http://www.nevo.co.il/law/71723/9.a" TargetMode="External"/><Relationship Id="rId43" Type="http://schemas.openxmlformats.org/officeDocument/2006/relationships/hyperlink" Target="http://www.nevo.co.il/law/71723" TargetMode="External"/><Relationship Id="rId44" Type="http://schemas.openxmlformats.org/officeDocument/2006/relationships/hyperlink" Target="http://www.nevo.co.il/case/23353988" TargetMode="External"/><Relationship Id="rId45" Type="http://schemas.openxmlformats.org/officeDocument/2006/relationships/hyperlink" Target="http://www.nevo.co.il/case/24299280" TargetMode="External"/><Relationship Id="rId46" Type="http://schemas.openxmlformats.org/officeDocument/2006/relationships/hyperlink" Target="http://www.nevo.co.il/case/6118525" TargetMode="External"/><Relationship Id="rId47" Type="http://schemas.openxmlformats.org/officeDocument/2006/relationships/hyperlink" Target="http://www.nevo.co.il/law/71723" TargetMode="External"/><Relationship Id="rId48" Type="http://schemas.openxmlformats.org/officeDocument/2006/relationships/hyperlink" Target="http://www.nevo.co.il/law/71723/2b.a.8" TargetMode="External"/><Relationship Id="rId49" Type="http://schemas.openxmlformats.org/officeDocument/2006/relationships/hyperlink" Target="http://www.nevo.co.il/law/71723" TargetMode="External"/><Relationship Id="rId50" Type="http://schemas.openxmlformats.org/officeDocument/2006/relationships/hyperlink" Target="http://www.nevo.co.il/case/23143751" TargetMode="External"/><Relationship Id="rId51" Type="http://schemas.openxmlformats.org/officeDocument/2006/relationships/hyperlink" Target="http://www.nevo.co.il/case/5896210" TargetMode="External"/><Relationship Id="rId52" Type="http://schemas.openxmlformats.org/officeDocument/2006/relationships/hyperlink" Target="http://www.nevo.co.il/case/5610639" TargetMode="External"/><Relationship Id="rId53" Type="http://schemas.openxmlformats.org/officeDocument/2006/relationships/hyperlink" Target="http://www.nevo.co.il/case/6244789" TargetMode="External"/><Relationship Id="rId54" Type="http://schemas.openxmlformats.org/officeDocument/2006/relationships/hyperlink" Target="http://www.nevo.co.il/law/71723/2a.a.2" TargetMode="External"/><Relationship Id="rId55" Type="http://schemas.openxmlformats.org/officeDocument/2006/relationships/hyperlink" Target="http://www.nevo.co.il/law/71723" TargetMode="External"/><Relationship Id="rId56" Type="http://schemas.openxmlformats.org/officeDocument/2006/relationships/hyperlink" Target="http://www.nevo.co.il/law/71723/2.a" TargetMode="External"/><Relationship Id="rId57" Type="http://schemas.openxmlformats.org/officeDocument/2006/relationships/hyperlink" Target="http://www.nevo.co.il/case/5826430" TargetMode="External"/><Relationship Id="rId58" Type="http://schemas.openxmlformats.org/officeDocument/2006/relationships/hyperlink" Target="http://www.nevo.co.il/case/5614465" TargetMode="External"/><Relationship Id="rId59" Type="http://schemas.openxmlformats.org/officeDocument/2006/relationships/hyperlink" Target="http://www.nevo.co.il/law/74903" TargetMode="External"/><Relationship Id="rId60" Type="http://schemas.openxmlformats.org/officeDocument/2006/relationships/hyperlink" Target="http://www.nevo.co.il/law/71723" TargetMode="External"/><Relationship Id="rId61" Type="http://schemas.openxmlformats.org/officeDocument/2006/relationships/hyperlink" Target="" TargetMode="External"/><Relationship Id="rId62" Type="http://schemas.openxmlformats.org/officeDocument/2006/relationships/hyperlink" Target="http://www.nevo.co.il/advertisements/nevo-100.doc" TargetMode="External"/><Relationship Id="rId63" Type="http://schemas.openxmlformats.org/officeDocument/2006/relationships/header" Target="header1.xml"/><Relationship Id="rId64" Type="http://schemas.openxmlformats.org/officeDocument/2006/relationships/footer" Target="footer1.xml"/><Relationship Id="rId65" Type="http://schemas.openxmlformats.org/officeDocument/2006/relationships/numbering" Target="numbering.xml"/><Relationship Id="rId66" Type="http://schemas.openxmlformats.org/officeDocument/2006/relationships/fontTable" Target="fontTable.xml"/><Relationship Id="rId67" Type="http://schemas.openxmlformats.org/officeDocument/2006/relationships/settings" Target="settings.xml"/><Relationship Id="rId6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2020-09-03T11:53:00Z</dcterms:created>
  <dc:creator>h4</dc:creator>
  <dc:description/>
  <cp:keywords/>
  <dc:language>en-IL</dc:language>
  <cp:lastModifiedBy>orly</cp:lastModifiedBy>
  <cp:lastPrinted>2020-09-03T09:07:00Z</cp:lastPrinted>
  <dcterms:modified xsi:type="dcterms:W3CDTF">2020-09-06T07:56:00Z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אריה גרינס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היועץ המשפטי לממשלה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25390068:2;26036796;25386888;23353988;24299280;6118525;23143751;5896210;5610639;6244789;5826430;5614465</vt:lpwstr>
  </property>
  <property fmtid="{D5CDD505-2E9C-101B-9397-08002B2CF9AE}" pid="9" name="CITY">
    <vt:lpwstr/>
  </property>
  <property fmtid="{D5CDD505-2E9C-101B-9397-08002B2CF9AE}" pid="10" name="DATE">
    <vt:lpwstr>20200903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ברק ארז;ע' ברון;י' אלרון</vt:lpwstr>
  </property>
  <property fmtid="{D5CDD505-2E9C-101B-9397-08002B2CF9AE}" pid="14" name="LAWLISTTMP1">
    <vt:lpwstr>71723/003:2;009;002.a:2;002b.a.8:2;002b.6;009.a;002a.a.2</vt:lpwstr>
  </property>
  <property fmtid="{D5CDD505-2E9C-101B-9397-08002B2CF9AE}" pid="15" name="LAWLISTTMP2">
    <vt:lpwstr>70301/415;418;420;423</vt:lpwstr>
  </property>
  <property fmtid="{D5CDD505-2E9C-101B-9397-08002B2CF9AE}" pid="16" name="LAWLISTTMP3">
    <vt:lpwstr>74903:2</vt:lpwstr>
  </property>
  <property fmtid="{D5CDD505-2E9C-101B-9397-08002B2CF9AE}" pid="17" name="LAWLISTTMP4">
    <vt:lpwstr>70320</vt:lpwstr>
  </property>
  <property fmtid="{D5CDD505-2E9C-101B-9397-08002B2CF9AE}" pid="18" name="LAWYER">
    <vt:lpwstr>אביטל ריבנר אורון;אסף קליין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הסגרה</vt:lpwstr>
  </property>
  <property fmtid="{D5CDD505-2E9C-101B-9397-08002B2CF9AE}" pid="30" name="NOSE110">
    <vt:lpwstr/>
  </property>
  <property fmtid="{D5CDD505-2E9C-101B-9397-08002B2CF9AE}" pid="31" name="NOSE12">
    <vt:lpwstr>הסגרה</vt:lpwstr>
  </property>
  <property fmtid="{D5CDD505-2E9C-101B-9397-08002B2CF9AE}" pid="32" name="NOSE13">
    <vt:lpwstr>הסגרה</vt:lpwstr>
  </property>
  <property fmtid="{D5CDD505-2E9C-101B-9397-08002B2CF9AE}" pid="33" name="NOSE14">
    <vt:lpwstr>הסגרה</vt:lpwstr>
  </property>
  <property fmtid="{D5CDD505-2E9C-101B-9397-08002B2CF9AE}" pid="34" name="NOSE15">
    <vt:lpwstr>הסגרה</vt:lpwstr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28;28;28;28;28</vt:lpwstr>
  </property>
  <property fmtid="{D5CDD505-2E9C-101B-9397-08002B2CF9AE}" pid="40" name="NOSE21">
    <vt:lpwstr>הכרזה כבר-הסגרה</vt:lpwstr>
  </property>
  <property fmtid="{D5CDD505-2E9C-101B-9397-08002B2CF9AE}" pid="41" name="NOSE210">
    <vt:lpwstr/>
  </property>
  <property fmtid="{D5CDD505-2E9C-101B-9397-08002B2CF9AE}" pid="42" name="NOSE22">
    <vt:lpwstr>תנאי הסגרה</vt:lpwstr>
  </property>
  <property fmtid="{D5CDD505-2E9C-101B-9397-08002B2CF9AE}" pid="43" name="NOSE23">
    <vt:lpwstr>מעצר</vt:lpwstr>
  </property>
  <property fmtid="{D5CDD505-2E9C-101B-9397-08002B2CF9AE}" pid="44" name="NOSE24">
    <vt:lpwstr>סייגים להסגרה</vt:lpwstr>
  </property>
  <property fmtid="{D5CDD505-2E9C-101B-9397-08002B2CF9AE}" pid="45" name="NOSE25">
    <vt:lpwstr>סייגים להסגרה</vt:lpwstr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605;614;609;610;610</vt:lpwstr>
  </property>
  <property fmtid="{D5CDD505-2E9C-101B-9397-08002B2CF9AE}" pid="51" name="NOSE31">
    <vt:lpwstr>הראיות הנדרשות</vt:lpwstr>
  </property>
  <property fmtid="{D5CDD505-2E9C-101B-9397-08002B2CF9AE}" pid="52" name="NOSE310">
    <vt:lpwstr/>
  </property>
  <property fmtid="{D5CDD505-2E9C-101B-9397-08002B2CF9AE}" pid="53" name="NOSE32">
    <vt:lpwstr>תשתית ראייתית</vt:lpwstr>
  </property>
  <property fmtid="{D5CDD505-2E9C-101B-9397-08002B2CF9AE}" pid="54" name="NOSE33">
    <vt:lpwstr>במסגרת הליכי הסגרה</vt:lpwstr>
  </property>
  <property fmtid="{D5CDD505-2E9C-101B-9397-08002B2CF9AE}" pid="55" name="NOSE34">
    <vt:lpwstr>התיישנות</vt:lpwstr>
  </property>
  <property fmtid="{D5CDD505-2E9C-101B-9397-08002B2CF9AE}" pid="56" name="NOSE35">
    <vt:lpwstr>תקנת הציבור</vt:lpwstr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4203;4232;4212;4218;4221</vt:lpwstr>
  </property>
  <property fmtid="{D5CDD505-2E9C-101B-9397-08002B2CF9AE}" pid="62" name="PADIDATE">
    <vt:lpwstr>20200906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6003</vt:lpwstr>
  </property>
  <property fmtid="{D5CDD505-2E9C-101B-9397-08002B2CF9AE}" pid="68" name="PROCYEAR">
    <vt:lpwstr>19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410120200903</vt:lpwstr>
  </property>
  <property fmtid="{D5CDD505-2E9C-101B-9397-08002B2CF9AE}" pid="72" name="TYPE_N_DATE">
    <vt:lpwstr>41020200903</vt:lpwstr>
  </property>
  <property fmtid="{D5CDD505-2E9C-101B-9397-08002B2CF9AE}" pid="73" name="VOLUME">
    <vt:lpwstr/>
  </property>
  <property fmtid="{D5CDD505-2E9C-101B-9397-08002B2CF9AE}" pid="74" name="WORDNUMPAGES">
    <vt:lpwstr>20</vt:lpwstr>
  </property>
</Properties>
</file>