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6009/19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עלאא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ביידון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385" w:hRule="atLeast"/>
        </w:trPr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13.08.2019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71409-05-19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: </w:t>
        <w:tab/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באלול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/>
        <w:t>25.9.2019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בשם 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צבי קלנג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; </w:t>
            </w: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אורי שפאר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  <w:bookmarkStart w:id="3" w:name="FirstLawyer"/>
            <w:bookmarkStart w:id="4" w:name="FirstLawyer"/>
            <w:bookmarkEnd w:id="4"/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מורן פולמן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בתוספת הראשונה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השנייה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 דחה את הערעור בכפוף לאמור לעיל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דרישת המידתיות מחייבת כי בשלב החילוט הזמני יינקטו אמצעים שפגיעתם פחותה לשם הבטחת החילוט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כן יש להעדיף צו למתן ערבויות או צווי מניעה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פני תפיסה בעין של רכוש הדרוש לפעילות עסקית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בהתאם לכך נדרשת אבחנה בענייננו בין תפיסת המלאי העסקי בחנות העתיקות של המערער לבין שאר מרכיבי הצו מושא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הצדדים למצות את בחינת האפשרות לשחרור המלאי העסקי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‏–‏ חילוט ‏–‏ צו זמני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מחוזי בה התקבלה בקשת המדינה למתן צווים זמניים לפי </w:t>
      </w:r>
      <w:hyperlink r:id="rId23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23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לחוק איסור הלבנת הון </w:t>
      </w:r>
      <w:hyperlink r:id="rId24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וסעיף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36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ו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hyperlink r:id="rId25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המסוכנים</w:t>
        </w:r>
      </w:hyperlink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[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נוסח חדש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],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לחילוט רכושו של המערער עד להכרעה בהליך הפלילי המתנהל נגדו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רקע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הינו סוחר עתיקות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כתב האישום מייחס למערער עבירות של זיוף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שימוש במסמך מזויף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ניסיון לקבלת דבר במרמה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ועבירות מס והלבנת הון וזאת במסגרת עסקת תיווך שביצע לכאורה לרכישת עתיקות מעירק עבור חברה אמריקאית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הובי לובי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וזאת על אף שהמערער ידע כי חל איסור על ייצוא עתיקות מעירק לארה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 ולכן ביצועה של עסקה זו תלוי בזיוף מסמכים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 כתב האישום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בתמורה לחלקו בעסקה שולם למערער סכום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400,000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דולר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הועבר לבקשתו לחשבון בשוויץ שעל קיומו לא דיווח לרשויות הישראליות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השופט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מזוז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בעיקרו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hyperlink r:id="rId26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21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hyperlink r:id="rId27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איסור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הלבנת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הון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מסמיך את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להורות על חילוט רכושו של אדם שהורשע בעבירה לפי </w:t>
      </w:r>
      <w:hyperlink r:id="rId28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3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או </w:t>
      </w:r>
      <w:hyperlink r:id="rId29"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4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בשווי של רכוש שנעברה בו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 רכוש ששימש לביצועה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שאיפשר את ביצועה או שיועד לכך וכן של רכוש שהושג כשכר העבירה או כתוצאה מביצועה או שיועד לכך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hyperlink r:id="rId30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23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לחוק מחיל את הסדר החילוט הקבוע </w:t>
      </w:r>
      <w:hyperlink r:id="rId31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בסעיפים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36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ג</w:t>
        </w:r>
      </w:hyperlink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hyperlink r:id="rId32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עד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36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י</w:t>
        </w:r>
      </w:hyperlink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ל</w:t>
      </w:r>
      <w:hyperlink r:id="rId33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המסוכנים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בשינויים המחויבים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עבירות הלבנת הון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ובכלל זה </w:t>
      </w:r>
      <w:hyperlink r:id="rId34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</w:rPr>
          <w:t>36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ו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לפקודה שעניינו בסעדים זמניים להבטחת מימוש החילוט בסיום ההליך הפלילי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תכליתו של סעד זמני כאמור הינה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לשמר את מצבת נכסיו של הנאשם ולמנוע הברחתם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באופן שאם יורשע בסופו של הליך ויינתן צו חילוט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ניתן יהא לבצע את הצו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בשלב הדיון בבקשה למתן צו חילוט זמני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בדומה לדיון בעניין מעצרו של נאשם עד לתום הליכים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נדרש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לבחון אם קיימת תשתית ראייתית מספקת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 ההלכה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לבחון את דיות הראיות במישור הלכאורי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ולהשתכנע כי קיים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פוטנציאל חילוט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במובן זה שהראיות לכאורה מקימות סיכוי סביר לכך שבתום ההליך הפלילי יורשע הנאשם בעבירות המיוחסות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בעקבות אותה הרשעה ניתן יהיה להורות על חילוט רכושו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הובהר בעניין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שאלות של מהימנות ומשקל אין להן ככלל משקל של ממש בשלב בחינתן של הראיות הלכאוריות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, 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פרט למקרים נדירים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שבהם חוסר המהימנות זועק מן הראיה ונוטל ממנה לחלוטין את כוחה בתור שכזאת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או שמדובר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בפירכות מהותיות וגלויות לעין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 הפגיעה הגלומה במתן הצו הזמני בקניינו של אדם קודם להרשעתו בדין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בשעה שעדיין עומדת לו חזקת החפות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הוסיפה הפסיקה לתנאים המגבשים את אפשרות מתן הצו את דרישת המידתיות פיה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 הניתן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לנקוט באמצעים חלופיים לתפיסת הרכוש שפגיעתם בקניינו של הנאשם פחותה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ולהעדיפם על פני סעד של תפיסת הרכוש והחזקתו עד תום ההליך המשפטי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הטענה המרכזית בערעור לעניין פוטנציאל החילוט שנקבע בהחלטתו של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הינה כי עובדות כתב האישום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עליהן הצדדים אינם חלוקים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אינן מגלות עבירה של ניסיון לקבלת דבר במרמה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ומשכך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אין בנמצא ראיות לכאורה להוכחת עבירת מקור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וממילא אין רכוש אסור ואין עבירה של הלבנת הון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סבור כי מעשיו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כפי שתוארו בכתב האישום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מהווים הכנה בלבד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ואילו המדינה סבורה כי הם עולים כדי עבירת הניסיון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השופט מזוז סבור כי דינה של טענת המערער בנקודה זו להתברר בהליך העיקרי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עניינו של המערער טעון בירור עובדתי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שיש לו השלכות משפטיות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מקומו בהליך העיקרי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הוער בהקשר זה כי הצורך בבחינה זהירה של המסכת העובדתית במסגרת ההליך העיקרי בולט בענייננו נוכח העובדה שקיימות בפסיקה גישות שונות בהתייחסות לעבירת הניסיון וגבולותיה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ובאשר לתיחום בינה לבין מעשי הכנה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סוגיה נוספת שעלתה בערעור אשר מקומה בהליך העיקרי נוגעת לטענה בדבר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כפל חילוט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 חילוט העתיקות בהליך האזרחי המתנהל נגד הובי לובי בארה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לעמדת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היחס בין ההליך האזרחי המתנהל נגד הובי לובי בארה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 לבין ההליך הפלילי המתנהל נגד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העומד ביסוד טענתו בהקשר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דורש בירור מעמיק יותר הנוגע בין היתר לדין הזר ולמהות ההליך האזרחי שננקט בארה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לטענות המערער לענין הגנה מן הצדק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אינו סבור כי העובדה שלא נתפסו נכסים של מעורבים אחרים בפרשה מקימה למערער הגנה מן הצדק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שכן המדינה נקטה בהליך לתפיסת נכסים גם של אלה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ואולם נמצא כי הנכסים שנתפסו אינם שייכים להם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לטוענים לזכות בהם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לכך יש להוסיף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מכל מקום כל אחד מהשותפים לביצוע העבירה הינו 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חילוט על מלוא ערכה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לבסוף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באשר לטענת המערער באשר למידתיות הצו שניתן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כמצוין כבר לעיל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דרישת המידתיות מחייבת כי בשלב החילוט הזמני יינקטו אמצעים שפגיעתם פחותה לשם הבטחת החילוט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כן יש להעדיף כאמור צו למתן ערבויות או צווי מניעה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פני תפיסה בעין של רכוש הדרוש לפעילות עסקית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בהתאם לכך נדרשת אבחנה בענייננו בין תפיסת המלאי העסקי בחנות העתיקות של המערער לבין שאר מרכיבי הצו מושא הערעור כמפורט לעיל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 על הצדדים למצות את בחינת האפשרות לשחרור המלאי העסקי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בכפוף להפקדת ערבויות מתאימות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ידי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כל חלופה הולמת אחרת לתפיסת המלאי העסקי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 שלא יימצא פתרון מוסכם כאמור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יהא המערער רשאי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בתום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ימים מיום מתן פסק דין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לשוב ולפנות לביהמ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בבקשה לעיון חוזר בהחלטתו לענין המלאי העסקי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  <w:bookmarkStart w:id="13" w:name="Start_Write"/>
      <w:bookmarkStart w:id="14" w:name="Writer_Name"/>
      <w:bookmarkStart w:id="15" w:name="Start_Write"/>
      <w:bookmarkStart w:id="16" w:name="Writer_Name"/>
      <w:bookmarkEnd w:id="15"/>
      <w:bookmarkEnd w:id="16"/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ערעור לפי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הון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איסור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הלבנת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הון</w:t>
      </w:r>
      <w:r>
        <w:rPr>
          <w:rFonts w:ascii="Times New Roman;Times New Roman" w:hAnsi="Times New Roman;Times New Roman" w:cs="Times New Roman;Times New Roman"/>
          <w:rtl w:val="true"/>
        </w:rPr>
        <w:t xml:space="preserve"> או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Times New Roman;Times New Roman" w:ascii="Times New Roman;Times New Roman" w:hAnsi="Times New Roman;Times New Roman"/>
          <w:rtl w:val="true"/>
        </w:rPr>
        <w:t xml:space="preserve">) 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המסוכנים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חדש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המסוכנים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על החלטת בית המשפט המחוזי בירושלים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13.8.2019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בה התקבלה בקשת המדינה למתן צווים זמניים לפי 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לפקודה לחילוט רכושו של המערער עד להכרעה בהליך הפלילי המתנהל נגדו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71370-05-19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זמני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ברכוש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המערער ושלושה אחרים הוגש כתב אישום בבית המשפט המחוזי בירושלים בו מיוחסות למערער עבירות של זיוף בנסיבות מחמירות</w:t>
      </w:r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>ניסיון לקבלת דבר במרמה</w:t>
      </w:r>
      <w:r>
        <w:rPr>
          <w:rtl w:val="true"/>
        </w:rPr>
        <w:t xml:space="preserve">, </w:t>
      </w:r>
      <w:r>
        <w:rPr>
          <w:rtl w:val="true"/>
        </w:rPr>
        <w:t>ועבירות מס והלבנת הון</w:t>
      </w:r>
      <w:r>
        <w:rPr>
          <w:rtl w:val="true"/>
        </w:rPr>
        <w:t xml:space="preserve">. </w:t>
      </w:r>
      <w:r>
        <w:rPr>
          <w:rtl w:val="true"/>
        </w:rPr>
        <w:t>בקצרה ייאמר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הינו סוחר עתיקות מוכר משנת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 xml:space="preserve">אשר בין לקוחותיו הייתה חברה אמריקאית בשם </w:t>
      </w:r>
      <w:r>
        <w:rPr>
          <w:rtl w:val="true"/>
        </w:rPr>
        <w:t>"</w:t>
      </w:r>
      <w:r>
        <w:rPr>
          <w:rtl w:val="true"/>
        </w:rPr>
        <w:t>הובי לובי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לובי</w:t>
      </w:r>
      <w:r>
        <w:rPr>
          <w:rtl w:val="true"/>
        </w:rPr>
        <w:t xml:space="preserve">) </w:t>
      </w:r>
      <w:r>
        <w:rPr>
          <w:rtl w:val="true"/>
        </w:rPr>
        <w:t xml:space="preserve">שבבעלותו של סטיב גרין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גרין</w:t>
      </w:r>
      <w:r>
        <w:rPr>
          <w:rtl w:val="true"/>
        </w:rPr>
        <w:t xml:space="preserve">). </w:t>
      </w:r>
      <w:r>
        <w:rPr>
          <w:rtl w:val="true"/>
        </w:rPr>
        <w:t xml:space="preserve">בשנת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פנתה הובי לובי למערער על מנת שיתווך עבורה בעסקת רכישת עתיקות מעירק למוזיאון שבכוונתה להקים בעיר וושינגטון 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המערער וגרין ידעו כי חל איסור על ייצוא עתיקות מעירק לארה</w:t>
      </w:r>
      <w:r>
        <w:rPr>
          <w:rtl w:val="true"/>
        </w:rPr>
        <w:t>"</w:t>
      </w:r>
      <w:r>
        <w:rPr>
          <w:rtl w:val="true"/>
        </w:rPr>
        <w:t>ב ולכן ביצועה של עסקה זו תלוי בזיוף מסמכים המקנים לעתיקות אילן יוחסין המאפשר לייבאן לארה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פרוביננס</w:t>
      </w:r>
      <w:r>
        <w:rPr>
          <w:rtl w:val="true"/>
        </w:rPr>
        <w:t xml:space="preserve">).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 xml:space="preserve">תיווך המערער בשנת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יחד עם אחרים</w:t>
      </w:r>
      <w:r>
        <w:rPr>
          <w:rtl w:val="true"/>
        </w:rPr>
        <w:t xml:space="preserve">, </w:t>
      </w:r>
      <w:r>
        <w:rPr>
          <w:rtl w:val="true"/>
        </w:rPr>
        <w:t xml:space="preserve">בעסקה במסגרתה רכשה חברת הובי לובי פרטי עתיקות ממוכרים בדובאי ביודעו כי מקור העתיקות בעירק בתמורה לסכום של </w:t>
      </w:r>
      <w:r>
        <w:rPr/>
        <w:t>1.6</w:t>
      </w:r>
      <w:r>
        <w:rPr>
          <w:rtl w:val="true"/>
        </w:rPr>
        <w:t xml:space="preserve"> </w:t>
      </w:r>
      <w:r>
        <w:rPr>
          <w:rtl w:val="true"/>
        </w:rPr>
        <w:t>מיליון דולר</w:t>
      </w:r>
      <w:r>
        <w:rPr>
          <w:rtl w:val="true"/>
        </w:rPr>
        <w:t xml:space="preserve">. </w:t>
      </w:r>
      <w:r>
        <w:rPr>
          <w:rtl w:val="true"/>
        </w:rPr>
        <w:t>על מנת שהעסקה תבוצע</w:t>
      </w:r>
      <w:r>
        <w:rPr>
          <w:rtl w:val="true"/>
        </w:rPr>
        <w:t xml:space="preserve">, </w:t>
      </w:r>
      <w:r>
        <w:rPr>
          <w:rtl w:val="true"/>
        </w:rPr>
        <w:t>הזמין המערער</w:t>
      </w:r>
      <w:r>
        <w:rPr>
          <w:rtl w:val="true"/>
        </w:rPr>
        <w:t xml:space="preserve">, </w:t>
      </w:r>
      <w:r>
        <w:rPr>
          <w:rtl w:val="true"/>
        </w:rPr>
        <w:t>לבקשת נציגי הובי לובי</w:t>
      </w:r>
      <w:r>
        <w:rPr>
          <w:rtl w:val="true"/>
        </w:rPr>
        <w:t xml:space="preserve">, </w:t>
      </w:r>
      <w:r>
        <w:rPr>
          <w:rtl w:val="true"/>
        </w:rPr>
        <w:t>פרובננס מזויף מאברהים חרוב ומטאהר ברכאת</w:t>
      </w:r>
      <w:r>
        <w:rPr>
          <w:rtl w:val="true"/>
        </w:rPr>
        <w:t xml:space="preserve">, </w:t>
      </w:r>
      <w:r>
        <w:rPr>
          <w:rtl w:val="true"/>
        </w:rPr>
        <w:t>סוחרי עתיקות ישראליים</w:t>
      </w:r>
      <w:r>
        <w:rPr>
          <w:rtl w:val="true"/>
        </w:rPr>
        <w:t xml:space="preserve">. </w:t>
      </w:r>
      <w:r>
        <w:rPr>
          <w:rtl w:val="true"/>
        </w:rPr>
        <w:t>המערער העביר לנציגי הובי לובי את הפרוביננס המזויף שהעבירו השניים לידיו</w:t>
      </w:r>
      <w:r>
        <w:rPr>
          <w:rtl w:val="true"/>
        </w:rPr>
        <w:t xml:space="preserve">, </w:t>
      </w:r>
      <w:r>
        <w:rPr>
          <w:rtl w:val="true"/>
        </w:rPr>
        <w:t>לפיו מקור העתיקות בישראל</w:t>
      </w:r>
      <w:r>
        <w:rPr>
          <w:rtl w:val="true"/>
        </w:rPr>
        <w:t xml:space="preserve">, </w:t>
      </w:r>
      <w:r>
        <w:rPr>
          <w:rtl w:val="true"/>
        </w:rPr>
        <w:t>והם הועברו לארה</w:t>
      </w:r>
      <w:r>
        <w:rPr>
          <w:rtl w:val="true"/>
        </w:rPr>
        <w:t>"</w:t>
      </w:r>
      <w:r>
        <w:rPr>
          <w:rtl w:val="true"/>
        </w:rPr>
        <w:t>ב בשנות ה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של המאה ה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על מנת להסוות את הצדדים לעסקה</w:t>
      </w:r>
      <w:r>
        <w:rPr>
          <w:rtl w:val="true"/>
        </w:rPr>
        <w:t xml:space="preserve">, </w:t>
      </w:r>
      <w:r>
        <w:rPr>
          <w:rtl w:val="true"/>
        </w:rPr>
        <w:t>יעד העברת הכספים</w:t>
      </w:r>
      <w:r>
        <w:rPr>
          <w:rtl w:val="true"/>
        </w:rPr>
        <w:t xml:space="preserve">, </w:t>
      </w:r>
      <w:r>
        <w:rPr>
          <w:rtl w:val="true"/>
        </w:rPr>
        <w:t>זהות בעלי הזכויות בהם</w:t>
      </w:r>
      <w:r>
        <w:rPr>
          <w:rtl w:val="true"/>
        </w:rPr>
        <w:t xml:space="preserve">, </w:t>
      </w:r>
      <w:r>
        <w:rPr>
          <w:rtl w:val="true"/>
        </w:rPr>
        <w:t>מיקומם ועשיית הפעולות בהם</w:t>
      </w:r>
      <w:r>
        <w:rPr>
          <w:rtl w:val="true"/>
        </w:rPr>
        <w:t xml:space="preserve">, </w:t>
      </w:r>
      <w:r>
        <w:rPr>
          <w:rtl w:val="true"/>
        </w:rPr>
        <w:t xml:space="preserve">הוציא המערער חשבוניות מס מזויפות בסכום של </w:t>
      </w:r>
      <w:r>
        <w:rPr/>
        <w:t>1.6</w:t>
      </w:r>
      <w:r>
        <w:rPr>
          <w:rtl w:val="true"/>
        </w:rPr>
        <w:t xml:space="preserve"> </w:t>
      </w:r>
      <w:r>
        <w:rPr>
          <w:rtl w:val="true"/>
        </w:rPr>
        <w:t>מיליון דולר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בתמורה לחלקו בעסקה שילמה הובי לובי למערער סכום של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אשר הועבר לבקשתו לחשבון בשוויץ שעל קיומו לא דיווח לרשויות הישראליות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עם הגשת כתב האישום הגישה המדינה </w:t>
      </w:r>
      <w:r>
        <w:rPr>
          <w:rtl w:val="true"/>
        </w:rPr>
        <w:t>"</w:t>
      </w:r>
      <w:r>
        <w:rPr>
          <w:rtl w:val="true"/>
        </w:rPr>
        <w:t>בקשה לסעדים זמניים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בה עתרה למתן צווים זמניים בנוגע לרכוש אשר חילוטו נדרש בכתב האישום</w:t>
      </w:r>
      <w:r>
        <w:rPr>
          <w:rtl w:val="true"/>
        </w:rPr>
        <w:t xml:space="preserve">, </w:t>
      </w:r>
      <w:r>
        <w:rPr>
          <w:rtl w:val="true"/>
        </w:rPr>
        <w:t>הכוללים בתמצית</w:t>
      </w:r>
      <w:r>
        <w:rPr>
          <w:rtl w:val="true"/>
        </w:rPr>
        <w:t xml:space="preserve">: </w:t>
      </w:r>
      <w:r>
        <w:rPr>
          <w:rtl w:val="true"/>
        </w:rPr>
        <w:t xml:space="preserve">איסור דיספוזיציה במניות חברת </w:t>
      </w:r>
      <w:r>
        <w:rPr>
          <w:rtl w:val="true"/>
        </w:rPr>
        <w:t>"</w:t>
      </w:r>
      <w:r>
        <w:rPr>
          <w:rtl w:val="true"/>
        </w:rPr>
        <w:t>ביידון ארט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ביידון</w:t>
      </w:r>
      <w:r>
        <w:rPr>
          <w:rtl w:val="true"/>
        </w:rPr>
        <w:t xml:space="preserve">) </w:t>
      </w:r>
      <w:r>
        <w:rPr>
          <w:rtl w:val="true"/>
        </w:rPr>
        <w:t>אשר מצויה בבעלות מלאה של המערער</w:t>
      </w:r>
      <w:r>
        <w:rPr>
          <w:rtl w:val="true"/>
        </w:rPr>
        <w:t xml:space="preserve">; </w:t>
      </w:r>
      <w:r>
        <w:rPr>
          <w:rtl w:val="true"/>
        </w:rPr>
        <w:t xml:space="preserve">המשך איסור דיספוזיציה ברכב מסוג אאודי </w:t>
      </w:r>
      <w:r>
        <w:rPr>
          <w:rFonts w:cs="Calibri" w:ascii="Calibri" w:hAnsi="Calibri"/>
        </w:rPr>
        <w:t>Q7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3198212</w:t>
      </w:r>
      <w:r>
        <w:rPr>
          <w:rtl w:val="true"/>
        </w:rPr>
        <w:t xml:space="preserve"> </w:t>
      </w:r>
      <w:r>
        <w:rPr>
          <w:rtl w:val="true"/>
        </w:rPr>
        <w:t xml:space="preserve">הרשום על שם חברת ביידון והמשך החזקת </w:t>
      </w:r>
      <w:r>
        <w:rPr/>
        <w:t>50,000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 להבטחת כיסוי ירידת הערך והמשך שיעבוד הביטוח המקיף של הרכב לטובת יחידת החילוט באפוטרופוס הכללי</w:t>
      </w:r>
      <w:r>
        <w:rPr>
          <w:rtl w:val="true"/>
        </w:rPr>
        <w:t xml:space="preserve">; </w:t>
      </w:r>
      <w:r>
        <w:rPr>
          <w:rtl w:val="true"/>
        </w:rPr>
        <w:t>המשך תפיסת מלאי של חנות עתיקות ברחוב ויה דולורוזה בירושלים</w:t>
      </w:r>
      <w:r>
        <w:rPr>
          <w:rtl w:val="true"/>
        </w:rPr>
        <w:t xml:space="preserve">, </w:t>
      </w:r>
      <w:r>
        <w:rPr>
          <w:rtl w:val="true"/>
        </w:rPr>
        <w:t>השייכת לחברת ביידון</w:t>
      </w:r>
      <w:r>
        <w:rPr>
          <w:rtl w:val="true"/>
        </w:rPr>
        <w:t xml:space="preserve">; </w:t>
      </w:r>
      <w:r>
        <w:rPr>
          <w:rtl w:val="true"/>
        </w:rPr>
        <w:t xml:space="preserve">איסור דיספוזיציה וביצוע כל פעולה העלולה להקטין את שווי הנכסים הכולל בחשבון בבנק הפועלים סניף </w:t>
      </w:r>
      <w:r>
        <w:rPr/>
        <w:t>699</w:t>
      </w:r>
      <w:r>
        <w:rPr>
          <w:rtl w:val="true"/>
        </w:rPr>
        <w:t xml:space="preserve"> </w:t>
      </w:r>
      <w:r>
        <w:rPr>
          <w:rtl w:val="true"/>
        </w:rPr>
        <w:t xml:space="preserve">שמספרו </w:t>
      </w:r>
      <w:r>
        <w:rPr/>
        <w:t>430828</w:t>
      </w:r>
      <w:r>
        <w:rPr>
          <w:rtl w:val="true"/>
        </w:rPr>
        <w:t xml:space="preserve"> </w:t>
      </w:r>
      <w:r>
        <w:rPr>
          <w:rtl w:val="true"/>
        </w:rPr>
        <w:t>על שם חברת ביידון</w:t>
      </w:r>
      <w:r>
        <w:rPr>
          <w:rtl w:val="true"/>
        </w:rPr>
        <w:t xml:space="preserve">, </w:t>
      </w:r>
      <w:r>
        <w:rPr>
          <w:rtl w:val="true"/>
        </w:rPr>
        <w:t xml:space="preserve">או לחלופין להורות על העברת כלל היתרות בחשבון הבנק לחשבון יחידת החילוט באפוטרופוס הכללי </w:t>
      </w:r>
      <w:r>
        <w:rPr>
          <w:rtl w:val="true"/>
        </w:rPr>
        <w:t>(</w:t>
      </w:r>
      <w:r>
        <w:rPr>
          <w:rtl w:val="true"/>
        </w:rPr>
        <w:t>מוערך בסכום כולל של כ</w:t>
      </w:r>
      <w:r>
        <w:rPr>
          <w:rtl w:val="true"/>
        </w:rPr>
        <w:t xml:space="preserve">- </w:t>
      </w:r>
      <w:r>
        <w:rPr/>
        <w:t>202,253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קיים דיון במעמד הצדדים בבקשה האמורה ובהחלטה מיום </w:t>
      </w:r>
      <w:r>
        <w:rPr/>
        <w:t>13.8.2019</w:t>
      </w:r>
      <w:r>
        <w:rPr>
          <w:rtl w:val="true"/>
        </w:rPr>
        <w:t xml:space="preserve"> </w:t>
      </w:r>
      <w:r>
        <w:rPr>
          <w:rtl w:val="true"/>
        </w:rPr>
        <w:t>נעתר לבקשה במלואה</w:t>
      </w:r>
      <w:r>
        <w:rPr>
          <w:rtl w:val="true"/>
        </w:rPr>
        <w:t xml:space="preserve">. </w:t>
      </w:r>
      <w:r>
        <w:rPr>
          <w:rtl w:val="true"/>
        </w:rPr>
        <w:t xml:space="preserve">בפתח הדברים ציין בית המשפט כי לאחר שאדם מורשע בעבירה לפי </w:t>
      </w:r>
      <w:hyperlink r:id="rId4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46"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מוסמך בית המשפט לצוות בהתאם </w:t>
      </w:r>
      <w:hyperlink r:id="rId4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לחוק כי בנוסף על כל עונש שיוטל עליו יחולט רכושו בשווי הרכוש שבו נעברה העבירה או שאיפשר את ביצועה</w:t>
      </w:r>
      <w:r>
        <w:rPr>
          <w:rtl w:val="true"/>
        </w:rPr>
        <w:t xml:space="preserve">, </w:t>
      </w:r>
      <w:r>
        <w:rPr>
          <w:rtl w:val="true"/>
        </w:rPr>
        <w:t>או בשווי הרכוש שהושג כשכר העבירה או כתוצאה מביצועה</w:t>
      </w:r>
      <w:r>
        <w:rPr>
          <w:rtl w:val="true"/>
        </w:rPr>
        <w:t xml:space="preserve">. </w:t>
      </w:r>
      <w:r>
        <w:rPr>
          <w:rtl w:val="true"/>
        </w:rPr>
        <w:t xml:space="preserve">רשימת עבירות המקור הרלבנטיות לעניין </w:t>
      </w:r>
      <w:hyperlink r:id="rId4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0"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מפורטת </w:t>
      </w:r>
      <w:hyperlink r:id="rId52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53"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וציין כי </w:t>
      </w:r>
      <w:r>
        <w:rPr>
          <w:rtl w:val="true"/>
        </w:rPr>
        <w:t>"</w:t>
      </w:r>
      <w:r>
        <w:rPr>
          <w:rtl w:val="true"/>
        </w:rPr>
        <w:t>דנים אנו בתפיסת רכוש לאחר הגשת כתב אישום</w:t>
      </w:r>
      <w:r>
        <w:rPr>
          <w:rtl w:val="true"/>
        </w:rPr>
        <w:t xml:space="preserve">", </w:t>
      </w:r>
      <w:r>
        <w:rPr>
          <w:rtl w:val="true"/>
        </w:rPr>
        <w:t xml:space="preserve">כך שיש לבחון האם קיימות ראיות לכאורה לביצוען של עבירות לפי </w:t>
      </w:r>
      <w:hyperlink r:id="rId5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5"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כך צוין</w:t>
      </w:r>
      <w:r>
        <w:rPr>
          <w:rtl w:val="true"/>
        </w:rPr>
        <w:t>, "</w:t>
      </w:r>
      <w:r>
        <w:rPr>
          <w:rtl w:val="true"/>
        </w:rPr>
        <w:t>לא קיימת מחלוקת לכך שקיימות ראיות לכאורה לקיומן של יסודות העבירות הקושרות את המשיב לביצוע מעשי העבירות</w:t>
      </w:r>
      <w:r>
        <w:rPr>
          <w:rtl w:val="true"/>
        </w:rPr>
        <w:t xml:space="preserve">", </w:t>
      </w:r>
      <w:r>
        <w:rPr>
          <w:rtl w:val="true"/>
        </w:rPr>
        <w:t xml:space="preserve">אלא אך בשאלה האם ישנן ראיות לכך שבוצעו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של זיוף </w:t>
      </w:r>
      <w:r>
        <w:rPr>
          <w:rtl w:val="true"/>
        </w:rPr>
        <w:t xml:space="preserve">/ </w:t>
      </w:r>
      <w:r>
        <w:rPr>
          <w:rtl w:val="true"/>
        </w:rPr>
        <w:t xml:space="preserve">שימוש במסמך מזויף </w:t>
      </w:r>
      <w:r>
        <w:rPr>
          <w:rtl w:val="true"/>
        </w:rPr>
        <w:t xml:space="preserve">/ </w:t>
      </w:r>
      <w:r>
        <w:rPr>
          <w:rtl w:val="true"/>
        </w:rPr>
        <w:t>ניסיון לקבלת דבר במרמה בנסיבות מחמירות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בית המשפט השיב על שאלה זו בחיוב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נקבע כי הראיות לכאורה העולות מהתיק מצביעות על חשבונית מס ופרוביננס מזויפים ביחס לייבוא נכסי עתיקות של המערער לארה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ב ועל כך שהמערער ידע על ייבואם מעירק לארה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ב והיה שותף לדבר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על אף ההוראות המכסיות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בין היתר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הדבר נלמד מהודעת המערער במשטרה בה מסר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בגלל שהסחורה באה מדובאי סטיב גרין רצה אישורים</w:t>
      </w:r>
      <w:r>
        <w:rPr>
          <w:rFonts w:cs="Garamond" w:ascii="Garamond" w:hAnsi="Garamond"/>
          <w:sz w:val="24"/>
          <w:rtl w:val="true"/>
        </w:rPr>
        <w:t xml:space="preserve">"; </w:t>
      </w:r>
      <w:r>
        <w:rPr>
          <w:rFonts w:ascii="Garamond" w:hAnsi="Garamond" w:cs="Garamond"/>
          <w:sz w:val="24"/>
          <w:sz w:val="24"/>
          <w:rtl w:val="true"/>
        </w:rPr>
        <w:t>מדו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ח העימות בין המערער לבין איברהים חרוב שהעלה כי המערער היה מתווך בעסקה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 xml:space="preserve">ומהודעתו של ברכאת טאהר במשטרה בה מסר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כשהקריאו לי את השמות בחקירה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אחרי החקירה האחים חרוב אמרו לי אנחנו לא עשינו כלום בעסקה הכל זה עלא ביידון עשה</w:t>
      </w:r>
      <w:r>
        <w:rPr>
          <w:rFonts w:cs="Garamond" w:ascii="Garamond" w:hAnsi="Garamond"/>
          <w:sz w:val="24"/>
          <w:rtl w:val="true"/>
        </w:rPr>
        <w:t xml:space="preserve">". </w:t>
      </w:r>
      <w:r>
        <w:rPr>
          <w:rFonts w:ascii="Garamond" w:hAnsi="Garamond" w:cs="Garamond"/>
          <w:sz w:val="24"/>
          <w:sz w:val="24"/>
          <w:rtl w:val="true"/>
        </w:rPr>
        <w:t>בית המשפט ציין כי מקומן של שאלות בדבר מהימנותם של העדים או משקלן של הראיות הוא במסגרת ההליך העיקרי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וכך גם הטענה בדבר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כפל חילוט</w:t>
      </w:r>
      <w:r>
        <w:rPr>
          <w:rFonts w:cs="Garamond" w:ascii="Garamond" w:hAnsi="Garamond"/>
          <w:sz w:val="24"/>
          <w:rtl w:val="true"/>
        </w:rPr>
        <w:t xml:space="preserve">" </w:t>
      </w:r>
      <w:r>
        <w:rPr>
          <w:rFonts w:ascii="Garamond" w:hAnsi="Garamond" w:cs="Garamond"/>
          <w:sz w:val="24"/>
          <w:sz w:val="24"/>
          <w:rtl w:val="true"/>
        </w:rPr>
        <w:t>לאור חילוט נכסיה של הובי לובי שהעלה המערער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בהקשר אחרון זה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הוער כי ענייננו אינו דומה לנדון בהחלטה ב</w:t>
      </w:r>
      <w:hyperlink r:id="rId57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6145/15</w:t>
        </w:r>
      </w:hyperlink>
      <w:r>
        <w:rPr>
          <w:rFonts w:cs="FrankRuehl" w:ascii="FrankRuehl" w:hAnsi="FrankRuehl"/>
          <w:color w:val="000000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25.10.2015</w:t>
      </w:r>
      <w:r>
        <w:rPr>
          <w:rFonts w:cs="Garamond" w:ascii="Garamond" w:hAnsi="Garamond"/>
          <w:sz w:val="24"/>
          <w:rtl w:val="true"/>
        </w:rPr>
        <w:t>) (</w:t>
      </w:r>
      <w:r>
        <w:rPr>
          <w:rFonts w:ascii="Garamond" w:hAnsi="Garamond" w:cs="Garamond"/>
          <w:sz w:val="24"/>
          <w:sz w:val="24"/>
          <w:rtl w:val="true"/>
        </w:rPr>
        <w:t>להלן</w:t>
      </w:r>
      <w:r>
        <w:rPr>
          <w:rFonts w:cs="Garamond" w:ascii="Garamond" w:hAnsi="Garamond"/>
          <w:sz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אליו הפנה המערער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בדומה צוין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לצורך קביעה האם מדובר בעבירת ניסיון לקבלת דבר במרמה או רק בהכנה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יש צורך בקביעת עובדות בהליך העיקרי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בהתייחס לטענה כי עבירת ניסיון אינה יכולה להוות עבירת מקור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צוין כי לשלב ראשוני זה של הדיון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די בכך שהחוק קובע דין אחד לעבירת הניסיון ולעבירה המושלמת מלבד אם נאמר בחיקוק או משתמע ממנו אחרת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לאחר מכן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נפנה בית המשפט לבחון האם קיימות ראיות לכאורה לביצוע העבירות של הלבנת הון לפי </w:t>
      </w:r>
      <w:hyperlink r:id="rId58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סעיפים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3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ו</w:t>
      </w:r>
      <w:r>
        <w:rPr>
          <w:rFonts w:cs="Garamond" w:ascii="Garamond" w:hAnsi="Garamond"/>
          <w:sz w:val="24"/>
          <w:rtl w:val="true"/>
        </w:rPr>
        <w:t>-</w:t>
      </w:r>
      <w:hyperlink r:id="rId59"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4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</w:t>
      </w:r>
      <w:hyperlink r:id="rId60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איסור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הלבנת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הון</w:t>
        </w:r>
      </w:hyperlink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והשיב אף על כך בחיוב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נקבע כי המערער זייף מסמכים בתחכום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במטרה לשוות לעסקת הסחר בעתיקות לחברת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הובי לובי</w:t>
      </w:r>
      <w:r>
        <w:rPr>
          <w:rFonts w:cs="Garamond" w:ascii="Garamond" w:hAnsi="Garamond"/>
          <w:sz w:val="24"/>
          <w:rtl w:val="true"/>
        </w:rPr>
        <w:t xml:space="preserve">" </w:t>
      </w:r>
      <w:r>
        <w:rPr>
          <w:rFonts w:ascii="Garamond" w:hAnsi="Garamond" w:cs="Garamond"/>
          <w:sz w:val="24"/>
          <w:sz w:val="24"/>
          <w:rtl w:val="true"/>
        </w:rPr>
        <w:t>אופי לגיטימי על מנת ליהנות מפירות הרכוש האסור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כאשר ידע לכאורה את מוצא העתיקות וכי תוכן המסמכים שקרי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eastAsia="Garamond" w:cs="Garamond" w:ascii="Garamond" w:hAnsi="Garamond"/>
          <w:sz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b/>
          <w:spacing w:val="0"/>
          <w:sz w:val="34"/>
          <w:szCs w:val="30"/>
        </w:rPr>
      </w:pPr>
      <w:r>
        <w:rPr>
          <w:rFonts w:cs="Miriam" w:ascii="Times New Roman;Times New Roman" w:hAnsi="Times New Roman;Times New Roman"/>
          <w:b/>
          <w:spacing w:val="0"/>
          <w:sz w:val="34"/>
          <w:szCs w:val="3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הערעור עותר המערער לביטול הצווים הזמניים עליהם הורה בית משפט קמא והחזרת הרכוש שנתפס לידיו</w:t>
      </w:r>
      <w:r>
        <w:rPr>
          <w:rtl w:val="true"/>
        </w:rPr>
        <w:t xml:space="preserve">. </w:t>
      </w:r>
      <w:r>
        <w:rPr>
          <w:rtl w:val="true"/>
        </w:rPr>
        <w:t>בהתייחס לעבירות הזיוף</w:t>
      </w:r>
      <w:r>
        <w:rPr>
          <w:rtl w:val="true"/>
        </w:rPr>
        <w:t xml:space="preserve">, </w:t>
      </w:r>
      <w:r>
        <w:rPr>
          <w:rtl w:val="true"/>
        </w:rPr>
        <w:t>טוען המערער כי אין מדובר במסמכים מזויפים אלא במסמכים המכילים פרטים כוזבים</w:t>
      </w:r>
      <w:r>
        <w:rPr>
          <w:rtl w:val="true"/>
        </w:rPr>
        <w:t xml:space="preserve">, </w:t>
      </w:r>
      <w:r>
        <w:rPr>
          <w:rtl w:val="true"/>
        </w:rPr>
        <w:t>כך שלא התקיימו עבירות זיוף במה שהוכח לכאורה כדי להוות עבירות מקור</w:t>
      </w:r>
      <w:r>
        <w:rPr>
          <w:rtl w:val="true"/>
        </w:rPr>
        <w:t xml:space="preserve">. </w:t>
      </w:r>
      <w:r>
        <w:rPr>
          <w:rtl w:val="true"/>
        </w:rPr>
        <w:t>אף בהתייחס לעבירה של ניסיון לקבלת דבר במרמה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בקביעתו כי נדרש לשמוע את הראיות בהליך העיקרי על מנת לקבוע את מיקומם של מעשי המערער ואם אכן עברו את שלב ההכנה</w:t>
      </w:r>
      <w:r>
        <w:rPr>
          <w:rtl w:val="true"/>
        </w:rPr>
        <w:t xml:space="preserve">.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>גם אם נקבל את עובדות כתב האישום כנכונות</w:t>
      </w:r>
      <w:r>
        <w:rPr>
          <w:rtl w:val="true"/>
        </w:rPr>
        <w:t xml:space="preserve">, </w:t>
      </w:r>
      <w:r>
        <w:rPr>
          <w:rtl w:val="true"/>
        </w:rPr>
        <w:t>לא נעברה לכאורה עבירת ניסיון</w:t>
      </w:r>
      <w:r>
        <w:rPr>
          <w:rtl w:val="true"/>
        </w:rPr>
        <w:t xml:space="preserve">, </w:t>
      </w:r>
      <w:r>
        <w:rPr>
          <w:rtl w:val="true"/>
        </w:rPr>
        <w:t>ומעשיו מצויים בתחילת שלב ההכנה</w:t>
      </w:r>
      <w:r>
        <w:rPr>
          <w:rtl w:val="true"/>
        </w:rPr>
        <w:t xml:space="preserve">, </w:t>
      </w:r>
      <w:r>
        <w:rPr>
          <w:rtl w:val="true"/>
        </w:rPr>
        <w:t>ממספר נימוקים ובהם</w:t>
      </w:r>
      <w:r>
        <w:rPr>
          <w:rtl w:val="true"/>
        </w:rPr>
        <w:t xml:space="preserve">: </w:t>
      </w:r>
      <w:r>
        <w:rPr>
          <w:rtl w:val="true"/>
        </w:rPr>
        <w:t>כי הייבוא של חלק מהעתיקות לארה</w:t>
      </w:r>
      <w:r>
        <w:rPr>
          <w:rtl w:val="true"/>
        </w:rPr>
        <w:t>"</w:t>
      </w:r>
      <w:r>
        <w:rPr>
          <w:rtl w:val="true"/>
        </w:rPr>
        <w:t>ב הושלם בלא שנעשה שימוש במסמכים שהוכנו בישראל</w:t>
      </w:r>
      <w:r>
        <w:rPr>
          <w:rtl w:val="true"/>
        </w:rPr>
        <w:t xml:space="preserve">; </w:t>
      </w:r>
      <w:r>
        <w:rPr>
          <w:rtl w:val="true"/>
        </w:rPr>
        <w:t xml:space="preserve">כי המעשים נעדרים את אותה </w:t>
      </w:r>
      <w:r>
        <w:rPr>
          <w:rtl w:val="true"/>
        </w:rPr>
        <w:t>"</w:t>
      </w:r>
      <w:r>
        <w:rPr>
          <w:rtl w:val="true"/>
        </w:rPr>
        <w:t>קפיצה איכותית</w:t>
      </w:r>
      <w:r>
        <w:rPr>
          <w:rtl w:val="true"/>
        </w:rPr>
        <w:t xml:space="preserve">" </w:t>
      </w:r>
      <w:r>
        <w:rPr>
          <w:rtl w:val="true"/>
        </w:rPr>
        <w:t>הנדרשת על</w:t>
      </w:r>
      <w:r>
        <w:rPr>
          <w:rtl w:val="true"/>
        </w:rPr>
        <w:t>-</w:t>
      </w:r>
      <w:r>
        <w:rPr>
          <w:rtl w:val="true"/>
        </w:rPr>
        <w:t>פי הפסיקה על מנת להבדיל בין ההכנה לבין הניסיון</w:t>
      </w:r>
      <w:r>
        <w:rPr>
          <w:rtl w:val="true"/>
        </w:rPr>
        <w:t xml:space="preserve">; </w:t>
      </w:r>
      <w:r>
        <w:rPr>
          <w:rtl w:val="true"/>
        </w:rPr>
        <w:t>וכי עם משלוח המסמכים להובי לובי עדיין לא הייתה תכנית מגובשת לגבי הדרך בה אמורה להתבצע העבירה המושלמת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טוען המערער כי לא הוכח לכאורה כי נעברה עבירת ניסיון לקבלת דבר במרמה</w:t>
      </w:r>
      <w:r>
        <w:rPr>
          <w:rtl w:val="true"/>
        </w:rPr>
        <w:t xml:space="preserve">, </w:t>
      </w:r>
      <w:r>
        <w:rPr>
          <w:rtl w:val="true"/>
        </w:rPr>
        <w:t xml:space="preserve">ובהיעדר עבירת מקור </w:t>
      </w:r>
      <w:r>
        <w:rPr>
          <w:rtl w:val="true"/>
        </w:rPr>
        <w:t>–</w:t>
      </w:r>
      <w:r>
        <w:rPr>
          <w:rtl w:val="true"/>
        </w:rPr>
        <w:t xml:space="preserve"> לא קמה סמכות חילוט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טוען כי ראוי לבחון את טענתו לכפל חילוט כבר בשלב זה</w:t>
      </w:r>
      <w:r>
        <w:rPr>
          <w:rtl w:val="true"/>
        </w:rPr>
        <w:t xml:space="preserve">, </w:t>
      </w:r>
      <w:r>
        <w:rPr>
          <w:rtl w:val="true"/>
        </w:rPr>
        <w:t>בהינתן שהמדינה עצמה הגדירה את המערער</w:t>
      </w:r>
      <w:r>
        <w:rPr>
          <w:rtl w:val="true"/>
        </w:rPr>
        <w:t xml:space="preserve">, </w:t>
      </w:r>
      <w:r>
        <w:rPr>
          <w:rtl w:val="true"/>
        </w:rPr>
        <w:t>הנאשמים האחרים ואנשי הובי לובי כמבצעים בצוותא גם בכתב האישום וגם בבקשה לסעדים הזמניים</w:t>
      </w:r>
      <w:r>
        <w:rPr>
          <w:rtl w:val="true"/>
        </w:rPr>
        <w:t xml:space="preserve">, </w:t>
      </w:r>
      <w:r>
        <w:rPr>
          <w:rtl w:val="true"/>
        </w:rPr>
        <w:t>וקיימות ראיות לכך שבמסגרת הסדר אזרחי מול משרד המשפטים האמריקאי חולט רכוש של הובי לובי בסך העולה על שלושה מיליון דולר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 כי בית משפט קמא נמנע מלהחליט בטענות של הגנה מן הצדק שהעלה בפניו המערער</w:t>
      </w:r>
      <w:r>
        <w:rPr>
          <w:rtl w:val="true"/>
        </w:rPr>
        <w:t xml:space="preserve">, </w:t>
      </w:r>
      <w:r>
        <w:rPr>
          <w:rtl w:val="true"/>
        </w:rPr>
        <w:t>שעניינם בטענה כי דווקא המערער</w:t>
      </w:r>
      <w:r>
        <w:rPr>
          <w:rtl w:val="true"/>
        </w:rPr>
        <w:t xml:space="preserve">, </w:t>
      </w:r>
      <w:r>
        <w:rPr>
          <w:rtl w:val="true"/>
        </w:rPr>
        <w:t>שהיה הקטן במבצעים</w:t>
      </w:r>
      <w:r>
        <w:rPr>
          <w:rtl w:val="true"/>
        </w:rPr>
        <w:t xml:space="preserve">, </w:t>
      </w:r>
      <w:r>
        <w:rPr>
          <w:rtl w:val="true"/>
        </w:rPr>
        <w:t>הועמד לדין ועסקיו שותקו</w:t>
      </w:r>
      <w:r>
        <w:rPr>
          <w:rtl w:val="true"/>
        </w:rPr>
        <w:t xml:space="preserve">, </w:t>
      </w:r>
      <w:r>
        <w:rPr>
          <w:rtl w:val="true"/>
        </w:rPr>
        <w:t xml:space="preserve">בעוד שיתר השותפים </w:t>
      </w:r>
      <w:r>
        <w:rPr>
          <w:rtl w:val="true"/>
        </w:rPr>
        <w:t xml:space="preserve">- </w:t>
      </w:r>
      <w:r>
        <w:rPr>
          <w:rtl w:val="true"/>
        </w:rPr>
        <w:t xml:space="preserve">אמריקאים וישראלים כאחד </w:t>
      </w:r>
      <w:r>
        <w:rPr>
          <w:rtl w:val="true"/>
        </w:rPr>
        <w:t xml:space="preserve">- </w:t>
      </w:r>
      <w:r>
        <w:rPr>
          <w:rtl w:val="true"/>
        </w:rPr>
        <w:t>שמעשיהם חמורים ממעשיו</w:t>
      </w:r>
      <w:r>
        <w:rPr>
          <w:rtl w:val="true"/>
        </w:rPr>
        <w:t xml:space="preserve">, </w:t>
      </w:r>
      <w:r>
        <w:rPr>
          <w:rtl w:val="true"/>
        </w:rPr>
        <w:t>לא הועמדו לדין או שנכסיהם לא נתפסו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בתגובתה</w:t>
      </w:r>
      <w:r>
        <w:rPr>
          <w:rtl w:val="true"/>
        </w:rPr>
        <w:t xml:space="preserve">, </w:t>
      </w:r>
      <w:r>
        <w:rPr>
          <w:rtl w:val="true"/>
        </w:rPr>
        <w:t>הודיעה המדינה כי היא מסכימה עם טענת המערער כי עובדות כתב האישום אינן מקימות עבירת זיוף ושימוש במסמך מזויף</w:t>
      </w:r>
      <w:r>
        <w:rPr>
          <w:rtl w:val="true"/>
        </w:rPr>
        <w:t xml:space="preserve">, </w:t>
      </w:r>
      <w:r>
        <w:rPr>
          <w:rtl w:val="true"/>
        </w:rPr>
        <w:t>אולם לטענתה יש לדחות את יתר טענות המערער ולהותיר את החלטת בית משפט קמא על כנה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 כך שחומר הראיות מבסס עבירה של ניסיון לקבלת דבר במרמה</w:t>
      </w:r>
      <w:r>
        <w:rPr>
          <w:rtl w:val="true"/>
        </w:rPr>
        <w:t xml:space="preserve">, </w:t>
      </w:r>
      <w:r>
        <w:rPr>
          <w:rtl w:val="true"/>
        </w:rPr>
        <w:t>אשר כאמור בכתב האישום מהווה עבירת מקור לעבירת הלבנת ההון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חוזרת המדינה על קביעתו של בית משפט קמא כי מקומה של השאלה אם מעשי המערער חצו את שלב ההכנה להתברר בהליך העיקרי</w:t>
      </w:r>
      <w:r>
        <w:rPr>
          <w:rtl w:val="true"/>
        </w:rPr>
        <w:t xml:space="preserve">, </w:t>
      </w:r>
      <w:r>
        <w:rPr>
          <w:rtl w:val="true"/>
        </w:rPr>
        <w:t>אולם לעמדתה מדובר בעבירת ניסיון שבוצעה בשלמותה</w:t>
      </w:r>
      <w:r>
        <w:rPr>
          <w:rtl w:val="true"/>
        </w:rPr>
        <w:t xml:space="preserve">. </w:t>
      </w:r>
      <w:r>
        <w:rPr>
          <w:rtl w:val="true"/>
        </w:rPr>
        <w:t>נטען כי המערער פעל בניסיון לקבל דבר במרמה כאשר 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הוא הנחת דעתן של הרשויות בארה</w:t>
      </w:r>
      <w:r>
        <w:rPr>
          <w:rtl w:val="true"/>
        </w:rPr>
        <w:t>"</w:t>
      </w:r>
      <w:r>
        <w:rPr>
          <w:rtl w:val="true"/>
        </w:rPr>
        <w:t>ב שמקור העתיקות אינו במקום ממנו אסור לייבאן</w:t>
      </w:r>
      <w:r>
        <w:rPr>
          <w:rtl w:val="true"/>
        </w:rPr>
        <w:t xml:space="preserve">, </w:t>
      </w:r>
      <w:r>
        <w:rPr>
          <w:rtl w:val="true"/>
        </w:rPr>
        <w:t>כגון עירק</w:t>
      </w:r>
      <w:r>
        <w:rPr>
          <w:rtl w:val="true"/>
        </w:rPr>
        <w:t xml:space="preserve">, </w:t>
      </w:r>
      <w:r>
        <w:rPr>
          <w:rtl w:val="true"/>
        </w:rPr>
        <w:t>כאשר המרמה נעוצה בהכנתם של אותם מסמכים כוזבים</w:t>
      </w:r>
      <w:r>
        <w:rPr>
          <w:rtl w:val="true"/>
        </w:rPr>
        <w:t xml:space="preserve">. </w:t>
      </w:r>
      <w:r>
        <w:rPr>
          <w:rtl w:val="true"/>
        </w:rPr>
        <w:t>המערער מילא את חלקו בעסקה מול הובי לובי ופעל באופן אקטיבי לספק להם את כל האמצעים להצגת מצג השווא</w:t>
      </w:r>
      <w:r>
        <w:rPr>
          <w:rtl w:val="true"/>
        </w:rPr>
        <w:t xml:space="preserve">, </w:t>
      </w:r>
      <w:r>
        <w:rPr>
          <w:rtl w:val="true"/>
        </w:rPr>
        <w:t>והעובדה כי בסופו של דבר חברת הובי לובי לא השתמשה באותם מסמכים שסופקו על</w:t>
      </w:r>
      <w:r>
        <w:rPr>
          <w:rtl w:val="true"/>
        </w:rPr>
        <w:t>-</w:t>
      </w:r>
      <w:r>
        <w:rPr>
          <w:rtl w:val="true"/>
        </w:rPr>
        <w:t xml:space="preserve">ידי המערער </w:t>
      </w:r>
      <w:r>
        <w:rPr>
          <w:rtl w:val="true"/>
        </w:rPr>
        <w:t>–</w:t>
      </w:r>
      <w:r>
        <w:rPr>
          <w:rtl w:val="true"/>
        </w:rPr>
        <w:t xml:space="preserve"> אין בה כדי להעלות או להוריד מהמסקנה לפיה המערער ניסה כל שביכולתו לפעול ליצירת מצג השווא אצל הרשויות 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כן טענה המדינה כי המושג </w:t>
      </w:r>
      <w:r>
        <w:rPr>
          <w:rtl w:val="true"/>
        </w:rPr>
        <w:t>"</w:t>
      </w:r>
      <w:r>
        <w:rPr>
          <w:rtl w:val="true"/>
        </w:rPr>
        <w:t>כפל חילוט</w:t>
      </w:r>
      <w:r>
        <w:rPr>
          <w:rtl w:val="true"/>
        </w:rPr>
        <w:t xml:space="preserve">" </w:t>
      </w:r>
      <w:r>
        <w:rPr>
          <w:rtl w:val="true"/>
        </w:rPr>
        <w:t>כלל אינו מתייחס לסיטואציה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כי אם למקרה חריג בו יש שתי הוראות חילוט שונות הנוגעות לאותו סכום כפי האמור 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פישר</w:t>
      </w:r>
      <w:r>
        <w:rPr>
          <w:rtl w:val="true"/>
        </w:rPr>
        <w:t xml:space="preserve">. </w:t>
      </w:r>
      <w:r>
        <w:rPr>
          <w:rtl w:val="true"/>
        </w:rPr>
        <w:t>הובהר בהקשר זה</w:t>
      </w:r>
      <w:r>
        <w:rPr>
          <w:rtl w:val="true"/>
        </w:rPr>
        <w:t xml:space="preserve">, </w:t>
      </w:r>
      <w:r>
        <w:rPr>
          <w:rtl w:val="true"/>
        </w:rPr>
        <w:t>כי בניגוד למקרה שנידון שם</w:t>
      </w:r>
      <w:r>
        <w:rPr>
          <w:rtl w:val="true"/>
        </w:rPr>
        <w:t xml:space="preserve">, </w:t>
      </w:r>
      <w:r>
        <w:rPr>
          <w:rtl w:val="true"/>
        </w:rPr>
        <w:t xml:space="preserve">בו בוצעו שתי הפעולות </w:t>
      </w:r>
      <w:r>
        <w:rPr>
          <w:rtl w:val="true"/>
        </w:rPr>
        <w:t xml:space="preserve">- </w:t>
      </w:r>
      <w:r>
        <w:rPr>
          <w:rtl w:val="true"/>
        </w:rPr>
        <w:t>מתן השוחד והלבנת ההון באותו רכוש</w:t>
      </w:r>
      <w:r>
        <w:rPr>
          <w:rtl w:val="true"/>
        </w:rPr>
        <w:t xml:space="preserve">, </w:t>
      </w:r>
      <w:r>
        <w:rPr>
          <w:rtl w:val="true"/>
        </w:rPr>
        <w:t>בענייננו מדובר ברכוש שונה בתכלית</w:t>
      </w:r>
      <w:r>
        <w:rPr>
          <w:rtl w:val="true"/>
        </w:rPr>
        <w:t xml:space="preserve">. </w:t>
      </w:r>
      <w:r>
        <w:rPr>
          <w:rtl w:val="true"/>
        </w:rPr>
        <w:t>במסגרת ההליך בארה</w:t>
      </w:r>
      <w:r>
        <w:rPr>
          <w:rtl w:val="true"/>
        </w:rPr>
        <w:t>"</w:t>
      </w:r>
      <w:r>
        <w:rPr>
          <w:rtl w:val="true"/>
        </w:rPr>
        <w:t xml:space="preserve">ב התבקש חילוט </w:t>
      </w:r>
      <w:r>
        <w:rPr>
          <w:rFonts w:cs="Calibri" w:ascii="Calibri" w:hAnsi="Calibri"/>
          <w:spacing w:val="0"/>
        </w:rPr>
        <w:t>in rem</w:t>
      </w:r>
      <w:r>
        <w:rPr>
          <w:rFonts w:cs="Calibri" w:ascii="Calibri" w:hAnsi="Calibri"/>
          <w:spacing w:val="0"/>
          <w:rtl w:val="true"/>
        </w:rPr>
        <w:t xml:space="preserve"> </w:t>
      </w:r>
      <w:r>
        <w:rPr>
          <w:rtl w:val="true"/>
        </w:rPr>
        <w:t>של העתיקות עצמן</w:t>
      </w:r>
      <w:r>
        <w:rPr>
          <w:rtl w:val="true"/>
        </w:rPr>
        <w:t xml:space="preserve">, </w:t>
      </w:r>
      <w:r>
        <w:rPr>
          <w:rtl w:val="true"/>
        </w:rPr>
        <w:t xml:space="preserve">כאשר העילה היא הברחת הטובין </w:t>
      </w:r>
      <w:r>
        <w:rPr>
          <w:rtl w:val="true"/>
        </w:rPr>
        <w:t>(</w:t>
      </w:r>
      <w:r>
        <w:rPr>
          <w:rtl w:val="true"/>
        </w:rPr>
        <w:t>אשר מקימה עילת חילוט לפי הדין האמריקאי</w:t>
      </w:r>
      <w:r>
        <w:rPr>
          <w:rtl w:val="true"/>
        </w:rPr>
        <w:t xml:space="preserve">), </w:t>
      </w:r>
      <w:r>
        <w:rPr>
          <w:rtl w:val="true"/>
        </w:rPr>
        <w:t>ואילו בהליך דנן מתבקש חילוט בשווי השכר ששולם למערער ולנאשמים האחרים בגין חלקם בביצוע עבירות המקור</w:t>
      </w:r>
      <w:r>
        <w:rPr>
          <w:rtl w:val="true"/>
        </w:rPr>
        <w:t xml:space="preserve">, </w:t>
      </w:r>
      <w:r>
        <w:rPr>
          <w:rtl w:val="true"/>
        </w:rPr>
        <w:t>כשהעילה היא הלבנתו של השכר</w:t>
      </w:r>
      <w:r>
        <w:rPr>
          <w:rtl w:val="true"/>
        </w:rPr>
        <w:t xml:space="preserve">. </w:t>
      </w:r>
      <w:r>
        <w:rPr>
          <w:rtl w:val="true"/>
        </w:rPr>
        <w:t>בהתייחס לטענות המערער בדבר הגנה מן הצדק</w:t>
      </w:r>
      <w:r>
        <w:rPr>
          <w:rtl w:val="true"/>
        </w:rPr>
        <w:t xml:space="preserve">, </w:t>
      </w:r>
      <w:r>
        <w:rPr>
          <w:rtl w:val="true"/>
        </w:rPr>
        <w:t>הבהירה המדינה כי פעלה על מנת לתפוס נכסים שונים הן מהמערער והן מהנאשמים האחרים</w:t>
      </w:r>
      <w:r>
        <w:rPr>
          <w:rtl w:val="true"/>
        </w:rPr>
        <w:t xml:space="preserve">, </w:t>
      </w:r>
      <w:r>
        <w:rPr>
          <w:rtl w:val="true"/>
        </w:rPr>
        <w:t>אך בדיונים שהתקיימו עובר להגשת כתב האישום נקבע כי הנכסים שנתפסו אצל הנאשמים האחרים אינם שייכים להם אלא לטוענים לזכות שפנו לקבלם חזרה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לפני הפנה בא כוח המערער לנימוקי הערעור</w:t>
      </w:r>
      <w:r>
        <w:rPr>
          <w:rtl w:val="true"/>
        </w:rPr>
        <w:t xml:space="preserve">, </w:t>
      </w:r>
      <w:r>
        <w:rPr>
          <w:rtl w:val="true"/>
        </w:rPr>
        <w:t>והתמקד בשתי טענות עיקריות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עניינה בקו הגבול שבין הכנה לניסיון</w:t>
      </w:r>
      <w:r>
        <w:rPr>
          <w:rtl w:val="true"/>
        </w:rPr>
        <w:t xml:space="preserve">. </w:t>
      </w:r>
      <w:r>
        <w:rPr>
          <w:rtl w:val="true"/>
        </w:rPr>
        <w:t>נטען כי בדומה לטענה המוסכמת כי עובדות כתב האישום אינן מקימות עבירת זיוף</w:t>
      </w:r>
      <w:r>
        <w:rPr>
          <w:rtl w:val="true"/>
        </w:rPr>
        <w:t xml:space="preserve">, </w:t>
      </w:r>
      <w:r>
        <w:rPr>
          <w:rtl w:val="true"/>
        </w:rPr>
        <w:t>כך גם אין עולה מכתב האישום עבירה של ניסיון לקבלת דבר במרמה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מעשי המערער לא חצו את שלב ההכנה ומשכך הם אינם בגדר עבירה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עניינה בהגנה מן הצדק</w:t>
      </w:r>
      <w:r>
        <w:rPr>
          <w:rtl w:val="true"/>
        </w:rPr>
        <w:t xml:space="preserve">. </w:t>
      </w:r>
      <w:r>
        <w:rPr>
          <w:rtl w:val="true"/>
        </w:rPr>
        <w:t>נטען להיעדר מידתיות בנוגע למרכיבי החילוט הזמני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כי כל נכסיו של המערער הוקפאו שעה שהוא קיבל למעשה סכום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דולר בלבד</w:t>
      </w:r>
      <w:r>
        <w:rPr>
          <w:rtl w:val="true"/>
        </w:rPr>
        <w:t xml:space="preserve">, </w:t>
      </w:r>
      <w:r>
        <w:rPr>
          <w:rtl w:val="true"/>
        </w:rPr>
        <w:t>כאשר מהמעורבים האחרים לא חולט דבר</w:t>
      </w:r>
      <w:r>
        <w:rPr>
          <w:rtl w:val="true"/>
        </w:rPr>
        <w:t xml:space="preserve">. </w:t>
      </w:r>
      <w:r>
        <w:rPr>
          <w:rtl w:val="true"/>
        </w:rPr>
        <w:t>כן חזר המערער על טענתו לכפל חילוט בגין אותה עבירה בשל חילוט העתיקות 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",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העתיקות</w:t>
      </w:r>
      <w:r>
        <w:rPr>
          <w:rtl w:val="true"/>
        </w:rPr>
        <w:t xml:space="preserve">).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ממחצית</w:t>
      </w:r>
      <w:r>
        <w:rPr>
          <w:rtl w:val="true"/>
        </w:rPr>
        <w:t xml:space="preserve">),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חילוט רכוש בהליך פלילי</w:t>
      </w:r>
      <w:r>
        <w:rPr>
          <w:rtl w:val="true"/>
        </w:rPr>
        <w:t xml:space="preserve">", </w:t>
      </w:r>
      <w:r>
        <w:rPr>
          <w:rtl w:val="true"/>
        </w:rPr>
        <w:t xml:space="preserve">מסמיך את בית המשפט להורות על חילוט רכושו של אדם שהורשע בעבירה לפי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64"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בשווי של רכוש שנעברה בו העבירה</w:t>
      </w:r>
      <w:r>
        <w:rPr>
          <w:rtl w:val="true"/>
        </w:rPr>
        <w:t xml:space="preserve">, </w:t>
      </w:r>
      <w:r>
        <w:rPr>
          <w:rtl w:val="true"/>
        </w:rPr>
        <w:t>של רכוש ששימש לביצועה</w:t>
      </w:r>
      <w:r>
        <w:rPr>
          <w:rtl w:val="true"/>
        </w:rPr>
        <w:t xml:space="preserve">, </w:t>
      </w:r>
      <w:r>
        <w:rPr>
          <w:rtl w:val="true"/>
        </w:rPr>
        <w:t>שאיפשר את ביצועה או שיועד לכך וכן של רכוש שהושג כשכר העבירה או כתוצאה מביצועה או שיועד לכך</w:t>
      </w:r>
      <w:r>
        <w:rPr>
          <w:rtl w:val="true"/>
        </w:rPr>
        <w:t xml:space="preserve">.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מחיל את הסדר החילוט הקבוע </w:t>
      </w:r>
      <w:hyperlink r:id="rId66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עד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ל</w:t>
      </w:r>
      <w:hyperlink r:id="rId6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בשינויים המחויבים</w:t>
      </w:r>
      <w:r>
        <w:rPr>
          <w:rtl w:val="true"/>
        </w:rPr>
        <w:t xml:space="preserve">, </w:t>
      </w:r>
      <w:r>
        <w:rPr>
          <w:rtl w:val="true"/>
        </w:rPr>
        <w:t>על עבירות הלבנת הון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 שעניינו בסעדים זמניים להבטחת מימוש החילוט בסיום ההליך הפלילי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 xml:space="preserve">הוגש כתב אישום </w:t>
      </w:r>
      <w:r>
        <w:rPr>
          <w:rFonts w:cs="Garamond" w:ascii="Garamond" w:hAnsi="Garamond"/>
          <w:sz w:val="24"/>
          <w:rtl w:val="true"/>
        </w:rPr>
        <w:t xml:space="preserve">... </w:t>
      </w:r>
      <w:r>
        <w:rPr>
          <w:rFonts w:ascii="Garamond" w:hAnsi="Garamond" w:cs="Garamond"/>
          <w:sz w:val="24"/>
          <w:sz w:val="24"/>
          <w:rtl w:val="true"/>
        </w:rPr>
        <w:t>רשאי בית המשפט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על פי בקשה חתומה בידי פרקליט מחוז המפרטת את הרכוש שאת חילוטו מבקשים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לתת צו זמני בדבר – מתן ערבויות מטעם הנאשם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או אדם אחר המחזיק ברכוש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צוי מניעה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צוי עיקול או הוראות בדבר צעדים אחרים שיבטיחו את האפשרות של מימוש החילוט </w:t>
      </w:r>
      <w:r>
        <w:rPr>
          <w:rFonts w:cs="Garamond" w:ascii="Garamond" w:hAnsi="Garamond"/>
          <w:sz w:val="24"/>
          <w:rtl w:val="true"/>
        </w:rPr>
        <w:t>...".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תכליתו של סעד זמני כאמור הינה </w:t>
      </w:r>
      <w:r>
        <w:rPr>
          <w:rtl w:val="true"/>
        </w:rPr>
        <w:t>"</w:t>
      </w:r>
      <w:r>
        <w:rPr>
          <w:rtl w:val="true"/>
        </w:rPr>
        <w:t>לשמר את מצבת נכסיו של הנאשם ולמנוע הברחתם</w:t>
      </w:r>
      <w:r>
        <w:rPr>
          <w:rtl w:val="true"/>
        </w:rPr>
        <w:t xml:space="preserve">, </w:t>
      </w:r>
      <w:r>
        <w:rPr>
          <w:rtl w:val="true"/>
        </w:rPr>
        <w:t>באופן שאם יורשע בסופו של הליך ויינתן צו חילוט</w:t>
      </w:r>
      <w:r>
        <w:rPr>
          <w:rtl w:val="true"/>
        </w:rPr>
        <w:t xml:space="preserve">, </w:t>
      </w:r>
      <w:r>
        <w:rPr>
          <w:rtl w:val="true"/>
        </w:rPr>
        <w:t>ניתן יהא לבצע את הצו</w:t>
      </w:r>
      <w:r>
        <w:rPr>
          <w:rtl w:val="true"/>
        </w:rPr>
        <w:t>" (</w:t>
      </w:r>
      <w:hyperlink r:id="rId7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(</w:t>
      </w:r>
      <w:r>
        <w:rPr/>
        <w:t>31.10.2007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סיטבון</w:t>
      </w:r>
      <w:r>
        <w:rPr>
          <w:rtl w:val="true"/>
        </w:rPr>
        <w:t xml:space="preserve">); </w:t>
      </w:r>
      <w:hyperlink r:id="rId7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7701/17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סנדלר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10</w:t>
      </w:r>
      <w:r>
        <w:rPr>
          <w:rtl w:val="true"/>
        </w:rPr>
        <w:t xml:space="preserve"> (</w:t>
      </w:r>
      <w:r>
        <w:rPr/>
        <w:t>23.10.2017</w:t>
      </w:r>
      <w:r>
        <w:rPr>
          <w:rtl w:val="true"/>
        </w:rPr>
        <w:t xml:space="preserve">); </w:t>
      </w:r>
      <w:hyperlink r:id="rId72">
        <w:bookmarkStart w:id="17" w:name="Text1"/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10015/07</w:t>
        </w:r>
      </w:hyperlink>
      <w:r>
        <w:rPr>
          <w:rtl w:val="true"/>
        </w:rPr>
        <w:t>‏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7"/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23.12.2007</w:t>
      </w:r>
      <w:r>
        <w:rPr>
          <w:rtl w:val="true"/>
        </w:rPr>
        <w:t xml:space="preserve">); </w:t>
      </w:r>
      <w:hyperlink r:id="rId7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5140/13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אוסקר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29.8.2013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אוסקר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הדיון בבקשה למתן צו חילוט זמני</w:t>
      </w:r>
      <w:r>
        <w:rPr>
          <w:rtl w:val="true"/>
        </w:rPr>
        <w:t xml:space="preserve">, </w:t>
      </w:r>
      <w:r>
        <w:rPr>
          <w:rtl w:val="true"/>
        </w:rPr>
        <w:t>בדומה לדיון בעניין מעצרו של נאשם עד לתום הליכים</w:t>
      </w:r>
      <w:r>
        <w:rPr>
          <w:rtl w:val="true"/>
        </w:rPr>
        <w:t xml:space="preserve">, </w:t>
      </w:r>
      <w:r>
        <w:rPr>
          <w:rtl w:val="true"/>
        </w:rPr>
        <w:t>נדרש בית המשפט לבחון אם קיימת תשתית ראייתית מספקת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ההלכה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לבחון את דיות הראיות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הלכאורי</w:t>
      </w:r>
      <w:r>
        <w:rPr>
          <w:rtl w:val="true"/>
        </w:rPr>
        <w:t xml:space="preserve">, </w:t>
      </w:r>
      <w:r>
        <w:rPr>
          <w:rtl w:val="true"/>
        </w:rPr>
        <w:t xml:space="preserve">ולהשתכנע כי קיים </w:t>
      </w:r>
      <w:r>
        <w:rPr>
          <w:rtl w:val="true"/>
        </w:rPr>
        <w:t>"</w:t>
      </w:r>
      <w:r>
        <w:rPr>
          <w:rtl w:val="true"/>
        </w:rPr>
        <w:t>פוטנציאל חילוט</w:t>
      </w:r>
      <w:r>
        <w:rPr>
          <w:rtl w:val="true"/>
        </w:rPr>
        <w:t xml:space="preserve">", </w:t>
      </w:r>
      <w:r>
        <w:rPr>
          <w:rtl w:val="true"/>
        </w:rPr>
        <w:t>במובן זה שהראיות לכאורה מקימות סיכוי סביר לכך שבתום ההליך הפלילי יורשע הנאשם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וכי בעקבות אותה הרשעה ניתן יהיה להורות על חילוט רכושו</w:t>
      </w:r>
      <w:r>
        <w:rPr>
          <w:rtl w:val="true"/>
        </w:rPr>
        <w:t xml:space="preserve">. </w:t>
      </w:r>
      <w:r>
        <w:rPr>
          <w:rtl w:val="true"/>
        </w:rPr>
        <w:t>הובהר בעניין זה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rFonts w:eastAsia="Garamond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 '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גולמית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הלכאוריות</w:t>
      </w:r>
      <w:r>
        <w:rPr>
          <w:rtl w:val="true"/>
        </w:rPr>
        <w:t>, '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שכזאת</w:t>
      </w:r>
      <w:r>
        <w:rPr>
          <w:rtl w:val="true"/>
        </w:rPr>
        <w:t xml:space="preserve">' ...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בפירכות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>'"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FrankRuehl" w:hAnsi="FrankRuehl"/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אוסקר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9</w:t>
      </w:r>
      <w:r>
        <w:rPr>
          <w:rFonts w:cs="FrankRuehl" w:ascii="FrankRuehl" w:hAnsi="FrankRuehl"/>
          <w:color w:val="000000"/>
          <w:rtl w:val="true"/>
        </w:rPr>
        <w:t xml:space="preserve">; </w:t>
      </w:r>
      <w:hyperlink r:id="rId74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8312/17</w:t>
        </w:r>
      </w:hyperlink>
      <w:r>
        <w:rPr>
          <w:rFonts w:cs="FrankRuehl" w:ascii="FrankRuehl" w:hAnsi="FrankRuehl"/>
          <w:color w:val="000000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ברהמי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8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17.4.2018</w:t>
      </w:r>
      <w:r>
        <w:rPr>
          <w:rFonts w:cs="FrankRuehl" w:ascii="FrankRuehl" w:hAnsi="FrankRuehl"/>
          <w:color w:val="000000"/>
          <w:rtl w:val="true"/>
        </w:rPr>
        <w:t>) (</w:t>
      </w:r>
      <w:r>
        <w:rPr>
          <w:rFonts w:ascii="FrankRuehl" w:hAnsi="FrankRuehl"/>
          <w:color w:val="000000"/>
          <w:rtl w:val="true"/>
        </w:rPr>
        <w:t>להלן</w:t>
      </w:r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ברהמי</w:t>
      </w:r>
      <w:r>
        <w:rPr>
          <w:rFonts w:cs="FrankRuehl" w:ascii="FrankRuehl" w:hAnsi="FrankRuehl"/>
          <w:color w:val="000000"/>
          <w:rtl w:val="true"/>
        </w:rPr>
        <w:t xml:space="preserve">); </w:t>
      </w:r>
      <w:hyperlink r:id="rId75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6532/17</w:t>
        </w:r>
      </w:hyperlink>
      <w:r>
        <w:rPr>
          <w:rFonts w:cs="FrankRuehl" w:ascii="FrankRuehl" w:hAnsi="FrankRuehl"/>
          <w:color w:val="000000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הבוכרים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29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8.4.2018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  <w:szCs w:val="32"/>
        </w:rPr>
      </w:pPr>
      <w:r>
        <w:rPr>
          <w:sz w:val="28"/>
          <w:szCs w:val="3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הפגיעה הגלומה במתן הצו הזמני בקניינו של אדם קודם להרשעתו בדין</w:t>
      </w:r>
      <w:r>
        <w:rPr>
          <w:rtl w:val="true"/>
        </w:rPr>
        <w:t xml:space="preserve">, </w:t>
      </w:r>
      <w:r>
        <w:rPr>
          <w:rtl w:val="true"/>
        </w:rPr>
        <w:t>בשעה שעדיין עומדת לו חזקת החפות</w:t>
      </w:r>
      <w:r>
        <w:rPr>
          <w:rtl w:val="true"/>
        </w:rPr>
        <w:t xml:space="preserve">, </w:t>
      </w:r>
      <w:r>
        <w:rPr>
          <w:rtl w:val="true"/>
        </w:rPr>
        <w:t xml:space="preserve">הוסיפה הפסיקה לתנאים המגבשים את אפשרות מתן הצו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מידתיות</w:t>
      </w:r>
      <w:r>
        <w:rPr>
          <w:rtl w:val="true"/>
        </w:rPr>
        <w:t xml:space="preserve">. </w:t>
      </w:r>
      <w:r>
        <w:rPr>
          <w:rtl w:val="true"/>
        </w:rPr>
        <w:t>ככל הניתן</w:t>
      </w:r>
      <w:r>
        <w:rPr>
          <w:rtl w:val="true"/>
        </w:rPr>
        <w:t xml:space="preserve">, </w:t>
      </w:r>
      <w:r>
        <w:rPr>
          <w:rtl w:val="true"/>
        </w:rPr>
        <w:t>יש לנקוט באמצעים חלופיים לתפיסת הרכוש שפגיעתם בקניינו של הנאשם פחותה</w:t>
      </w:r>
      <w:r>
        <w:rPr>
          <w:rtl w:val="true"/>
        </w:rPr>
        <w:t xml:space="preserve">, </w:t>
      </w:r>
      <w:r>
        <w:rPr>
          <w:rtl w:val="true"/>
        </w:rPr>
        <w:t>ולהעדיפם על פני סעד של תפיסת הרכוש והחזקתו עד תום ההליך המשפטי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Ruller5"/>
        <w:ind w:hanging="142" w:end="1282"/>
        <w:jc w:val="both"/>
        <w:rPr>
          <w:rFonts w:ascii="FrankRuehl" w:hAnsi="FrankRuehl" w:cs="FrankRuehl"/>
          <w:color w:val="000000"/>
          <w:spacing w:val="4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>ו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ערבויות</w:t>
      </w:r>
      <w:r>
        <w:rPr>
          <w:rtl w:val="true"/>
        </w:rPr>
        <w:t xml:space="preserve">,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שיבטיחו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vertAlign w:val="superscript"/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vertAlign w:val="superscript"/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>" (</w:t>
      </w:r>
      <w:hyperlink r:id="rId77">
        <w:r>
          <w:rPr>
            <w:rStyle w:val="Hyperlink"/>
            <w:rFonts w:ascii="FrankRuehl" w:hAnsi="FrankRuehl"/>
            <w:rtl w:val="true"/>
          </w:rPr>
          <w:t>בש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7715/97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חג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ascii="FrankRuehl" w:hAnsi="FrankRuehl"/>
            <w:rtl w:val="true"/>
          </w:rPr>
          <w:t>‏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/>
            <w:rtl w:val="true"/>
          </w:rPr>
          <w:t>פ</w:t>
        </w:r>
        <w:r>
          <w:rPr>
            <w:rStyle w:val="Hyperlink"/>
            <w:rFonts w:cs="FrankRuehl" w:ascii="FrankRuehl" w:hAnsi="FrankRuehl"/>
            <w:rtl w:val="true"/>
          </w:rPr>
          <w:t>''</w:t>
        </w:r>
        <w:r>
          <w:rPr>
            <w:rStyle w:val="Hyperlink"/>
            <w:rFonts w:ascii="FrankRuehl" w:hAnsi="FrankRuehl"/>
            <w:rtl w:val="true"/>
          </w:rPr>
          <w:t>ד נב</w:t>
        </w:r>
      </w:hyperlink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14</w:t>
      </w:r>
      <w:r>
        <w:rPr>
          <w:rtl w:val="true"/>
        </w:rPr>
        <w:t xml:space="preserve">, </w:t>
      </w:r>
      <w:r>
        <w:rPr/>
        <w:t>18-17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).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78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8591/14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11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24.12.2014</w:t>
      </w:r>
      <w:r>
        <w:rPr>
          <w:rFonts w:cs="FrankRuehl" w:ascii="FrankRuehl" w:hAnsi="FrankRuehl"/>
          <w:color w:val="000000"/>
          <w:rtl w:val="true"/>
        </w:rPr>
        <w:t xml:space="preserve">); </w:t>
      </w:r>
      <w:r>
        <w:rPr>
          <w:rFonts w:ascii="FrankRuehl" w:hAnsi="FrankRuehl"/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spacing w:val="4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4"/>
        </w:rPr>
        <w:t>36</w:t>
      </w:r>
      <w:r>
        <w:rPr>
          <w:rFonts w:cs="FrankRuehl" w:ascii="FrankRuehl" w:hAnsi="FrankRuehl"/>
          <w:color w:val="000000"/>
          <w:spacing w:val="4"/>
          <w:rtl w:val="true"/>
        </w:rPr>
        <w:t xml:space="preserve">; </w:t>
      </w:r>
      <w:r>
        <w:rPr>
          <w:rFonts w:ascii="FrankRuehl" w:hAnsi="FrankRuehl"/>
          <w:color w:val="000000"/>
          <w:spacing w:val="4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ברהמי</w:t>
      </w:r>
      <w:r>
        <w:rPr>
          <w:rFonts w:cs="FrankRuehl" w:ascii="FrankRuehl" w:hAnsi="FrankRuehl"/>
          <w:color w:val="000000"/>
          <w:spacing w:val="4"/>
          <w:rtl w:val="true"/>
        </w:rPr>
        <w:t xml:space="preserve">, </w:t>
      </w:r>
      <w:r>
        <w:rPr>
          <w:rFonts w:ascii="FrankRuehl" w:hAnsi="FrankRuehl"/>
          <w:color w:val="000000"/>
          <w:spacing w:val="4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4"/>
        </w:rPr>
        <w:t>7</w:t>
      </w:r>
      <w:r>
        <w:rPr>
          <w:rFonts w:cs="FrankRuehl" w:ascii="FrankRuehl" w:hAnsi="FrankRuehl"/>
          <w:color w:val="000000"/>
          <w:spacing w:val="4"/>
          <w:rtl w:val="true"/>
        </w:rPr>
        <w:t>).</w:t>
      </w:r>
    </w:p>
    <w:p>
      <w:pPr>
        <w:pStyle w:val="Ruller5"/>
        <w:ind w:end="1282"/>
        <w:jc w:val="both"/>
        <w:rPr>
          <w:sz w:val="30"/>
          <w:szCs w:val="32"/>
        </w:rPr>
      </w:pPr>
      <w:r>
        <w:rPr>
          <w:rFonts w:eastAsia="Arial TUR;Arial" w:cs="Arial TUR;Arial"/>
          <w:sz w:val="30"/>
          <w:szCs w:val="3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אך לאחרונה חזר בית משפט זה על הדברים בקבעו כי </w:t>
      </w:r>
      <w:r>
        <w:rPr>
          <w:rtl w:val="true"/>
        </w:rPr>
        <w:t>"</w:t>
      </w:r>
      <w:r>
        <w:rPr>
          <w:rtl w:val="true"/>
        </w:rPr>
        <w:t>בהינתן זכות הקניין של הנאשם ברכושו</w:t>
      </w:r>
      <w:r>
        <w:rPr>
          <w:rtl w:val="true"/>
        </w:rPr>
        <w:t xml:space="preserve">, </w:t>
      </w:r>
      <w:r>
        <w:rPr>
          <w:rtl w:val="true"/>
        </w:rPr>
        <w:t>נדרש לערוך איזון ראוי בינה לבין האינטרס הציבורי שבהבטחת החילוט בסופו של ההליך הפלילי</w:t>
      </w:r>
      <w:r>
        <w:rPr>
          <w:rtl w:val="true"/>
        </w:rPr>
        <w:t xml:space="preserve">, </w:t>
      </w:r>
      <w:r>
        <w:rPr>
          <w:rtl w:val="true"/>
        </w:rPr>
        <w:t>ובשלב הסעד הזמני יש לנקוט זהירות ומידתיות בקביעת היקף החילוט</w:t>
      </w:r>
      <w:r>
        <w:rPr>
          <w:rtl w:val="true"/>
        </w:rPr>
        <w:t>" 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11.8.2019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הטענה המרכזית בערעור לעניין פוטנציאל החילוט שנקבע בהחלטתו של בית המשפט המחוזי הינה כי עובדות כתב האישום</w:t>
      </w:r>
      <w:r>
        <w:rPr>
          <w:rtl w:val="true"/>
        </w:rPr>
        <w:t xml:space="preserve">, </w:t>
      </w:r>
      <w:r>
        <w:rPr>
          <w:rtl w:val="true"/>
        </w:rPr>
        <w:t>עליהן הצדדים אינם חלוקים</w:t>
      </w:r>
      <w:r>
        <w:rPr>
          <w:rtl w:val="true"/>
        </w:rPr>
        <w:t xml:space="preserve">, </w:t>
      </w:r>
      <w:r>
        <w:rPr>
          <w:rtl w:val="true"/>
        </w:rPr>
        <w:t>אינן מגלות עבירה של ניסיון לקבלת דבר במרמה</w:t>
      </w:r>
      <w:r>
        <w:rPr>
          <w:rtl w:val="true"/>
        </w:rPr>
        <w:t xml:space="preserve">, </w:t>
      </w:r>
      <w:r>
        <w:rPr>
          <w:rtl w:val="true"/>
        </w:rPr>
        <w:t xml:space="preserve">ומשכך </w:t>
      </w:r>
      <w:r>
        <w:rPr>
          <w:rtl w:val="true"/>
        </w:rPr>
        <w:t>–</w:t>
      </w:r>
      <w:r>
        <w:rPr>
          <w:rtl w:val="true"/>
        </w:rPr>
        <w:t xml:space="preserve"> אין בנמצא ראיות לכאורה להוכחת עבירת מקור</w:t>
      </w:r>
      <w:r>
        <w:rPr>
          <w:rtl w:val="true"/>
        </w:rPr>
        <w:t xml:space="preserve">, </w:t>
      </w:r>
      <w:r>
        <w:rPr>
          <w:rtl w:val="true"/>
        </w:rPr>
        <w:t>וממילא אין רכוש אסור ואין עבירה של הלבנת הון</w:t>
      </w:r>
      <w:r>
        <w:rPr>
          <w:rtl w:val="true"/>
        </w:rPr>
        <w:t xml:space="preserve">. </w:t>
      </w:r>
      <w:r>
        <w:rPr>
          <w:rtl w:val="true"/>
        </w:rPr>
        <w:t>המערער סבור כי מעשיו</w:t>
      </w:r>
      <w:r>
        <w:rPr>
          <w:rtl w:val="true"/>
        </w:rPr>
        <w:t xml:space="preserve">, </w:t>
      </w:r>
      <w:r>
        <w:rPr>
          <w:rtl w:val="true"/>
        </w:rPr>
        <w:t>כפי שתוארו בכתב האישום</w:t>
      </w:r>
      <w:r>
        <w:rPr>
          <w:rtl w:val="true"/>
        </w:rPr>
        <w:t xml:space="preserve">, </w:t>
      </w:r>
      <w:r>
        <w:rPr>
          <w:rtl w:val="true"/>
        </w:rPr>
        <w:t>מהווים הכנה בלבד</w:t>
      </w:r>
      <w:r>
        <w:rPr>
          <w:rtl w:val="true"/>
        </w:rPr>
        <w:t xml:space="preserve">, </w:t>
      </w:r>
      <w:r>
        <w:rPr>
          <w:rtl w:val="true"/>
        </w:rPr>
        <w:t>ואילו המדינה סבורה כי הם עולים כדי עבירת הניסיון</w:t>
      </w:r>
      <w:r>
        <w:rPr>
          <w:rtl w:val="true"/>
        </w:rPr>
        <w:t xml:space="preserve">. </w:t>
      </w:r>
      <w:r>
        <w:rPr>
          <w:rtl w:val="true"/>
        </w:rPr>
        <w:t>כמו בית משפט קמא</w:t>
      </w:r>
      <w:r>
        <w:rPr>
          <w:rtl w:val="true"/>
        </w:rPr>
        <w:t xml:space="preserve">, </w:t>
      </w:r>
      <w:r>
        <w:rPr>
          <w:rtl w:val="true"/>
        </w:rPr>
        <w:t>אף אני סבור כי דינה של טענת המערער בנקודה זו להתברר בהליך העיקרי</w:t>
      </w:r>
      <w:r>
        <w:rPr>
          <w:rtl w:val="true"/>
        </w:rPr>
        <w:t xml:space="preserve">, </w:t>
      </w:r>
      <w:r>
        <w:rPr>
          <w:rtl w:val="true"/>
        </w:rPr>
        <w:t>כפי שנקבע</w:t>
      </w:r>
      <w:r>
        <w:rPr>
          <w:rtl w:val="true"/>
        </w:rPr>
        <w:t xml:space="preserve">, </w:t>
      </w:r>
      <w:r>
        <w:rPr>
          <w:rtl w:val="true"/>
        </w:rPr>
        <w:t xml:space="preserve">בשל </w:t>
      </w:r>
      <w:r>
        <w:rPr>
          <w:rtl w:val="true"/>
        </w:rPr>
        <w:t>"</w:t>
      </w:r>
      <w:r>
        <w:rPr>
          <w:rtl w:val="true"/>
        </w:rPr>
        <w:t>הצורך בשמיעת עדים וקביעת ממצאים על מנת לקבוע קביעות עובדתיות</w:t>
      </w:r>
      <w:r>
        <w:rPr>
          <w:rtl w:val="true"/>
        </w:rPr>
        <w:t xml:space="preserve">". </w:t>
      </w: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יש ממש בטענת המדינה כי הכרעה בעניין זה מהווה הכרעה בשאלה מרכזית בתיק העיקרי</w:t>
      </w:r>
      <w:r>
        <w:rPr>
          <w:rtl w:val="true"/>
        </w:rPr>
        <w:t xml:space="preserve">, </w:t>
      </w:r>
      <w:r>
        <w:rPr>
          <w:rtl w:val="true"/>
        </w:rPr>
        <w:t>ואין מקומה בשלב מקדמי זה של בקשה למתן סעדים זמניים</w:t>
      </w:r>
      <w:r>
        <w:rPr>
          <w:rtl w:val="true"/>
        </w:rPr>
        <w:t xml:space="preserve">. </w:t>
      </w:r>
      <w:r>
        <w:rPr>
          <w:rtl w:val="true"/>
        </w:rPr>
        <w:t xml:space="preserve">ככל שעל פני הדברים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וברור</w:t>
      </w:r>
      <w:r>
        <w:rPr>
          <w:rtl w:val="true"/>
        </w:rPr>
        <w:t xml:space="preserve"> כי המעשים המיוחסים למערער אינם מצביעים על ביצוע עבירת מקור היה בכך כדי לסיים את הדיון לעניין החילוט</w:t>
      </w:r>
      <w:r>
        <w:rPr>
          <w:rtl w:val="true"/>
        </w:rPr>
        <w:t xml:space="preserve">. </w:t>
      </w:r>
      <w:r>
        <w:rPr>
          <w:rtl w:val="true"/>
        </w:rPr>
        <w:t>אלא שלא כך הם פני הדברים</w:t>
      </w:r>
      <w:r>
        <w:rPr>
          <w:rtl w:val="true"/>
        </w:rPr>
        <w:t xml:space="preserve">, </w:t>
      </w:r>
      <w:r>
        <w:rPr>
          <w:rtl w:val="true"/>
        </w:rPr>
        <w:t>ועניינו של המערער טעון בירור עובדתי</w:t>
      </w:r>
      <w:r>
        <w:rPr>
          <w:rtl w:val="true"/>
        </w:rPr>
        <w:t xml:space="preserve">, </w:t>
      </w:r>
      <w:r>
        <w:rPr>
          <w:rtl w:val="true"/>
        </w:rPr>
        <w:t>שיש לו השלכות משפטיות</w:t>
      </w:r>
      <w:r>
        <w:rPr>
          <w:rtl w:val="true"/>
        </w:rPr>
        <w:t xml:space="preserve">, </w:t>
      </w:r>
      <w:r>
        <w:rPr>
          <w:rtl w:val="true"/>
        </w:rPr>
        <w:t>אשר מקומו בהליך העיקרי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וגבולותיה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tl w:val="true"/>
        </w:rPr>
        <w:t xml:space="preserve">", 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 xml:space="preserve">)).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סוגיה נוספת שעלתה בערעור אשר מקומה בהליך העיקרי נוגעת לטענה בדבר </w:t>
      </w:r>
      <w:r>
        <w:rPr>
          <w:rtl w:val="true"/>
        </w:rPr>
        <w:t>"</w:t>
      </w:r>
      <w:r>
        <w:rPr>
          <w:rtl w:val="true"/>
        </w:rPr>
        <w:t>כפל חילוט</w:t>
      </w:r>
      <w:r>
        <w:rPr>
          <w:rtl w:val="true"/>
        </w:rPr>
        <w:t xml:space="preserve">". </w:t>
      </w:r>
      <w:r>
        <w:rPr>
          <w:rtl w:val="true"/>
        </w:rPr>
        <w:t>גם כאן</w:t>
      </w:r>
      <w:r>
        <w:rPr>
          <w:rtl w:val="true"/>
        </w:rPr>
        <w:t xml:space="preserve">, </w:t>
      </w:r>
      <w:r>
        <w:rPr>
          <w:rtl w:val="true"/>
        </w:rPr>
        <w:t>סבורני כי יש טעם בעמדת המדינה כי היחס בין ההליך האזרחי המתנהל נגד הובי לובי בארה</w:t>
      </w:r>
      <w:r>
        <w:rPr>
          <w:rtl w:val="true"/>
        </w:rPr>
        <w:t>"</w:t>
      </w:r>
      <w:r>
        <w:rPr>
          <w:rtl w:val="true"/>
        </w:rPr>
        <w:t>ב לבין ההליך הפלילי המתנהל נגד המערער</w:t>
      </w:r>
      <w:r>
        <w:rPr>
          <w:rtl w:val="true"/>
        </w:rPr>
        <w:t xml:space="preserve">, </w:t>
      </w:r>
      <w:r>
        <w:rPr>
          <w:rtl w:val="true"/>
        </w:rPr>
        <w:t>העומד ביסוד טענתו בהקשר זה</w:t>
      </w:r>
      <w:r>
        <w:rPr>
          <w:rtl w:val="true"/>
        </w:rPr>
        <w:t xml:space="preserve">, </w:t>
      </w:r>
      <w:r>
        <w:rPr>
          <w:rtl w:val="true"/>
        </w:rPr>
        <w:t>דורש בירור מעמיק יותר הנוגע בין היתר לדין הזר ולמהות ההליך האזרחי שננקט 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לטענות המערער לענין הגנה מן הצדק</w:t>
      </w:r>
      <w:r>
        <w:rPr>
          <w:rtl w:val="true"/>
        </w:rPr>
        <w:t xml:space="preserve">. </w:t>
      </w:r>
      <w:r>
        <w:rPr>
          <w:rtl w:val="true"/>
        </w:rPr>
        <w:t>איני סבור כי העובדה שלא נתפסו נכסים של מעורבים אחרים בפרשה מקימה למערער הגנה מן הצדק</w:t>
      </w:r>
      <w:r>
        <w:rPr>
          <w:rtl w:val="true"/>
        </w:rPr>
        <w:t xml:space="preserve">, </w:t>
      </w:r>
      <w:r>
        <w:rPr>
          <w:rtl w:val="true"/>
        </w:rPr>
        <w:t>שכן המדינה נקטה בהליך לתפיסת נכסים גם של אלה</w:t>
      </w:r>
      <w:r>
        <w:rPr>
          <w:rtl w:val="true"/>
        </w:rPr>
        <w:t xml:space="preserve">, </w:t>
      </w:r>
      <w:r>
        <w:rPr>
          <w:rtl w:val="true"/>
        </w:rPr>
        <w:t>ואולם נמצא כי הנכסים שנתפסו אינם שייכים להם</w:t>
      </w:r>
      <w:r>
        <w:rPr>
          <w:rtl w:val="true"/>
        </w:rPr>
        <w:t xml:space="preserve">, </w:t>
      </w:r>
      <w:r>
        <w:rPr>
          <w:rtl w:val="true"/>
        </w:rPr>
        <w:t>אלא לטוענים לזכות בהם</w:t>
      </w:r>
      <w:r>
        <w:rPr>
          <w:rtl w:val="true"/>
        </w:rPr>
        <w:t xml:space="preserve">. </w:t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כי מכל מקום כל אחד מהשותפים לביצוע העבירה הינו בר</w:t>
      </w:r>
      <w:r>
        <w:rPr>
          <w:rtl w:val="true"/>
        </w:rPr>
        <w:t>-</w:t>
      </w:r>
      <w:r>
        <w:rPr>
          <w:rtl w:val="true"/>
        </w:rPr>
        <w:t>חילוט על מלוא ערכה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באשר לטענת המערער באשר למידתיות הצו שניתן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כמצוין כבר לעיל</w:t>
      </w:r>
      <w:r>
        <w:rPr>
          <w:rtl w:val="true"/>
        </w:rPr>
        <w:t xml:space="preserve">, </w:t>
      </w:r>
      <w:r>
        <w:rPr>
          <w:rtl w:val="true"/>
        </w:rPr>
        <w:t>דרישת המידתיות מחייבת כי בשלב החילוט הזמני יינקטו אמצעים שפגיעתם פחותה לשם הבטחת החילוט</w:t>
      </w:r>
      <w:r>
        <w:rPr>
          <w:rtl w:val="true"/>
        </w:rPr>
        <w:t xml:space="preserve">. </w:t>
      </w:r>
      <w:r>
        <w:rPr>
          <w:rtl w:val="true"/>
        </w:rPr>
        <w:t xml:space="preserve">על כן יש להעדיף כאמור צו </w:t>
      </w:r>
      <w:r>
        <w:rPr>
          <w:spacing w:val="6"/>
          <w:rtl w:val="true"/>
        </w:rPr>
        <w:t>למתן ערבויות או צווי מניעה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על פני תפיסה בעין של רכוש הדרוש לפעילות עסקית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 xml:space="preserve">בהתאם לכך </w:t>
      </w:r>
      <w:r>
        <w:rPr>
          <w:rtl w:val="true"/>
        </w:rPr>
        <w:t>נדרשת אבחנה בענייננו בין תפיסת המלאי העסקי בחנות העתיקות של המערער לבין שאר מרכיבי הצו מושא הערעור כמפורט לעיל</w:t>
      </w:r>
      <w:r>
        <w:rPr>
          <w:rtl w:val="true"/>
        </w:rPr>
        <w:t xml:space="preserve">. </w:t>
      </w:r>
      <w:r>
        <w:rPr>
          <w:rtl w:val="true"/>
        </w:rPr>
        <w:t>בדיון לפני לא חלקה המדינה על כך שככל שיהיה בידי המערער להפקיד ערבויות מתאימות יש להעדיף זאת ולשחרר את המלאי העסקי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לפיכך על הצדדים למצות את בחינת האפשרות לשחרור המלאי העסקי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בכפוף להפקדת ערבויות מתאימות </w:t>
      </w:r>
      <w:r>
        <w:rPr>
          <w:rtl w:val="true"/>
        </w:rPr>
        <w:t>על ידי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>או כל חלופה הולמת אחרת לתפיסת המלאי העסקי</w:t>
      </w:r>
      <w:r>
        <w:rPr>
          <w:rtl w:val="true"/>
        </w:rPr>
        <w:t xml:space="preserve">. </w:t>
      </w:r>
      <w:r>
        <w:rPr>
          <w:rtl w:val="true"/>
        </w:rPr>
        <w:t>ככל שלא יימצא פתרון מוסכם כאמור</w:t>
      </w:r>
      <w:r>
        <w:rPr>
          <w:rtl w:val="true"/>
        </w:rPr>
        <w:t xml:space="preserve">, </w:t>
      </w:r>
      <w:r>
        <w:rPr>
          <w:rtl w:val="true"/>
        </w:rPr>
        <w:t>יהא המערער רשאי</w:t>
      </w:r>
      <w:r>
        <w:rPr>
          <w:rtl w:val="true"/>
        </w:rPr>
        <w:t xml:space="preserve">, </w:t>
      </w:r>
      <w:r>
        <w:rPr>
          <w:rtl w:val="true"/>
        </w:rPr>
        <w:t xml:space="preserve">בתום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 מיום מתן פסק דין זה</w:t>
      </w:r>
      <w:r>
        <w:rPr>
          <w:rtl w:val="true"/>
        </w:rPr>
        <w:t xml:space="preserve">, </w:t>
      </w:r>
      <w:r>
        <w:rPr>
          <w:rtl w:val="true"/>
        </w:rPr>
        <w:t>לשוב ולפנות לבית המשפט המחוזי בבקשה לעיון חוזר בהחלטתו לענין המלאי העסקי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 xml:space="preserve">הערעור נדחה בכפוף לאמור בפסקה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 TUR;Arial" w:hAnsi="Arial TUR;Arial" w:cs="Arial TUR;Arial"/>
          <w:spacing w:val="10"/>
          <w:szCs w:val="28"/>
        </w:rPr>
      </w:pPr>
      <w:r>
        <w:rPr>
          <w:rFonts w:cs="Arial TUR;Arial" w:ascii="Arial TUR;Arial" w:hAnsi="Arial TUR;Arial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Arial TUR;Arial"/>
          <w:spacing w:val="10"/>
          <w:szCs w:val="28"/>
        </w:rPr>
      </w:pPr>
      <w:r>
        <w:rPr>
          <w:rFonts w:cs="Arial TUR;Arial" w:ascii="Arial TUR;Arial" w:hAnsi="Arial TUR;Arial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23.10.2019</w:t>
      </w:r>
      <w:r>
        <w:rPr>
          <w:rtl w:val="true"/>
        </w:rPr>
        <w:t xml:space="preserve">). </w:t>
      </w:r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19060090</w:t>
      </w:r>
      <w:r>
        <w:rPr>
          <w:sz w:val="16"/>
          <w:rtl w:val="true"/>
        </w:rPr>
        <w:t>_</w:t>
      </w:r>
      <w:r>
        <w:rPr>
          <w:sz w:val="16"/>
        </w:rPr>
        <w:t>B05.docx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אפ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54678313-6009/19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5"/>
      <w:footerReference w:type="default" r:id="rId8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6009/19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עלאא ביידון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overflowPunct w:val="true"/>
      <w:autoSpaceDE w:val="true"/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345" TargetMode="External"/><Relationship Id="rId3" Type="http://schemas.openxmlformats.org/officeDocument/2006/relationships/hyperlink" Target="http://www.nevo.co.il/law/74345/1T" TargetMode="External"/><Relationship Id="rId4" Type="http://schemas.openxmlformats.org/officeDocument/2006/relationships/hyperlink" Target="http://www.nevo.co.il/law/74345/2T" TargetMode="External"/><Relationship Id="rId5" Type="http://schemas.openxmlformats.org/officeDocument/2006/relationships/hyperlink" Target="http://www.nevo.co.il/law/74345/3" TargetMode="External"/><Relationship Id="rId6" Type="http://schemas.openxmlformats.org/officeDocument/2006/relationships/hyperlink" Target="http://www.nevo.co.il/law/74345/4" TargetMode="External"/><Relationship Id="rId7" Type="http://schemas.openxmlformats.org/officeDocument/2006/relationships/hyperlink" Target="http://www.nevo.co.il/law/74345/21" TargetMode="External"/><Relationship Id="rId8" Type="http://schemas.openxmlformats.org/officeDocument/2006/relationships/hyperlink" Target="http://www.nevo.co.il/law/74345/2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36c" TargetMode="External"/><Relationship Id="rId11" Type="http://schemas.openxmlformats.org/officeDocument/2006/relationships/hyperlink" Target="http://www.nevo.co.il/law/4216/36d" TargetMode="External"/><Relationship Id="rId12" Type="http://schemas.openxmlformats.org/officeDocument/2006/relationships/hyperlink" Target="http://www.nevo.co.il/law/4216/36e" TargetMode="External"/><Relationship Id="rId13" Type="http://schemas.openxmlformats.org/officeDocument/2006/relationships/hyperlink" Target="http://www.nevo.co.il/law/4216/36f" TargetMode="External"/><Relationship Id="rId14" Type="http://schemas.openxmlformats.org/officeDocument/2006/relationships/hyperlink" Target="http://www.nevo.co.il/law/4216/36f.a" TargetMode="External"/><Relationship Id="rId15" Type="http://schemas.openxmlformats.org/officeDocument/2006/relationships/hyperlink" Target="http://www.nevo.co.il/law/4216/36f.d" TargetMode="External"/><Relationship Id="rId16" Type="http://schemas.openxmlformats.org/officeDocument/2006/relationships/hyperlink" Target="http://www.nevo.co.il/law/4216/36g" TargetMode="External"/><Relationship Id="rId17" Type="http://schemas.openxmlformats.org/officeDocument/2006/relationships/hyperlink" Target="http://www.nevo.co.il/law/4216/36h" TargetMode="External"/><Relationship Id="rId18" Type="http://schemas.openxmlformats.org/officeDocument/2006/relationships/hyperlink" Target="http://www.nevo.co.il/law/4216/36i" TargetMode="External"/><Relationship Id="rId19" Type="http://schemas.openxmlformats.org/officeDocument/2006/relationships/hyperlink" Target="http://www.nevo.co.il/law/4216/36j" TargetMode="External"/><Relationship Id="rId20" Type="http://schemas.openxmlformats.org/officeDocument/2006/relationships/hyperlink" Target="http://www.nevo.co.il/law/70320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4345/23" TargetMode="External"/><Relationship Id="rId24" Type="http://schemas.openxmlformats.org/officeDocument/2006/relationships/hyperlink" Target="http://www.nevo.co.il/law/4216/36f.a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4345/21" TargetMode="External"/><Relationship Id="rId27" Type="http://schemas.openxmlformats.org/officeDocument/2006/relationships/hyperlink" Target="http://www.nevo.co.il/law/74345" TargetMode="External"/><Relationship Id="rId28" Type="http://schemas.openxmlformats.org/officeDocument/2006/relationships/hyperlink" Target="http://www.nevo.co.il/law/74345/3" TargetMode="External"/><Relationship Id="rId29" Type="http://schemas.openxmlformats.org/officeDocument/2006/relationships/hyperlink" Target="http://www.nevo.co.il/law/74345/4" TargetMode="External"/><Relationship Id="rId30" Type="http://schemas.openxmlformats.org/officeDocument/2006/relationships/hyperlink" Target="http://www.nevo.co.il/law/74345/23" TargetMode="External"/><Relationship Id="rId31" Type="http://schemas.openxmlformats.org/officeDocument/2006/relationships/hyperlink" Target="http://www.nevo.co.il/law/4216/36c" TargetMode="External"/><Relationship Id="rId32" Type="http://schemas.openxmlformats.org/officeDocument/2006/relationships/hyperlink" Target="http://www.nevo.co.il/law/4216/36d;36e;36f;36g;36h;36i;36j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4216/36f.a" TargetMode="External"/><Relationship Id="rId35" Type="http://schemas.openxmlformats.org/officeDocument/2006/relationships/hyperlink" Target="http://www.nevo.co.il/law/74345/23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law/4216/36f.d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74345/23" TargetMode="External"/><Relationship Id="rId40" Type="http://schemas.openxmlformats.org/officeDocument/2006/relationships/hyperlink" Target="http://www.nevo.co.il/law/4216/36f.a" TargetMode="External"/><Relationship Id="rId41" Type="http://schemas.openxmlformats.org/officeDocument/2006/relationships/hyperlink" Target="http://www.nevo.co.il/law/74345/23" TargetMode="External"/><Relationship Id="rId42" Type="http://schemas.openxmlformats.org/officeDocument/2006/relationships/hyperlink" Target="http://www.nevo.co.il/law/74345" TargetMode="External"/><Relationship Id="rId43" Type="http://schemas.openxmlformats.org/officeDocument/2006/relationships/hyperlink" Target="http://www.nevo.co.il/law/4216/36f.a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law/74345/3" TargetMode="External"/><Relationship Id="rId46" Type="http://schemas.openxmlformats.org/officeDocument/2006/relationships/hyperlink" Target="http://www.nevo.co.il/law/74345/4" TargetMode="External"/><Relationship Id="rId47" Type="http://schemas.openxmlformats.org/officeDocument/2006/relationships/hyperlink" Target="http://www.nevo.co.il/law/74345" TargetMode="External"/><Relationship Id="rId48" Type="http://schemas.openxmlformats.org/officeDocument/2006/relationships/hyperlink" Target="http://www.nevo.co.il/law/74345/21" TargetMode="External"/><Relationship Id="rId49" Type="http://schemas.openxmlformats.org/officeDocument/2006/relationships/hyperlink" Target="http://www.nevo.co.il/law/74345/3" TargetMode="External"/><Relationship Id="rId50" Type="http://schemas.openxmlformats.org/officeDocument/2006/relationships/hyperlink" Target="http://www.nevo.co.il/law/74345/4" TargetMode="External"/><Relationship Id="rId51" Type="http://schemas.openxmlformats.org/officeDocument/2006/relationships/hyperlink" Target="http://www.nevo.co.il/law/74345" TargetMode="External"/><Relationship Id="rId52" Type="http://schemas.openxmlformats.org/officeDocument/2006/relationships/hyperlink" Target="http://www.nevo.co.il/law/74345/1T" TargetMode="External"/><Relationship Id="rId53" Type="http://schemas.openxmlformats.org/officeDocument/2006/relationships/hyperlink" Target="http://www.nevo.co.il/law/74345/2T" TargetMode="External"/><Relationship Id="rId54" Type="http://schemas.openxmlformats.org/officeDocument/2006/relationships/hyperlink" Target="http://www.nevo.co.il/law/74345/3" TargetMode="External"/><Relationship Id="rId55" Type="http://schemas.openxmlformats.org/officeDocument/2006/relationships/hyperlink" Target="http://www.nevo.co.il/law/74345/4" TargetMode="External"/><Relationship Id="rId56" Type="http://schemas.openxmlformats.org/officeDocument/2006/relationships/hyperlink" Target="http://www.nevo.co.il/law/74345" TargetMode="External"/><Relationship Id="rId57" Type="http://schemas.openxmlformats.org/officeDocument/2006/relationships/hyperlink" Target="http://www.nevo.co.il/case/20588755" TargetMode="External"/><Relationship Id="rId58" Type="http://schemas.openxmlformats.org/officeDocument/2006/relationships/hyperlink" Target="http://www.nevo.co.il/law/74345/3" TargetMode="External"/><Relationship Id="rId59" Type="http://schemas.openxmlformats.org/officeDocument/2006/relationships/hyperlink" Target="http://www.nevo.co.il/law/74345/4" TargetMode="External"/><Relationship Id="rId60" Type="http://schemas.openxmlformats.org/officeDocument/2006/relationships/hyperlink" Target="http://www.nevo.co.il/law/74345" TargetMode="External"/><Relationship Id="rId61" Type="http://schemas.openxmlformats.org/officeDocument/2006/relationships/hyperlink" Target="http://www.nevo.co.il/law/74345/21" TargetMode="External"/><Relationship Id="rId62" Type="http://schemas.openxmlformats.org/officeDocument/2006/relationships/hyperlink" Target="http://www.nevo.co.il/law/74345" TargetMode="External"/><Relationship Id="rId63" Type="http://schemas.openxmlformats.org/officeDocument/2006/relationships/hyperlink" Target="http://www.nevo.co.il/law/74345/3" TargetMode="External"/><Relationship Id="rId64" Type="http://schemas.openxmlformats.org/officeDocument/2006/relationships/hyperlink" Target="http://www.nevo.co.il/law/74345/4" TargetMode="External"/><Relationship Id="rId65" Type="http://schemas.openxmlformats.org/officeDocument/2006/relationships/hyperlink" Target="http://www.nevo.co.il/law/74345/23" TargetMode="External"/><Relationship Id="rId66" Type="http://schemas.openxmlformats.org/officeDocument/2006/relationships/hyperlink" Target="http://www.nevo.co.il/law/4216/36c" TargetMode="External"/><Relationship Id="rId67" Type="http://schemas.openxmlformats.org/officeDocument/2006/relationships/hyperlink" Target="http://www.nevo.co.il/law/4216/36d;36e;36f;36g;36h;36i;36j" TargetMode="External"/><Relationship Id="rId68" Type="http://schemas.openxmlformats.org/officeDocument/2006/relationships/hyperlink" Target="http://www.nevo.co.il/law/4216" TargetMode="External"/><Relationship Id="rId69" Type="http://schemas.openxmlformats.org/officeDocument/2006/relationships/hyperlink" Target="http://www.nevo.co.il/law/4216/36f.a" TargetMode="External"/><Relationship Id="rId70" Type="http://schemas.openxmlformats.org/officeDocument/2006/relationships/hyperlink" Target="http://www.nevo.co.il/case/5603871" TargetMode="External"/><Relationship Id="rId71" Type="http://schemas.openxmlformats.org/officeDocument/2006/relationships/hyperlink" Target="http://www.nevo.co.il/case/23129183" TargetMode="External"/><Relationship Id="rId72" Type="http://schemas.openxmlformats.org/officeDocument/2006/relationships/hyperlink" Target="http://www.nevo.co.il/case/5598685" TargetMode="External"/><Relationship Id="rId73" Type="http://schemas.openxmlformats.org/officeDocument/2006/relationships/hyperlink" Target="http://www.nevo.co.il/case/7799725" TargetMode="External"/><Relationship Id="rId74" Type="http://schemas.openxmlformats.org/officeDocument/2006/relationships/hyperlink" Target="http://www.nevo.co.il/case/23226444" TargetMode="External"/><Relationship Id="rId75" Type="http://schemas.openxmlformats.org/officeDocument/2006/relationships/hyperlink" Target="http://www.nevo.co.il/case/22928295" TargetMode="External"/><Relationship Id="rId76" Type="http://schemas.openxmlformats.org/officeDocument/2006/relationships/hyperlink" Target="http://www.nevo.co.il/law/70320" TargetMode="External"/><Relationship Id="rId77" Type="http://schemas.openxmlformats.org/officeDocument/2006/relationships/hyperlink" Target="http://www.nevo.co.il/case/6111024" TargetMode="External"/><Relationship Id="rId78" Type="http://schemas.openxmlformats.org/officeDocument/2006/relationships/hyperlink" Target="http://www.nevo.co.il/case/18749695" TargetMode="External"/><Relationship Id="rId79" Type="http://schemas.openxmlformats.org/officeDocument/2006/relationships/hyperlink" Target="http://www.nevo.co.il/case/25289958" TargetMode="External"/><Relationship Id="rId80" Type="http://schemas.openxmlformats.org/officeDocument/2006/relationships/hyperlink" Target="http://www.nevo.co.il/law/70301/25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23353997" TargetMode="External"/><Relationship Id="rId83" Type="http://schemas.openxmlformats.org/officeDocument/2006/relationships/hyperlink" Target="http://supreme.court.gov.il/" TargetMode="External"/><Relationship Id="rId84" Type="http://schemas.openxmlformats.org/officeDocument/2006/relationships/hyperlink" Target="http://www.nevo.co.il/advertisements/nevo-100.doc" TargetMode="Externa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numbering" Target="numbering.xml"/><Relationship Id="rId88" Type="http://schemas.openxmlformats.org/officeDocument/2006/relationships/fontTable" Target="fontTable.xml"/><Relationship Id="rId89" Type="http://schemas.openxmlformats.org/officeDocument/2006/relationships/settings" Target="settings.xml"/><Relationship Id="rId9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2019-10-24T10:56:00Z</dcterms:created>
  <dc:creator>h4</dc:creator>
  <dc:description/>
  <cp:keywords/>
  <dc:language>en-IL</dc:language>
  <cp:lastModifiedBy>orly</cp:lastModifiedBy>
  <cp:lastPrinted>2019-10-23T17:34:00Z</cp:lastPrinted>
  <dcterms:modified xsi:type="dcterms:W3CDTF">2019-10-24T10:56:00Z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עלאא ביידון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20588755;5603871;23129183;5598685;7799725;23226444;22928295;6111024;18749695;25289958;23353997</vt:lpwstr>
  </property>
  <property fmtid="{D5CDD505-2E9C-101B-9397-08002B2CF9AE}" pid="9" name="CITY">
    <vt:lpwstr/>
  </property>
  <property fmtid="{D5CDD505-2E9C-101B-9397-08002B2CF9AE}" pid="10" name="DATE">
    <vt:lpwstr>20191023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</vt:lpwstr>
  </property>
  <property fmtid="{D5CDD505-2E9C-101B-9397-08002B2CF9AE}" pid="14" name="LAWLISTTMP1">
    <vt:lpwstr>74345/023:4;003:5;004:5;021:2;001T;002T</vt:lpwstr>
  </property>
  <property fmtid="{D5CDD505-2E9C-101B-9397-08002B2CF9AE}" pid="15" name="LAWLISTTMP2">
    <vt:lpwstr>4216/036f.d;036f.a:3;036c;036d;036e;036f;036g;036h;036i;036j</vt:lpwstr>
  </property>
  <property fmtid="{D5CDD505-2E9C-101B-9397-08002B2CF9AE}" pid="16" name="LAWLISTTMP3">
    <vt:lpwstr>70320</vt:lpwstr>
  </property>
  <property fmtid="{D5CDD505-2E9C-101B-9397-08002B2CF9AE}" pid="17" name="LAWLISTTMP4">
    <vt:lpwstr>70301/025</vt:lpwstr>
  </property>
  <property fmtid="{D5CDD505-2E9C-101B-9397-08002B2CF9AE}" pid="18" name="LAWYER">
    <vt:lpwstr>מורן פולמן;צבי קלנג;אורי שפאר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</vt:lpwstr>
  </property>
  <property fmtid="{D5CDD505-2E9C-101B-9397-08002B2CF9AE}" pid="40" name="NOSE21">
    <vt:lpwstr>חילוט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473</vt:lpwstr>
  </property>
  <property fmtid="{D5CDD505-2E9C-101B-9397-08002B2CF9AE}" pid="51" name="NOSE31">
    <vt:lpwstr>צו זמני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3660</vt:lpwstr>
  </property>
  <property fmtid="{D5CDD505-2E9C-101B-9397-08002B2CF9AE}" pid="62" name="PADIDATE">
    <vt:lpwstr>20191024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6009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410120191023</vt:lpwstr>
  </property>
  <property fmtid="{D5CDD505-2E9C-101B-9397-08002B2CF9AE}" pid="72" name="TYPE_N_DATE">
    <vt:lpwstr>41020191023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