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6038/21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65062-09-19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22.06.2021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8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20.10.2022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   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אורי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דייגי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נועה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עזרא</w:t>
            </w:r>
            <w:r>
              <w:rPr>
                <w:rFonts w:cs="FrankRuehl" w:ascii="Century" w:hAnsi="Century"/>
                <w:spacing w:val="10"/>
                <w:rtl w:val="true"/>
              </w:rPr>
              <w:t>-</w:t>
            </w:r>
            <w:r>
              <w:rPr>
                <w:rFonts w:ascii="Century" w:hAnsi="Century" w:cs="FrankRuehl"/>
                <w:spacing w:val="10"/>
                <w:rtl w:val="true"/>
              </w:rPr>
              <w:t>רחמני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ההנמקה השיפוטית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דילמות ישנות וחדשות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53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212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הרשעת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ריבוי עבירות מין בבתו הקטינה ומעשי תקיפה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לסטות מהכלל בדבר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בממצאי עובדה ומהימנות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מאחר </w:t>
      </w:r>
      <w:r>
        <w:rPr>
          <w:rFonts w:ascii="Times New Roman" w:hAnsi="Times New Roman" w:cs="Times New Roman"/>
          <w:spacing w:val="0"/>
          <w:szCs w:val="26"/>
          <w:rtl w:val="true"/>
        </w:rPr>
        <w:t>שקביעות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המשפט המחוזי נטועות עמוק בהתרשמותו הישירה והבלתי אמצעית מהמתלוננת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מאחר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נפל פגם באופן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העריך את הסתירות בגרסתה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מאסר בפועל בן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הולם ותואם את 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בהכרעה בין חוות דעת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סתירות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</w:t>
      </w:r>
      <w:r>
        <w:rPr>
          <w:rFonts w:ascii="Times New Roman" w:hAnsi="Times New Roman" w:cs="Times New Roman"/>
          <w:spacing w:val="0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במסגרתה הורשע המערער בביצוע ריבוי עבירות מין בבתו הקטינה ומעשי תקיפה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ערעור על גזר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הושתו על המערער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למתלוננת בסך </w:t>
      </w:r>
      <w:r>
        <w:rPr>
          <w:rFonts w:cs="Times New Roman" w:ascii="Times New Roman" w:hAnsi="Times New Roman"/>
          <w:spacing w:val="0"/>
          <w:szCs w:val="26"/>
        </w:rPr>
        <w:t>150,000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השופט כבוב ובהסכמת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מקום לסטות מהכלל בדבר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בממצאי עובדה ומהימנות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Cs w:val="26"/>
          <w:rtl w:val="true"/>
        </w:rPr>
        <w:t>ביעות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 בנוגע למהימנות המתלוננת נטועות עמוק בהתרשמותו הישירה ממנה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מהווה דוגמה מובהקת למצב בו לערכאה הדיונית יתרון ניכר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פני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בהערכת העדויות שנשמעו בפניה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</w:t>
      </w:r>
      <w:r>
        <w:rPr>
          <w:rFonts w:ascii="Times New Roman" w:hAnsi="Times New Roman" w:cs="Times New Roman"/>
          <w:spacing w:val="0"/>
          <w:szCs w:val="26"/>
          <w:rtl w:val="true"/>
        </w:rPr>
        <w:t>תערב באופן שבו העריך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בהתבסס על התרשמותו ממנה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שבאה לביטוי באינדיקציות הרבות עליהן 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נפלה טעות באופן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העריך 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 לסתירות בגרסת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סתירות כמעט תמיד יהיו בנמצא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כאשר מדובר בעדות של קטינה שנפלה קורבן לעבירות מין שב</w:t>
      </w:r>
      <w:r>
        <w:rPr>
          <w:rFonts w:ascii="Times New Roman" w:hAnsi="Times New Roman" w:cs="Times New Roman"/>
          <w:spacing w:val="0"/>
          <w:szCs w:val="26"/>
          <w:rtl w:val="true"/>
        </w:rPr>
        <w:t>יצע 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קרוב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הקשיים הרבים איתם נדרשת להתמודד מתלוננת בעבירות מין מסוג זה שעה שהיא עולה על דוכן העדים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יעמוד באופן דווקני על דרישת הדיוק והפירוט בעדותן של 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שלערעור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יתערב בממצאי מהימנות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מספיק להצביע על שורה של תמיהות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אפילו הן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צריך שתהיינה עובדות המראות בעליל שלא יכול היה השופט להתרשם כפי שהתרשם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לא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 סתירות הפוגעות בליבת גרסתה ושיורדות לשורשם של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</w:t>
      </w:r>
      <w:r>
        <w:rPr>
          <w:rFonts w:ascii="Times New Roman" w:hAnsi="Times New Roman" w:cs="Times New Roman"/>
          <w:spacing w:val="0"/>
          <w:szCs w:val="26"/>
          <w:rtl w:val="true"/>
        </w:rPr>
        <w:t>ת 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די בכך לצורך דחיית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נתן אמון בגרסת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נתן דעתו גם ליתר טענות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צוין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דלות התיאורים והקשיים של המתלוננת לבטא את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נובעים מנסיבות העניין וממאפיינים סובייקטיביים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 בהם כדי לפגום בליבת 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העובדה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 המתלוננת לא זיהתה שינוי בדפוס התנהגותה או במצבה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גורעת מהאפשרות להתייחס למצב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כפי שקיבל ביטוי במועד מאוחר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כראיה לחיזוק או לסיוע 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בפרט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שיש בהן כדי להביא את המתלוננת להסתיר את פגיעתה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 לקחת זמן מה עד שנפגעת עבירות מין מפנימה את היקף הפגיעה שחוותה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גם עד שיהיה ביטוי חיצוני של פגיעה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דפוס התנהגות קבוע ויחיד לנפגעות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ביחס למצב הנפשי נטועה בהתרשמותו הישירה ממנה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>וי</w:t>
      </w:r>
      <w:r>
        <w:rPr>
          <w:rFonts w:ascii="Times New Roman" w:hAnsi="Times New Roman" w:cs="Times New Roman"/>
          <w:spacing w:val="0"/>
          <w:szCs w:val="26"/>
          <w:rtl w:val="true"/>
        </w:rPr>
        <w:t>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 להתערב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נתן אמון מלא בגרסת המתלוננת על מנת שימלא את חובת ההנמקה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</w:t>
      </w:r>
      <w:r>
        <w:rPr>
          <w:rFonts w:ascii="Times New Roman" w:hAnsi="Times New Roman" w:cs="Times New Roman"/>
          <w:spacing w:val="0"/>
          <w:szCs w:val="26"/>
          <w:rtl w:val="true"/>
        </w:rPr>
        <w:t>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עמד בנטל לעורר ספק סביר בא</w:t>
      </w:r>
      <w:r>
        <w:rPr>
          <w:rFonts w:ascii="Times New Roman" w:hAnsi="Times New Roman" w:cs="Times New Roman"/>
          <w:spacing w:val="0"/>
          <w:szCs w:val="26"/>
          <w:rtl w:val="true"/>
        </w:rPr>
        <w:t>שר להיעדר אפשרות מצדו לבצע את 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ממצאים בקרום הבתולין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שערכאת הערעור תתערב בהכרעה של הערכאה הדיונית בין שני עדים 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הגנה שעניינן היעדר ממצאים פורנזיים בקרום הבתולין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מקום לקבוע מסמרות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צוין כי יש ליתן 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דעת להשלכות בדיקה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b/>
          <w:bCs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>.</w:t>
      </w:r>
      <w:bookmarkStart w:id="15" w:name="ABSTRACT_END"/>
      <w:bookmarkEnd w:id="15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65062-09-19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09.02.2021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במסגרתה הורשע המערער בביצוע ריבוי עבירות מין בבתו הקטינה ומעשי תקיפה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ערעור על גזר דינו של אותו מותב מיום </w:t>
      </w:r>
      <w:r>
        <w:rPr>
          <w:rFonts w:cs="Century" w:ascii="Century" w:hAnsi="Century"/>
        </w:rPr>
        <w:t>22.06.2021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הושתו על המערער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מותנה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למתלוננת בסך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נגד המערער</w:t>
      </w:r>
      <w:r>
        <w:rPr>
          <w:rtl w:val="true"/>
        </w:rPr>
        <w:t xml:space="preserve">, </w:t>
      </w:r>
      <w:r>
        <w:rPr>
          <w:rtl w:val="true"/>
        </w:rPr>
        <w:t>אביה של המתלוננת</w:t>
      </w:r>
      <w:r>
        <w:rPr>
          <w:rtl w:val="true"/>
        </w:rPr>
        <w:t xml:space="preserve">, </w:t>
      </w:r>
      <w:r>
        <w:rPr>
          <w:rtl w:val="true"/>
        </w:rPr>
        <w:t>הוגש כתב אישום המייחס לו ריבוי עבירות מין שביצע בבתו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עבירות רבות של אינוס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מעשי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מעשים מגונים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ותקיפת קטין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קטינה ילידת 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התגוררה בתקופה הרלבנטית לכתב האישום יחד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 xml:space="preserve">ואחיה ואחיותיה בבית בישוב בדרום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 xml:space="preserve">לאחר חודש דצמבר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 למשיבה</w:t>
      </w:r>
      <w:r>
        <w:rPr>
          <w:rtl w:val="true"/>
        </w:rPr>
        <w:t xml:space="preserve">, </w:t>
      </w:r>
      <w:r>
        <w:rPr>
          <w:rtl w:val="true"/>
        </w:rPr>
        <w:t>ביקש המערער מהאם</w:t>
      </w:r>
      <w:r>
        <w:rPr>
          <w:rtl w:val="true"/>
        </w:rPr>
        <w:t xml:space="preserve">, </w:t>
      </w:r>
      <w:r>
        <w:rPr>
          <w:rtl w:val="true"/>
        </w:rPr>
        <w:t xml:space="preserve">לנסוע לבקר את בתם הבכורה בביתה </w:t>
      </w:r>
      <w:r>
        <w:rPr>
          <w:rtl w:val="true"/>
        </w:rPr>
        <w:t>(</w:t>
      </w:r>
      <w:r>
        <w:rPr>
          <w:rtl w:val="true"/>
        </w:rPr>
        <w:t>כבר עתה יצוין</w:t>
      </w:r>
      <w:r>
        <w:rPr>
          <w:rtl w:val="true"/>
        </w:rPr>
        <w:t xml:space="preserve">, </w:t>
      </w:r>
      <w:r>
        <w:rPr>
          <w:rtl w:val="true"/>
        </w:rPr>
        <w:t>כי במהלך ניהול הפרשה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התברר כי אירוע זה התרחש בסוף חודש דצמבר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כפי שיבואר בהמשך</w:t>
      </w:r>
      <w:r>
        <w:rPr>
          <w:rtl w:val="true"/>
        </w:rPr>
        <w:t xml:space="preserve">). </w:t>
      </w:r>
      <w:r>
        <w:rPr>
          <w:rtl w:val="true"/>
        </w:rPr>
        <w:t>האם ביקשה לקחת עמה את המתלוננת</w:t>
      </w:r>
      <w:r>
        <w:rPr>
          <w:rtl w:val="true"/>
        </w:rPr>
        <w:t xml:space="preserve">, </w:t>
      </w:r>
      <w:r>
        <w:rPr>
          <w:rtl w:val="true"/>
        </w:rPr>
        <w:t>אולם המערער סירב</w:t>
      </w:r>
      <w:r>
        <w:rPr>
          <w:rtl w:val="true"/>
        </w:rPr>
        <w:t xml:space="preserve">, </w:t>
      </w:r>
      <w:r>
        <w:rPr>
          <w:rtl w:val="true"/>
        </w:rPr>
        <w:t>והוא והמתלוננת נשארו לבד בבית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לאחר שנותרו לבדם</w:t>
      </w:r>
      <w:r>
        <w:rPr>
          <w:rtl w:val="true"/>
        </w:rPr>
        <w:t xml:space="preserve">, </w:t>
      </w:r>
      <w:r>
        <w:rPr>
          <w:rtl w:val="true"/>
        </w:rPr>
        <w:t>דרש המערער מהמתלוננת להחליף את בגדיה</w:t>
      </w:r>
      <w:r>
        <w:rPr>
          <w:rtl w:val="true"/>
        </w:rPr>
        <w:t xml:space="preserve">, </w:t>
      </w:r>
      <w:r>
        <w:rPr>
          <w:rtl w:val="true"/>
        </w:rPr>
        <w:t>כך שתהיה לבושה בשמלה בלבד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המערער קרא למתלוננת לחדר השינה שלו</w:t>
      </w:r>
      <w:r>
        <w:rPr>
          <w:rtl w:val="true"/>
        </w:rPr>
        <w:t xml:space="preserve">, </w:t>
      </w:r>
      <w:r>
        <w:rPr>
          <w:rtl w:val="true"/>
        </w:rPr>
        <w:t>ושאל אותה אם היא חפצה לראות את איבר מינו</w:t>
      </w:r>
      <w:r>
        <w:rPr>
          <w:rtl w:val="true"/>
        </w:rPr>
        <w:t xml:space="preserve">. </w:t>
      </w:r>
      <w:r>
        <w:rPr>
          <w:rtl w:val="true"/>
        </w:rPr>
        <w:t>המתלוננת ענתה בשלילה</w:t>
      </w:r>
      <w:r>
        <w:rPr>
          <w:rtl w:val="true"/>
        </w:rPr>
        <w:t xml:space="preserve">, </w:t>
      </w:r>
      <w:r>
        <w:rPr>
          <w:rtl w:val="true"/>
        </w:rPr>
        <w:t>אולם המערער חשף</w:t>
      </w:r>
      <w:r>
        <w:rPr>
          <w:rtl w:val="true"/>
        </w:rPr>
        <w:t xml:space="preserve">,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את איבר מינו לעיניה</w:t>
      </w:r>
      <w:r>
        <w:rPr>
          <w:rtl w:val="true"/>
        </w:rPr>
        <w:t xml:space="preserve">. </w:t>
      </w:r>
      <w:r>
        <w:rPr>
          <w:rtl w:val="true"/>
        </w:rPr>
        <w:t>לאחר שהמערער הפשיט עצמו מכל בגדיו</w:t>
      </w:r>
      <w:r>
        <w:rPr>
          <w:rtl w:val="true"/>
        </w:rPr>
        <w:t xml:space="preserve">, </w:t>
      </w:r>
      <w:r>
        <w:rPr>
          <w:rtl w:val="true"/>
        </w:rPr>
        <w:t>הוא הורה למתלוננת לגעת באיבר מינו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הפשיט המערער את המתלוננת מבגדיה</w:t>
      </w:r>
      <w:r>
        <w:rPr>
          <w:rtl w:val="true"/>
        </w:rPr>
        <w:t xml:space="preserve">, </w:t>
      </w:r>
      <w:r>
        <w:rPr>
          <w:rtl w:val="true"/>
        </w:rPr>
        <w:t>והחל ללטף אותה בכל גופה</w:t>
      </w:r>
      <w:r>
        <w:rPr>
          <w:rtl w:val="true"/>
        </w:rPr>
        <w:t xml:space="preserve">, </w:t>
      </w:r>
      <w:r>
        <w:rPr>
          <w:rtl w:val="true"/>
        </w:rPr>
        <w:t>בחזה ובאיבר מינה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לצורך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המערער נשכב על מיטתו</w:t>
      </w:r>
      <w:r>
        <w:rPr>
          <w:rtl w:val="true"/>
        </w:rPr>
        <w:t xml:space="preserve">, </w:t>
      </w:r>
      <w:r>
        <w:rPr>
          <w:rtl w:val="true"/>
        </w:rPr>
        <w:t>והורה למתלוננת לשכב לידו</w:t>
      </w:r>
      <w:r>
        <w:rPr>
          <w:rtl w:val="true"/>
        </w:rPr>
        <w:t xml:space="preserve">. </w:t>
      </w:r>
      <w:r>
        <w:rPr>
          <w:rtl w:val="true"/>
        </w:rPr>
        <w:t>המערער החל לבעול את המתלוננת</w:t>
      </w:r>
      <w:r>
        <w:rPr>
          <w:rtl w:val="true"/>
        </w:rPr>
        <w:t xml:space="preserve">, </w:t>
      </w:r>
      <w:r>
        <w:rPr>
          <w:rtl w:val="true"/>
        </w:rPr>
        <w:t>ולא פסק חרף אמירתה כי הדבר כואב לה מאוד</w:t>
      </w:r>
      <w:r>
        <w:rPr>
          <w:rtl w:val="true"/>
        </w:rPr>
        <w:t xml:space="preserve">. </w:t>
      </w:r>
      <w:r>
        <w:rPr>
          <w:rtl w:val="true"/>
        </w:rPr>
        <w:t>המערער המשיך לבעול את המתלוננת עד הגיעו לפורקן</w:t>
      </w:r>
      <w:r>
        <w:rPr>
          <w:rtl w:val="true"/>
        </w:rPr>
        <w:t xml:space="preserve">, </w:t>
      </w:r>
      <w:r>
        <w:rPr>
          <w:rtl w:val="true"/>
        </w:rPr>
        <w:t>אז הוציא את איבר מינו מאיבר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ושפך את זרעו על הרצפה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לאחר האירוע הראשון</w:t>
      </w:r>
      <w:r>
        <w:rPr>
          <w:rtl w:val="true"/>
        </w:rPr>
        <w:t xml:space="preserve">, </w:t>
      </w:r>
      <w:r>
        <w:rPr>
          <w:rtl w:val="true"/>
        </w:rPr>
        <w:t>במועדים שאינם ידועים במדויק למשיבה</w:t>
      </w:r>
      <w:r>
        <w:rPr>
          <w:rtl w:val="true"/>
        </w:rPr>
        <w:t xml:space="preserve">, </w:t>
      </w:r>
      <w:r>
        <w:rPr>
          <w:rtl w:val="true"/>
        </w:rPr>
        <w:t xml:space="preserve">ועד לחודש יולי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בעל המערער את המתלוננת בתדירות של 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 בשבוע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האם לא הייתה בבית</w:t>
      </w:r>
      <w:r>
        <w:rPr>
          <w:rtl w:val="true"/>
        </w:rPr>
        <w:t xml:space="preserve">, </w:t>
      </w:r>
      <w:r>
        <w:rPr>
          <w:rtl w:val="true"/>
        </w:rPr>
        <w:t xml:space="preserve">חרף התנגדותה של המתלוננת ולפעמים תוך שימוש באלימות ובמכות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המתמשכים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כן פורט בכתב האישום</w:t>
      </w:r>
      <w:r>
        <w:rPr>
          <w:rtl w:val="true"/>
        </w:rPr>
        <w:t xml:space="preserve">, </w:t>
      </w:r>
      <w:r>
        <w:rPr>
          <w:rtl w:val="true"/>
        </w:rPr>
        <w:t>כי במועדים שאינם ידועים במדויק למשיבה</w:t>
      </w:r>
      <w:r>
        <w:rPr>
          <w:rtl w:val="true"/>
        </w:rPr>
        <w:t xml:space="preserve">, </w:t>
      </w:r>
      <w:r>
        <w:rPr>
          <w:rtl w:val="true"/>
        </w:rPr>
        <w:t>ביצע המערער במתלוננת שני מעשי סדום</w:t>
      </w:r>
      <w:r>
        <w:rPr>
          <w:rtl w:val="true"/>
        </w:rPr>
        <w:t xml:space="preserve">, </w:t>
      </w:r>
      <w:r>
        <w:rPr>
          <w:rtl w:val="true"/>
        </w:rPr>
        <w:t xml:space="preserve">בכך שהחדיר את איבר מינו לפי הטבעת שלה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הסדום</w:t>
      </w:r>
      <w:r>
        <w:rPr>
          <w:rtl w:val="true"/>
        </w:rPr>
        <w:t xml:space="preserve">); </w:t>
      </w:r>
      <w:r>
        <w:rPr>
          <w:rtl w:val="true"/>
        </w:rPr>
        <w:t xml:space="preserve">ליטף אותה באיבר מינה כשהייתה בחדרה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השינה</w:t>
      </w:r>
      <w:r>
        <w:rPr>
          <w:rtl w:val="true"/>
        </w:rPr>
        <w:t xml:space="preserve">); </w:t>
      </w:r>
      <w:r>
        <w:rPr>
          <w:rtl w:val="true"/>
        </w:rPr>
        <w:t>ותקף אותה בכך שהכה אותה והטיח את ראשה בקיר</w:t>
      </w:r>
      <w:r>
        <w:rPr>
          <w:rtl w:val="true"/>
        </w:rPr>
        <w:t xml:space="preserve">, </w:t>
      </w:r>
      <w:r>
        <w:rPr>
          <w:rtl w:val="true"/>
        </w:rPr>
        <w:t xml:space="preserve">ואיים עליה כי בפעם הבאה יפגע בה באופן קשה יותר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התקיפה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כל אלה</w:t>
      </w:r>
      <w:r>
        <w:rPr>
          <w:rtl w:val="true"/>
        </w:rPr>
        <w:t xml:space="preserve">, </w:t>
      </w:r>
      <w:r>
        <w:rPr>
          <w:rtl w:val="true"/>
        </w:rPr>
        <w:t xml:space="preserve">בוצעו במתלוננת 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וחלקם </w:t>
      </w:r>
      <w:r>
        <w:rPr>
          <w:rtl w:val="true"/>
        </w:rPr>
        <w:t>–</w:t>
      </w:r>
      <w:r>
        <w:rPr>
          <w:rtl w:val="true"/>
        </w:rPr>
        <w:t xml:space="preserve"> אף בטרם מלאו 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tl w:val="true"/>
        </w:rPr>
        <w:t xml:space="preserve"> </w:t>
      </w:r>
      <w:r>
        <w:rPr/>
        <w:t>09.02.2021</w:t>
      </w:r>
      <w:r>
        <w:rPr>
          <w:rtl w:val="true"/>
        </w:rPr>
        <w:t xml:space="preserve">, </w:t>
      </w:r>
      <w:r>
        <w:rPr>
          <w:rtl w:val="true"/>
        </w:rPr>
        <w:t>לאחר ניהול הליך הוכחות מלא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בפתח הדברים הביא בית המשפט את גרסאות הצדדים</w:t>
      </w:r>
      <w:r>
        <w:rPr>
          <w:rtl w:val="true"/>
        </w:rPr>
        <w:t xml:space="preserve">, </w:t>
      </w:r>
      <w:r>
        <w:rPr>
          <w:rtl w:val="true"/>
        </w:rPr>
        <w:t>כפי שאלו הוצגו בחקירותיהם במשטרה ובעדותם</w:t>
      </w:r>
      <w:r>
        <w:rPr>
          <w:rtl w:val="true"/>
        </w:rPr>
        <w:t xml:space="preserve">. </w:t>
      </w:r>
      <w:r>
        <w:rPr>
          <w:rtl w:val="true"/>
        </w:rPr>
        <w:t>לפי גרסת המתלוננת</w:t>
      </w:r>
      <w:r>
        <w:rPr>
          <w:rtl w:val="true"/>
        </w:rPr>
        <w:t xml:space="preserve">, </w:t>
      </w:r>
      <w:r>
        <w:rPr>
          <w:rtl w:val="true"/>
        </w:rPr>
        <w:t>טרם האירועים המתוארים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עלה בלבה חשד שהמערער </w:t>
      </w:r>
      <w:r>
        <w:rPr>
          <w:rtl w:val="true"/>
        </w:rPr>
        <w:t>"</w:t>
      </w:r>
      <w:r>
        <w:rPr>
          <w:rtl w:val="true"/>
        </w:rPr>
        <w:t>עושה דברים</w:t>
      </w:r>
      <w:r>
        <w:rPr>
          <w:rtl w:val="true"/>
        </w:rPr>
        <w:t xml:space="preserve">" </w:t>
      </w:r>
      <w:r>
        <w:rPr>
          <w:rtl w:val="true"/>
        </w:rPr>
        <w:t>לאחותה הבכורה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שנהג לקחת את אחותה הבכורה לחדר סגור</w:t>
      </w:r>
      <w:r>
        <w:rPr>
          <w:rtl w:val="true"/>
        </w:rPr>
        <w:t xml:space="preserve">, </w:t>
      </w:r>
      <w:r>
        <w:rPr>
          <w:rtl w:val="true"/>
        </w:rPr>
        <w:t>תוך שהוא מורה להן שלא לספר על כך לאמן</w:t>
      </w:r>
      <w:r>
        <w:rPr>
          <w:rtl w:val="true"/>
        </w:rPr>
        <w:t xml:space="preserve">. </w:t>
      </w:r>
      <w:r>
        <w:rPr>
          <w:rtl w:val="true"/>
        </w:rPr>
        <w:t>כשבועיים לאחר שאחותה הבכורה נישאה</w:t>
      </w:r>
      <w:r>
        <w:rPr>
          <w:rtl w:val="true"/>
        </w:rPr>
        <w:t xml:space="preserve">, </w:t>
      </w:r>
      <w:r>
        <w:rPr>
          <w:rtl w:val="true"/>
        </w:rPr>
        <w:t>התרחש האירוע הראשון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הדברים הפכו לחלק משגרת יומה של המתלוננת</w:t>
      </w:r>
      <w:r>
        <w:rPr>
          <w:rtl w:val="true"/>
        </w:rPr>
        <w:t xml:space="preserve">, </w:t>
      </w:r>
      <w:r>
        <w:rPr>
          <w:rtl w:val="true"/>
        </w:rPr>
        <w:t>והמערער ביצע בה את מעשיו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כשלוש עד ארבע פעמים בשבוע</w:t>
      </w:r>
      <w:r>
        <w:rPr>
          <w:rtl w:val="true"/>
        </w:rPr>
        <w:t xml:space="preserve">, </w:t>
      </w:r>
      <w:r>
        <w:rPr>
          <w:rtl w:val="true"/>
        </w:rPr>
        <w:t>פרט למקרים בהם הצליחה להדוף אותו</w:t>
      </w:r>
      <w:r>
        <w:rPr>
          <w:rtl w:val="true"/>
        </w:rPr>
        <w:t xml:space="preserve">, </w:t>
      </w:r>
      <w:r>
        <w:rPr>
          <w:rtl w:val="true"/>
        </w:rPr>
        <w:t>או בזמן שהייתה בווסת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גרסת המתלוננת</w:t>
      </w:r>
      <w:r>
        <w:rPr>
          <w:rtl w:val="true"/>
        </w:rPr>
        <w:t xml:space="preserve">, </w:t>
      </w:r>
      <w:r>
        <w:rPr>
          <w:rtl w:val="true"/>
        </w:rPr>
        <w:t>האירוע הראשון התרחש לאחר שאמה נסעה לבקר את אחותה הבכורה</w:t>
      </w:r>
      <w:r>
        <w:rPr>
          <w:rtl w:val="true"/>
        </w:rPr>
        <w:t xml:space="preserve">, </w:t>
      </w:r>
      <w:r>
        <w:rPr>
          <w:rtl w:val="true"/>
        </w:rPr>
        <w:t>כאשר המערער אסר על כך שהמתלוננת תצטרף לנסיעה</w:t>
      </w:r>
      <w:r>
        <w:rPr>
          <w:rtl w:val="true"/>
        </w:rPr>
        <w:t xml:space="preserve">. </w:t>
      </w:r>
      <w:r>
        <w:rPr>
          <w:rtl w:val="true"/>
        </w:rPr>
        <w:t>לגרסתה המערער קרא לה להיכנס לבית והורה לה להוריד את שכבת בגדיה התחתונה</w:t>
      </w:r>
      <w:r>
        <w:rPr>
          <w:rtl w:val="true"/>
        </w:rPr>
        <w:t xml:space="preserve">, </w:t>
      </w:r>
      <w:r>
        <w:rPr>
          <w:rtl w:val="true"/>
        </w:rPr>
        <w:t>כך שתישאר עם הטוניקה שלבשה מעליה</w:t>
      </w:r>
      <w:r>
        <w:rPr>
          <w:rtl w:val="true"/>
        </w:rPr>
        <w:t xml:space="preserve">, </w:t>
      </w:r>
      <w:r>
        <w:rPr>
          <w:rtl w:val="true"/>
        </w:rPr>
        <w:t>ותו לאו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הכניסה לחדרו</w:t>
      </w:r>
      <w:r>
        <w:rPr>
          <w:rtl w:val="true"/>
        </w:rPr>
        <w:t xml:space="preserve">, </w:t>
      </w:r>
      <w:r>
        <w:rPr>
          <w:rtl w:val="true"/>
        </w:rPr>
        <w:t xml:space="preserve">חשף את איבר מינו בפניה וקיים עמה יחסי מין </w:t>
      </w:r>
      <w:r>
        <w:rPr>
          <w:rtl w:val="true"/>
        </w:rPr>
        <w:t>–</w:t>
      </w:r>
      <w:r>
        <w:rPr>
          <w:rtl w:val="true"/>
        </w:rPr>
        <w:t xml:space="preserve"> תחילה בעמידה</w:t>
      </w:r>
      <w:r>
        <w:rPr>
          <w:rtl w:val="true"/>
        </w:rPr>
        <w:t xml:space="preserve">, </w:t>
      </w:r>
      <w:r>
        <w:rPr>
          <w:rtl w:val="true"/>
        </w:rPr>
        <w:t>ולאחר מכן על מיטתו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tl w:val="true"/>
        </w:rPr>
        <w:t xml:space="preserve">, </w:t>
      </w:r>
      <w:r>
        <w:rPr>
          <w:rtl w:val="true"/>
        </w:rPr>
        <w:t>הגיע המערער לפורקן כאשר השניים היו בעמידה</w:t>
      </w:r>
      <w:r>
        <w:rPr>
          <w:rtl w:val="true"/>
        </w:rPr>
        <w:t xml:space="preserve">, </w:t>
      </w:r>
      <w:r>
        <w:rPr>
          <w:rtl w:val="true"/>
        </w:rPr>
        <w:t xml:space="preserve">ושפך את זרעו </w:t>
      </w:r>
      <w:r>
        <w:rPr>
          <w:rtl w:val="true"/>
        </w:rPr>
        <w:t>"</w:t>
      </w:r>
      <w:r>
        <w:rPr>
          <w:rtl w:val="true"/>
        </w:rPr>
        <w:t>חצי בפנים</w:t>
      </w:r>
      <w:r>
        <w:rPr>
          <w:rtl w:val="true"/>
        </w:rPr>
        <w:t xml:space="preserve">, </w:t>
      </w:r>
      <w:r>
        <w:rPr>
          <w:rtl w:val="true"/>
        </w:rPr>
        <w:t>חצי בחוץ</w:t>
      </w:r>
      <w:r>
        <w:rPr>
          <w:rtl w:val="true"/>
        </w:rPr>
        <w:t xml:space="preserve">". </w:t>
      </w:r>
      <w:r>
        <w:rPr>
          <w:rtl w:val="true"/>
        </w:rPr>
        <w:t>המערערת תיארה גם את הפעם השנייה בו קיים המערער יחסי מין עמה</w:t>
      </w:r>
      <w:r>
        <w:rPr>
          <w:rtl w:val="true"/>
        </w:rPr>
        <w:t xml:space="preserve">, </w:t>
      </w:r>
      <w:r>
        <w:rPr>
          <w:rtl w:val="true"/>
        </w:rPr>
        <w:t>את אירועי מעשי הסדום</w:t>
      </w:r>
      <w:r>
        <w:rPr>
          <w:rtl w:val="true"/>
        </w:rPr>
        <w:t xml:space="preserve">, </w:t>
      </w:r>
      <w:r>
        <w:rPr>
          <w:rtl w:val="true"/>
        </w:rPr>
        <w:t>את אירועי התקיפה ואת האירועים המתמשכים</w:t>
      </w:r>
      <w:r>
        <w:rPr>
          <w:rtl w:val="true"/>
        </w:rPr>
        <w:t xml:space="preserve">. </w:t>
      </w:r>
      <w:r>
        <w:rPr>
          <w:rtl w:val="true"/>
        </w:rPr>
        <w:t>עוד התייחסה המתלוננת לפעם האחרונה בה המערער קיים עמה יחסי מין</w:t>
      </w:r>
      <w:r>
        <w:rPr>
          <w:rtl w:val="true"/>
        </w:rPr>
        <w:t xml:space="preserve">, </w:t>
      </w:r>
      <w:r>
        <w:rPr>
          <w:rtl w:val="true"/>
        </w:rPr>
        <w:t>וציינה כי המערער הפסיק לעשות כן נוכח מעבר המשפחה לדירה בעיר</w:t>
      </w:r>
      <w:r>
        <w:rPr>
          <w:rtl w:val="true"/>
        </w:rPr>
        <w:t xml:space="preserve">, </w:t>
      </w:r>
      <w:r>
        <w:rPr>
          <w:rtl w:val="true"/>
        </w:rPr>
        <w:t>ממנה אמה לא נהגה לצאת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לאופן חשיפת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פירטה כי היא סיפרה לראשונה על אודות המעשים שביצע בה המערער לדודתה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הדודה</w:t>
      </w:r>
      <w:r>
        <w:rPr>
          <w:rtl w:val="true"/>
        </w:rPr>
        <w:t xml:space="preserve">) </w:t>
      </w:r>
      <w:r>
        <w:rPr>
          <w:rtl w:val="true"/>
        </w:rPr>
        <w:t>כאשר ביקרה בבית סבתא</w:t>
      </w:r>
      <w:r>
        <w:rPr>
          <w:rtl w:val="true"/>
        </w:rPr>
        <w:t xml:space="preserve">. </w:t>
      </w:r>
      <w:r>
        <w:rPr>
          <w:rtl w:val="true"/>
        </w:rPr>
        <w:t xml:space="preserve">הדודה הציעה לה לספר לאחד מדודיה </w:t>
      </w:r>
      <w:r>
        <w:rPr>
          <w:rtl w:val="true"/>
        </w:rPr>
        <w:t>–</w:t>
      </w:r>
      <w:r>
        <w:rPr>
          <w:rtl w:val="true"/>
        </w:rPr>
        <w:t xml:space="preserve"> אחי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וכך היא עשתה</w:t>
      </w:r>
      <w:r>
        <w:rPr>
          <w:rtl w:val="true"/>
        </w:rPr>
        <w:t xml:space="preserve">. </w:t>
      </w:r>
      <w:r>
        <w:rPr>
          <w:rtl w:val="true"/>
        </w:rPr>
        <w:t>מאותו מועד</w:t>
      </w:r>
      <w:r>
        <w:rPr>
          <w:rtl w:val="true"/>
        </w:rPr>
        <w:t xml:space="preserve">, </w:t>
      </w:r>
      <w:r>
        <w:rPr>
          <w:rtl w:val="true"/>
        </w:rPr>
        <w:t>התגוררה אצל הדוד ע</w:t>
      </w:r>
      <w:r>
        <w:rPr>
          <w:rtl w:val="true"/>
        </w:rPr>
        <w:t xml:space="preserve">', </w:t>
      </w:r>
      <w:r>
        <w:rPr>
          <w:rtl w:val="true"/>
        </w:rPr>
        <w:t>ובהמשך הדוד ע</w:t>
      </w:r>
      <w:r>
        <w:rPr>
          <w:rtl w:val="true"/>
        </w:rPr>
        <w:t xml:space="preserve">' </w:t>
      </w:r>
      <w:r>
        <w:rPr>
          <w:rtl w:val="true"/>
        </w:rPr>
        <w:t xml:space="preserve">יחד עם דוד נוסף לקחו אותה לעובדת סוציאלית מטעם משרד הרווחה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צופית</w:t>
      </w:r>
      <w:r>
        <w:rPr>
          <w:rtl w:val="true"/>
        </w:rPr>
        <w:t xml:space="preserve">) </w:t>
      </w:r>
      <w:r>
        <w:rPr>
          <w:rtl w:val="true"/>
        </w:rPr>
        <w:t>ולמשטרת ישראל לצורך הגשת תלונה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נלקחה המתלוננת לבדיקות פורנזיות לצורך בחינת ממצאים חבלתיים</w:t>
      </w:r>
      <w:r>
        <w:rPr>
          <w:rtl w:val="true"/>
        </w:rPr>
        <w:t xml:space="preserve">, </w:t>
      </w:r>
      <w:r>
        <w:rPr>
          <w:rtl w:val="true"/>
        </w:rPr>
        <w:t>המעידים על קיום יחסי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לפי גרסת המתלוננת</w:t>
      </w:r>
      <w:r>
        <w:rPr>
          <w:rtl w:val="true"/>
        </w:rPr>
        <w:t xml:space="preserve">, </w:t>
      </w:r>
      <w:r>
        <w:rPr>
          <w:rtl w:val="true"/>
        </w:rPr>
        <w:t>במועד מסוים</w:t>
      </w:r>
      <w:r>
        <w:rPr>
          <w:rtl w:val="true"/>
        </w:rPr>
        <w:t xml:space="preserve">, </w:t>
      </w:r>
      <w:r>
        <w:rPr>
          <w:rtl w:val="true"/>
        </w:rPr>
        <w:t xml:space="preserve">דוד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 xml:space="preserve">יחד עם חבר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</w:t>
      </w:r>
      <w:r>
        <w:rPr>
          <w:rtl w:val="true"/>
        </w:rPr>
        <w:t xml:space="preserve">), </w:t>
      </w:r>
      <w:r>
        <w:rPr>
          <w:rtl w:val="true"/>
        </w:rPr>
        <w:t>לקחו אותה לתחנת משטרה כדי שתבטל את התלונה שהגישה</w:t>
      </w:r>
      <w:r>
        <w:rPr>
          <w:rtl w:val="true"/>
        </w:rPr>
        <w:t xml:space="preserve">. </w:t>
      </w:r>
      <w:r>
        <w:rPr>
          <w:rtl w:val="true"/>
        </w:rPr>
        <w:t>תחילה הסכימה המתלוננת לעשות כן</w:t>
      </w:r>
      <w:r>
        <w:rPr>
          <w:rtl w:val="true"/>
        </w:rPr>
        <w:t xml:space="preserve">, </w:t>
      </w:r>
      <w:r>
        <w:rPr>
          <w:rtl w:val="true"/>
        </w:rPr>
        <w:t>אך לאחר שנשארה לבדה עם החוקרת</w:t>
      </w:r>
      <w:r>
        <w:rPr>
          <w:rtl w:val="true"/>
        </w:rPr>
        <w:t xml:space="preserve">, </w:t>
      </w:r>
      <w:r>
        <w:rPr>
          <w:rtl w:val="true"/>
        </w:rPr>
        <w:t>ציינה לפניה כי האמור בתלונה נכון</w:t>
      </w:r>
      <w:r>
        <w:rPr>
          <w:rtl w:val="true"/>
        </w:rPr>
        <w:t xml:space="preserve">, </w:t>
      </w:r>
      <w:r>
        <w:rPr>
          <w:rtl w:val="true"/>
        </w:rPr>
        <w:t>וכי היא אינה רוצה לבטל את תלונתה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בחקירתה הנגדית</w:t>
      </w:r>
      <w:r>
        <w:rPr>
          <w:rtl w:val="true"/>
        </w:rPr>
        <w:t xml:space="preserve">, </w:t>
      </w:r>
      <w:r>
        <w:rPr>
          <w:rtl w:val="true"/>
        </w:rPr>
        <w:t>ציינה המתלוננת כי הסיבות לכך שלא חשפה את האירועים המתוארים בכתב האישום במועד מוקדם יותר היו שהיא לא הבינה את משמעות הדברים</w:t>
      </w:r>
      <w:r>
        <w:rPr>
          <w:rtl w:val="true"/>
        </w:rPr>
        <w:t xml:space="preserve">, </w:t>
      </w:r>
      <w:r>
        <w:rPr>
          <w:rtl w:val="true"/>
        </w:rPr>
        <w:t>חששה מהמערער</w:t>
      </w:r>
      <w:r>
        <w:rPr>
          <w:rtl w:val="true"/>
        </w:rPr>
        <w:t xml:space="preserve">, </w:t>
      </w:r>
      <w:r>
        <w:rPr>
          <w:rtl w:val="true"/>
        </w:rPr>
        <w:t>ופחדה שכולם ידעו על כך</w:t>
      </w:r>
      <w:r>
        <w:rPr>
          <w:rtl w:val="true"/>
        </w:rPr>
        <w:t xml:space="preserve">. </w:t>
      </w:r>
      <w:r>
        <w:rPr>
          <w:rtl w:val="true"/>
        </w:rPr>
        <w:t>כן אישרה המתלוננת</w:t>
      </w:r>
      <w:r>
        <w:rPr>
          <w:rtl w:val="true"/>
        </w:rPr>
        <w:t xml:space="preserve">, </w:t>
      </w:r>
      <w:r>
        <w:rPr>
          <w:rtl w:val="true"/>
        </w:rPr>
        <w:t>כי היא רצתה לקבל יותר חופש</w:t>
      </w:r>
      <w:r>
        <w:rPr>
          <w:rtl w:val="true"/>
        </w:rPr>
        <w:t xml:space="preserve">, </w:t>
      </w:r>
      <w:r>
        <w:rPr>
          <w:rtl w:val="true"/>
        </w:rPr>
        <w:t>ואילו המערער לא אפשר זאת</w:t>
      </w:r>
      <w:r>
        <w:rPr>
          <w:rtl w:val="true"/>
        </w:rPr>
        <w:t xml:space="preserve">, </w:t>
      </w:r>
      <w:r>
        <w:rPr>
          <w:rtl w:val="true"/>
        </w:rPr>
        <w:t>ואף רצה לחתן אותה עם אדם שלא חפצה להינשא 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כפר בכל המיוחס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ושלל מכל את גרסת המתלוננת</w:t>
      </w:r>
      <w:r>
        <w:rPr>
          <w:rtl w:val="true"/>
        </w:rPr>
        <w:t xml:space="preserve">. </w:t>
      </w:r>
      <w:r>
        <w:rPr>
          <w:rtl w:val="true"/>
        </w:rPr>
        <w:t>גרסתו של המערער בכל הנוגע להאשמות בעבירות מין התבססה על שלושה אדנים עיקריים</w:t>
      </w:r>
      <w:r>
        <w:rPr>
          <w:rtl w:val="true"/>
        </w:rPr>
        <w:t xml:space="preserve">: </w:t>
      </w:r>
      <w:r>
        <w:rPr>
          <w:rtl w:val="true"/>
        </w:rPr>
        <w:t>מצבו הרפואי</w:t>
      </w:r>
      <w:r>
        <w:rPr>
          <w:rtl w:val="true"/>
        </w:rPr>
        <w:t xml:space="preserve">, </w:t>
      </w:r>
      <w:r>
        <w:rPr>
          <w:rtl w:val="true"/>
        </w:rPr>
        <w:t>שלא אפשר לו לקיים יחסי מין עם המתלוננת</w:t>
      </w:r>
      <w:r>
        <w:rPr>
          <w:rtl w:val="true"/>
        </w:rPr>
        <w:t xml:space="preserve">; </w:t>
      </w:r>
      <w:r>
        <w:rPr>
          <w:rtl w:val="true"/>
        </w:rPr>
        <w:t>העובדה כי במשך כל היום הוא שוהה בבית קפה מחוץ לבית</w:t>
      </w:r>
      <w:r>
        <w:rPr>
          <w:rtl w:val="true"/>
        </w:rPr>
        <w:t xml:space="preserve">; </w:t>
      </w:r>
      <w:r>
        <w:rPr>
          <w:rtl w:val="true"/>
        </w:rPr>
        <w:t xml:space="preserve">והעובדה כי אשתו </w:t>
      </w:r>
      <w:r>
        <w:rPr>
          <w:rtl w:val="true"/>
        </w:rPr>
        <w:t>(</w:t>
      </w:r>
      <w:r>
        <w:rPr>
          <w:rtl w:val="true"/>
        </w:rPr>
        <w:t>אם המתלוננת</w:t>
      </w:r>
      <w:r>
        <w:rPr>
          <w:rtl w:val="true"/>
        </w:rPr>
        <w:t xml:space="preserve">) </w:t>
      </w:r>
      <w:r>
        <w:rPr>
          <w:rtl w:val="true"/>
        </w:rPr>
        <w:t>אינה נוהגת לצאת מהבית</w:t>
      </w:r>
      <w:r>
        <w:rPr>
          <w:rtl w:val="true"/>
        </w:rPr>
        <w:t xml:space="preserve">. </w:t>
      </w:r>
      <w:r>
        <w:rPr>
          <w:rtl w:val="true"/>
        </w:rPr>
        <w:t>המערער פירט</w:t>
      </w:r>
      <w:r>
        <w:rPr>
          <w:rtl w:val="true"/>
        </w:rPr>
        <w:t xml:space="preserve">, </w:t>
      </w:r>
      <w:r>
        <w:rPr>
          <w:rtl w:val="true"/>
        </w:rPr>
        <w:t>כי הוא חולה אפילפסיה וחווה התקפים בהתאם</w:t>
      </w:r>
      <w:r>
        <w:rPr>
          <w:rtl w:val="true"/>
        </w:rPr>
        <w:t xml:space="preserve">, </w:t>
      </w:r>
      <w:r>
        <w:rPr>
          <w:rtl w:val="true"/>
        </w:rPr>
        <w:t>כמו גם התקפי חרדה</w:t>
      </w:r>
      <w:r>
        <w:rPr>
          <w:rtl w:val="true"/>
        </w:rPr>
        <w:t xml:space="preserve">. </w:t>
      </w:r>
      <w:r>
        <w:rPr>
          <w:rtl w:val="true"/>
        </w:rPr>
        <w:t>עוד הוא פירט</w:t>
      </w:r>
      <w:r>
        <w:rPr>
          <w:rtl w:val="true"/>
        </w:rPr>
        <w:t xml:space="preserve">, </w:t>
      </w:r>
      <w:r>
        <w:rPr>
          <w:rtl w:val="true"/>
        </w:rPr>
        <w:t>כי קיום יחסי מין גורם לו לקבל התקפים אפילפטיים</w:t>
      </w:r>
      <w:r>
        <w:rPr>
          <w:rtl w:val="true"/>
        </w:rPr>
        <w:t xml:space="preserve">, </w:t>
      </w:r>
      <w:r>
        <w:rPr>
          <w:rtl w:val="true"/>
        </w:rPr>
        <w:t>ולכן אף עם האם הוא אינו נוהג לקיים יחסי מין באופן תדיר</w:t>
      </w:r>
      <w:r>
        <w:rPr>
          <w:rtl w:val="true"/>
        </w:rPr>
        <w:t xml:space="preserve">, </w:t>
      </w:r>
      <w:r>
        <w:rPr>
          <w:rtl w:val="true"/>
        </w:rPr>
        <w:t>והדבר קורה אחת לכמה חודשים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מצבו הבריאותי אינו מאפשר לו לקיים יחסי מין עם המתלוננת</w:t>
      </w:r>
      <w:r>
        <w:rPr>
          <w:rtl w:val="true"/>
        </w:rPr>
        <w:t xml:space="preserve">, </w:t>
      </w:r>
      <w:r>
        <w:rPr>
          <w:rtl w:val="true"/>
        </w:rPr>
        <w:t>ודאי שלא בתדירות הנטענת בגרסתה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את מרבית ימיו בתקופה הרלבנטית לכתב האישום</w:t>
      </w:r>
      <w:r>
        <w:rPr>
          <w:rtl w:val="true"/>
        </w:rPr>
        <w:t xml:space="preserve">, </w:t>
      </w:r>
      <w:r>
        <w:rPr>
          <w:rtl w:val="true"/>
        </w:rPr>
        <w:t>הוא נהג להעביר בבית קפה ליד ביתו</w:t>
      </w:r>
      <w:r>
        <w:rPr>
          <w:rtl w:val="true"/>
        </w:rPr>
        <w:t xml:space="preserve">. </w:t>
      </w:r>
      <w:r>
        <w:rPr>
          <w:rtl w:val="true"/>
        </w:rPr>
        <w:t>לפי גרסתו</w:t>
      </w:r>
      <w:r>
        <w:rPr>
          <w:rtl w:val="true"/>
        </w:rPr>
        <w:t xml:space="preserve">, </w:t>
      </w:r>
      <w:r>
        <w:rPr>
          <w:rtl w:val="true"/>
        </w:rPr>
        <w:t>בבוקר הוא יוצא לבית קפה ויושב שם לבדו</w:t>
      </w:r>
      <w:r>
        <w:rPr>
          <w:rtl w:val="true"/>
        </w:rPr>
        <w:t xml:space="preserve">, </w:t>
      </w:r>
      <w:r>
        <w:rPr>
          <w:rtl w:val="true"/>
        </w:rPr>
        <w:t>בצהריים הוא חוזר לביתו לנוח למשך שעתיים</w:t>
      </w:r>
      <w:r>
        <w:rPr>
          <w:rtl w:val="true"/>
        </w:rPr>
        <w:t xml:space="preserve">, </w:t>
      </w:r>
      <w:r>
        <w:rPr>
          <w:rtl w:val="true"/>
        </w:rPr>
        <w:t>ולאחר מכן הוא חוזר לבית קפה ויושב שם עם חבריו עד הלילה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>כי האם אינה נוהגת לבקר את האחות הבכורה בתדירות גבוהה</w:t>
      </w:r>
      <w:r>
        <w:rPr>
          <w:rtl w:val="true"/>
        </w:rPr>
        <w:t xml:space="preserve">, </w:t>
      </w:r>
      <w:r>
        <w:rPr>
          <w:rtl w:val="true"/>
        </w:rPr>
        <w:t>והיא עושה כן פעם בחודש או חודש וחצי</w:t>
      </w:r>
      <w:r>
        <w:rPr>
          <w:rtl w:val="true"/>
        </w:rPr>
        <w:t xml:space="preserve">. </w:t>
      </w:r>
      <w:r>
        <w:rPr>
          <w:rtl w:val="true"/>
        </w:rPr>
        <w:t>בנוסף צוין</w:t>
      </w:r>
      <w:r>
        <w:rPr>
          <w:rtl w:val="true"/>
        </w:rPr>
        <w:t xml:space="preserve">, </w:t>
      </w:r>
      <w:r>
        <w:rPr>
          <w:rtl w:val="true"/>
        </w:rPr>
        <w:t>כי לדלתות הבתים בהם גרו לא היו מנעולים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לא היה יכול לבצע במתלוננת את מעשי המין שיוחסו לו</w:t>
      </w:r>
      <w:r>
        <w:rPr>
          <w:rtl w:val="true"/>
        </w:rPr>
        <w:t xml:space="preserve">, </w:t>
      </w:r>
      <w:r>
        <w:rPr>
          <w:rtl w:val="true"/>
        </w:rPr>
        <w:t>הן משום שלא נכח מרבית מהזמן בבית</w:t>
      </w:r>
      <w:r>
        <w:rPr>
          <w:rtl w:val="true"/>
        </w:rPr>
        <w:t xml:space="preserve">; </w:t>
      </w:r>
      <w:r>
        <w:rPr>
          <w:rtl w:val="true"/>
        </w:rPr>
        <w:t>הן משום שהאם כן נכחה בבית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נדבכים נוספים בגרסתו של המערער היו המניעים של המתלוננת להפלילו</w:t>
      </w:r>
      <w:r>
        <w:rPr>
          <w:rtl w:val="true"/>
        </w:rPr>
        <w:t xml:space="preserve">, </w:t>
      </w:r>
      <w:r>
        <w:rPr>
          <w:rtl w:val="true"/>
        </w:rPr>
        <w:t>ובדיקת קרום הבתולין שנערכה לה</w:t>
      </w:r>
      <w:r>
        <w:rPr>
          <w:rtl w:val="true"/>
        </w:rPr>
        <w:t xml:space="preserve">. </w:t>
      </w:r>
      <w:r>
        <w:rPr>
          <w:rtl w:val="true"/>
        </w:rPr>
        <w:t>אשר למניע של המתלוננת להעליל עליו</w:t>
      </w:r>
      <w:r>
        <w:rPr>
          <w:rtl w:val="true"/>
        </w:rPr>
        <w:t xml:space="preserve">, </w:t>
      </w:r>
      <w:r>
        <w:rPr>
          <w:rtl w:val="true"/>
        </w:rPr>
        <w:t>המערער התוודה כי אינו יודע מה הביאה לעשות כן</w:t>
      </w:r>
      <w:r>
        <w:rPr>
          <w:rtl w:val="true"/>
        </w:rPr>
        <w:t xml:space="preserve">, </w:t>
      </w:r>
      <w:r>
        <w:rPr>
          <w:rtl w:val="true"/>
        </w:rPr>
        <w:t>אם כי סיפק שני הסברים אפשריים לכך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שהמתלוננת חפצה לקבל יותר חופש</w:t>
      </w:r>
      <w:r>
        <w:rPr>
          <w:rtl w:val="true"/>
        </w:rPr>
        <w:t xml:space="preserve">, </w:t>
      </w:r>
      <w:r>
        <w:rPr>
          <w:rtl w:val="true"/>
        </w:rPr>
        <w:t>לחזור לגור ביישוב</w:t>
      </w:r>
      <w:r>
        <w:rPr>
          <w:rtl w:val="true"/>
        </w:rPr>
        <w:t xml:space="preserve">, </w:t>
      </w:r>
      <w:r>
        <w:rPr>
          <w:rtl w:val="true"/>
        </w:rPr>
        <w:t>ולא רצתה להינשא לגבר שהפגיש לה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שבני משפחתו הניעו אותה להגיש תלונתה נגדו</w:t>
      </w:r>
      <w:r>
        <w:rPr>
          <w:rtl w:val="true"/>
        </w:rPr>
        <w:t xml:space="preserve">, </w:t>
      </w:r>
      <w:r>
        <w:rPr>
          <w:rtl w:val="true"/>
        </w:rPr>
        <w:t>נוכח התנגדותם למעברו לעיר</w:t>
      </w:r>
      <w:r>
        <w:rPr>
          <w:rtl w:val="true"/>
        </w:rPr>
        <w:t xml:space="preserve">. </w:t>
      </w:r>
      <w:r>
        <w:rPr>
          <w:rtl w:val="true"/>
        </w:rPr>
        <w:t>אשר לבדיקת קרום הבתולין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נלקחה לבדיקה אצל גניקולוג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שיזף</w:t>
      </w:r>
      <w:r>
        <w:rPr>
          <w:rtl w:val="true"/>
        </w:rPr>
        <w:t xml:space="preserve">), </w:t>
      </w:r>
      <w:r>
        <w:rPr>
          <w:rtl w:val="true"/>
        </w:rPr>
        <w:t>במסגרתה נמצא כי קרום הבתולין שלה שלם</w:t>
      </w:r>
      <w:r>
        <w:rPr>
          <w:rtl w:val="true"/>
        </w:rPr>
        <w:t xml:space="preserve">, </w:t>
      </w:r>
      <w:r>
        <w:rPr>
          <w:rtl w:val="true"/>
        </w:rPr>
        <w:t>וללא הפרשה חריגה</w:t>
      </w:r>
      <w:r>
        <w:rPr>
          <w:rtl w:val="true"/>
        </w:rPr>
        <w:t xml:space="preserve">. </w:t>
      </w:r>
      <w:r>
        <w:rPr>
          <w:rtl w:val="true"/>
        </w:rPr>
        <w:t>בהתאם לכך טען המערער</w:t>
      </w:r>
      <w:r>
        <w:rPr>
          <w:rtl w:val="true"/>
        </w:rPr>
        <w:t xml:space="preserve">, </w:t>
      </w:r>
      <w:r>
        <w:rPr>
          <w:rtl w:val="true"/>
        </w:rPr>
        <w:t>שאין זה סביר</w:t>
      </w:r>
      <w:r>
        <w:rPr>
          <w:rtl w:val="true"/>
        </w:rPr>
        <w:t xml:space="preserve">, </w:t>
      </w:r>
      <w:r>
        <w:rPr>
          <w:rtl w:val="true"/>
        </w:rPr>
        <w:t>שקיים יחסי מין עם המתלוננת בתדירות הנטענת</w:t>
      </w:r>
      <w:r>
        <w:rPr>
          <w:rtl w:val="true"/>
        </w:rPr>
        <w:t xml:space="preserve">, </w:t>
      </w:r>
      <w:r>
        <w:rPr>
          <w:rtl w:val="true"/>
        </w:rPr>
        <w:t>אשר מסתכמת במאות פעמים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לאירועי התקיפה</w:t>
      </w:r>
      <w:r>
        <w:rPr>
          <w:rtl w:val="true"/>
        </w:rPr>
        <w:t xml:space="preserve">, </w:t>
      </w:r>
      <w:r>
        <w:rPr>
          <w:rtl w:val="true"/>
        </w:rPr>
        <w:t>ציין המערער</w:t>
      </w:r>
      <w:r>
        <w:rPr>
          <w:rtl w:val="true"/>
        </w:rPr>
        <w:t xml:space="preserve">, </w:t>
      </w:r>
      <w:r>
        <w:rPr>
          <w:rtl w:val="true"/>
        </w:rPr>
        <w:t>כי אינו מכה את ילדיו</w:t>
      </w:r>
      <w:r>
        <w:rPr>
          <w:rtl w:val="true"/>
        </w:rPr>
        <w:t xml:space="preserve">, </w:t>
      </w:r>
      <w:r>
        <w:rPr>
          <w:rtl w:val="true"/>
        </w:rPr>
        <w:t xml:space="preserve">אלא הוא </w:t>
      </w:r>
      <w:r>
        <w:rPr>
          <w:rtl w:val="true"/>
        </w:rPr>
        <w:t>"</w:t>
      </w:r>
      <w:r>
        <w:rPr>
          <w:rtl w:val="true"/>
        </w:rPr>
        <w:t>עושה להם עונש</w:t>
      </w:r>
      <w:r>
        <w:rPr>
          <w:rtl w:val="true"/>
        </w:rPr>
        <w:t xml:space="preserve">" </w:t>
      </w:r>
      <w:r>
        <w:rPr>
          <w:rtl w:val="true"/>
        </w:rPr>
        <w:t>ולא מדבר איתם עד שהם מבקשים ממנו סליחה על התנהגותם</w:t>
      </w:r>
      <w:r>
        <w:rPr>
          <w:rtl w:val="true"/>
        </w:rPr>
        <w:t xml:space="preserve">. </w:t>
      </w:r>
      <w:r>
        <w:rPr>
          <w:rtl w:val="true"/>
        </w:rPr>
        <w:t>כן ציין המערער</w:t>
      </w:r>
      <w:r>
        <w:rPr>
          <w:rtl w:val="true"/>
        </w:rPr>
        <w:t xml:space="preserve">, </w:t>
      </w:r>
      <w:r>
        <w:rPr>
          <w:rtl w:val="true"/>
        </w:rPr>
        <w:t>כי כשהיה צוחק עם המתלוננת היה נוהג לתפוס באפה</w:t>
      </w:r>
      <w:r>
        <w:rPr>
          <w:rtl w:val="true"/>
        </w:rPr>
        <w:t xml:space="preserve">, </w:t>
      </w:r>
      <w:r>
        <w:rPr>
          <w:rtl w:val="true"/>
        </w:rPr>
        <w:t xml:space="preserve">וכי פעם אחת עשה זאת </w:t>
      </w:r>
      <w:r>
        <w:rPr>
          <w:rtl w:val="true"/>
        </w:rPr>
        <w:t>"</w:t>
      </w:r>
      <w:r>
        <w:rPr>
          <w:rtl w:val="true"/>
        </w:rPr>
        <w:t>ממש חזק</w:t>
      </w:r>
      <w:r>
        <w:rPr>
          <w:rtl w:val="true"/>
        </w:rPr>
        <w:t xml:space="preserve">". </w:t>
      </w:r>
      <w:r>
        <w:rPr>
          <w:rtl w:val="true"/>
        </w:rPr>
        <w:t>בהמשך ציין</w:t>
      </w:r>
      <w:r>
        <w:rPr>
          <w:rtl w:val="true"/>
        </w:rPr>
        <w:t xml:space="preserve">, </w:t>
      </w:r>
      <w:r>
        <w:rPr>
          <w:rtl w:val="true"/>
        </w:rPr>
        <w:t>כי אירע מקרה אחד בו דחף את המתלוננת אל קיר בבית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נוכח כפירתו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המחוזי כי </w:t>
      </w:r>
      <w:r>
        <w:rPr>
          <w:rtl w:val="true"/>
        </w:rPr>
        <w:t>"</w:t>
      </w:r>
      <w:r>
        <w:rPr>
          <w:rtl w:val="true"/>
        </w:rPr>
        <w:t>בתיק זה המחלוקת הינה רחבה ונוגעת לעצם קרות המעשים המיניים ומעשי האלימות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ובהתייחס ליתר הראיות בתיק</w:t>
      </w:r>
      <w:r>
        <w:rPr>
          <w:rtl w:val="true"/>
        </w:rPr>
        <w:t xml:space="preserve">, </w:t>
      </w:r>
      <w:r>
        <w:rPr>
          <w:rtl w:val="true"/>
        </w:rPr>
        <w:t>ציין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הכרעתו התבססה </w:t>
      </w:r>
      <w:r>
        <w:rPr>
          <w:rtl w:val="true"/>
        </w:rPr>
        <w:t>"</w:t>
      </w:r>
      <w:r>
        <w:rPr>
          <w:rtl w:val="true"/>
        </w:rPr>
        <w:t>ראש וראשית על בחינה וניתוח עדות המתלוננת ומהימנותה</w:t>
      </w:r>
      <w:r>
        <w:rPr>
          <w:rtl w:val="true"/>
        </w:rPr>
        <w:t xml:space="preserve">, </w:t>
      </w:r>
      <w:r>
        <w:rPr>
          <w:rtl w:val="true"/>
        </w:rPr>
        <w:t>תוך בחינת אופן השתלבותה בעדויות ובראיות הנוספות שהובאו</w:t>
      </w:r>
      <w:r>
        <w:rPr>
          <w:rtl w:val="true"/>
        </w:rPr>
        <w:t xml:space="preserve">... </w:t>
      </w:r>
      <w:r>
        <w:rPr>
          <w:rtl w:val="true"/>
        </w:rPr>
        <w:t>אל מול עדויות הנאשם ועדי ההגנה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16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ביחס לעדות המתלוננת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 xml:space="preserve">כי זו הייתה </w:t>
      </w:r>
      <w:r>
        <w:rPr>
          <w:rtl w:val="true"/>
        </w:rPr>
        <w:t>"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אותנטית</w:t>
      </w:r>
      <w:r>
        <w:rPr>
          <w:rtl w:val="true"/>
        </w:rPr>
        <w:t xml:space="preserve">, </w:t>
      </w:r>
      <w:r>
        <w:rPr>
          <w:rtl w:val="true"/>
        </w:rPr>
        <w:t>ישירה וכנה</w:t>
      </w:r>
      <w:r>
        <w:rPr>
          <w:rtl w:val="true"/>
        </w:rPr>
        <w:t xml:space="preserve">, </w:t>
      </w:r>
      <w:r>
        <w:rPr>
          <w:rtl w:val="true"/>
        </w:rPr>
        <w:t>אשר התאפיינה בהיעדר תחכום</w:t>
      </w:r>
      <w:r>
        <w:rPr>
          <w:rtl w:val="true"/>
        </w:rPr>
        <w:t xml:space="preserve">, </w:t>
      </w:r>
      <w:r>
        <w:rPr>
          <w:rtl w:val="true"/>
        </w:rPr>
        <w:t>בתיאורים בשפה ילדותית</w:t>
      </w:r>
      <w:r>
        <w:rPr>
          <w:rtl w:val="true"/>
        </w:rPr>
        <w:t xml:space="preserve">, </w:t>
      </w:r>
      <w:r>
        <w:rPr>
          <w:rtl w:val="true"/>
        </w:rPr>
        <w:t xml:space="preserve">ובתשובות שניתן לכנותן אף </w:t>
      </w:r>
      <w:r>
        <w:rPr>
          <w:rtl w:val="true"/>
        </w:rPr>
        <w:t>'</w:t>
      </w:r>
      <w:r>
        <w:rPr>
          <w:rtl w:val="true"/>
        </w:rPr>
        <w:t>רזות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בית המשפט 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למעשה צריך היה לחלץ מהמתלוננת את סיפור המעשה ולא נראה כי היא ששה להעיד כנגד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.],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כלל ועיקר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כן התרשם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</w:t>
      </w:r>
      <w:r>
        <w:rPr>
          <w:rtl w:val="true"/>
        </w:rPr>
        <w:t>"</w:t>
      </w:r>
      <w:r>
        <w:rPr>
          <w:rtl w:val="true"/>
        </w:rPr>
        <w:t>ניסתה לספר את הדברים כפי שהם</w:t>
      </w:r>
      <w:r>
        <w:rPr>
          <w:rtl w:val="true"/>
        </w:rPr>
        <w:t xml:space="preserve">, </w:t>
      </w:r>
      <w:r>
        <w:rPr>
          <w:rtl w:val="true"/>
        </w:rPr>
        <w:t>ללא חשיבה על האופן בו הדברים נראים או מציגים אותה</w:t>
      </w:r>
      <w:r>
        <w:rPr>
          <w:rtl w:val="true"/>
        </w:rPr>
        <w:t xml:space="preserve">, </w:t>
      </w:r>
      <w:r>
        <w:rPr>
          <w:rtl w:val="true"/>
        </w:rPr>
        <w:t>ולא היה בעדותה ולו קמצוץ של תחכום או מניפולטיביות</w:t>
      </w:r>
      <w:r>
        <w:rPr>
          <w:rtl w:val="true"/>
        </w:rPr>
        <w:t xml:space="preserve">, </w:t>
      </w:r>
      <w:r>
        <w:rPr>
          <w:rtl w:val="true"/>
        </w:rPr>
        <w:t xml:space="preserve">כפי שניסה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לצייר כאשר טען לעלילה שלמה שהיא טוותה ורקמה כדי שתהיה חופשיה יותר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בין היתר צוין הקושי של המתלוננת להעיד</w:t>
      </w:r>
      <w:r>
        <w:rPr>
          <w:rtl w:val="true"/>
        </w:rPr>
        <w:t xml:space="preserve">, </w:t>
      </w:r>
      <w:r>
        <w:rPr>
          <w:rtl w:val="true"/>
        </w:rPr>
        <w:t>שנבע לשיטת בית המשפט משילוב של גילה הצעיר והחברה ממנה היא מגיעה</w:t>
      </w:r>
      <w:r>
        <w:rPr>
          <w:rtl w:val="true"/>
        </w:rPr>
        <w:t xml:space="preserve">, </w:t>
      </w:r>
      <w:r>
        <w:rPr>
          <w:rtl w:val="true"/>
        </w:rPr>
        <w:t>בה חשיפת הפרשה עלולה לפגוע בה וב</w:t>
      </w:r>
      <w:r>
        <w:rPr>
          <w:rtl w:val="true"/>
        </w:rPr>
        <w:t>'</w:t>
      </w:r>
      <w:r>
        <w:rPr>
          <w:rtl w:val="true"/>
        </w:rPr>
        <w:t>כבוד המשפחה</w:t>
      </w:r>
      <w:r>
        <w:rPr>
          <w:rtl w:val="true"/>
        </w:rPr>
        <w:t xml:space="preserve">'. </w:t>
      </w:r>
      <w:r>
        <w:rPr>
          <w:rtl w:val="true"/>
        </w:rPr>
        <w:t>בתוך כך צוין</w:t>
      </w:r>
      <w:r>
        <w:rPr>
          <w:rtl w:val="true"/>
        </w:rPr>
        <w:t xml:space="preserve">, </w:t>
      </w:r>
      <w:r>
        <w:rPr>
          <w:rtl w:val="true"/>
        </w:rPr>
        <w:t>כי אותו קושי ניכר היה במיוחד</w:t>
      </w:r>
      <w:r>
        <w:rPr>
          <w:rtl w:val="true"/>
        </w:rPr>
        <w:t xml:space="preserve">, </w:t>
      </w:r>
      <w:r>
        <w:rPr>
          <w:rtl w:val="true"/>
        </w:rPr>
        <w:t>כאשר נדרשה המתלוננת לתאר את האירועים מושא כתב האישום</w:t>
      </w:r>
      <w:r>
        <w:rPr>
          <w:rtl w:val="true"/>
        </w:rPr>
        <w:t xml:space="preserve">, </w:t>
      </w:r>
      <w:r>
        <w:rPr>
          <w:rtl w:val="true"/>
        </w:rPr>
        <w:t>בפרט כאשר נכח בדיון מתורגמן ממין זכר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לאורך כל עדותה נמנעה המתלוננת מלהשתמש במונחים המתארים איברי מין </w:t>
      </w:r>
      <w:r>
        <w:rPr>
          <w:rtl w:val="true"/>
        </w:rPr>
        <w:t>(</w:t>
      </w:r>
      <w:r>
        <w:rPr>
          <w:rtl w:val="true"/>
        </w:rPr>
        <w:t xml:space="preserve">ובכלל זה המונח </w:t>
      </w:r>
      <w:r>
        <w:rPr>
          <w:rtl w:val="true"/>
        </w:rPr>
        <w:t>"</w:t>
      </w:r>
      <w:r>
        <w:rPr>
          <w:rtl w:val="true"/>
        </w:rPr>
        <w:t>איבר מין</w:t>
      </w:r>
      <w:r>
        <w:rPr>
          <w:rtl w:val="true"/>
        </w:rPr>
        <w:t xml:space="preserve">") </w:t>
      </w:r>
      <w:r>
        <w:rPr>
          <w:rtl w:val="true"/>
        </w:rPr>
        <w:t>ותיארה את איבר מינו של המערער כ</w:t>
      </w:r>
      <w:r>
        <w:rPr>
          <w:rtl w:val="true"/>
        </w:rPr>
        <w:t>"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tl w:val="true"/>
        </w:rPr>
        <w:t xml:space="preserve">"; </w:t>
      </w:r>
      <w:r>
        <w:rPr>
          <w:rtl w:val="true"/>
        </w:rPr>
        <w:t>ואת איבר המין שלה ופי הטבעת כ</w:t>
      </w:r>
      <w:r>
        <w:rPr>
          <w:rtl w:val="true"/>
        </w:rPr>
        <w:t>"</w:t>
      </w:r>
      <w:r>
        <w:rPr>
          <w:rtl w:val="true"/>
        </w:rPr>
        <w:t>מלפנים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מאחורה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התייחס בית המשפט המחוזי לכך</w:t>
      </w:r>
      <w:r>
        <w:rPr>
          <w:rtl w:val="true"/>
        </w:rPr>
        <w:t xml:space="preserve">, </w:t>
      </w:r>
      <w:r>
        <w:rPr>
          <w:rtl w:val="true"/>
        </w:rPr>
        <w:t>שתיאור האירועים על</w:t>
      </w:r>
      <w:r>
        <w:rPr>
          <w:rtl w:val="true"/>
        </w:rPr>
        <w:t>-</w:t>
      </w:r>
      <w:r>
        <w:rPr>
          <w:rtl w:val="true"/>
        </w:rPr>
        <w:t>ידי המתלוננת נעשה ביתר פירוט כאשר סיפרה על כך לדודה ובחקירתה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ואילו עדותה בבית המשפט הייתה במובנים שונים </w:t>
      </w:r>
      <w:r>
        <w:rPr>
          <w:rtl w:val="true"/>
        </w:rPr>
        <w:t>"</w:t>
      </w:r>
      <w:r>
        <w:rPr>
          <w:rtl w:val="true"/>
        </w:rPr>
        <w:t>רזה</w:t>
      </w:r>
      <w:r>
        <w:rPr>
          <w:rtl w:val="true"/>
        </w:rPr>
        <w:t xml:space="preserve">".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סבר בית המשפט</w:t>
      </w:r>
      <w:r>
        <w:rPr>
          <w:rtl w:val="true"/>
        </w:rPr>
        <w:t xml:space="preserve">, </w:t>
      </w:r>
      <w:r>
        <w:rPr>
          <w:rtl w:val="true"/>
        </w:rPr>
        <w:t>כי המתלוננת חזרה על ליבת תלונתה באופן עקבי לאורך כל השתלשלות העניינים</w:t>
      </w:r>
      <w:r>
        <w:rPr>
          <w:rtl w:val="true"/>
        </w:rPr>
        <w:t xml:space="preserve">. </w:t>
      </w:r>
      <w:r>
        <w:rPr>
          <w:rtl w:val="true"/>
        </w:rPr>
        <w:t>עוד התייחס בית המשפט באופן פרטני לטענות המערער בדבר קיומן של סתירות בגרסתה של המתלוננת</w:t>
      </w:r>
      <w:r>
        <w:rPr>
          <w:rtl w:val="true"/>
        </w:rPr>
        <w:t xml:space="preserve">, </w:t>
      </w:r>
      <w:r>
        <w:rPr>
          <w:rtl w:val="true"/>
        </w:rPr>
        <w:t>ודחה אותן</w:t>
      </w:r>
      <w:r>
        <w:rPr>
          <w:rtl w:val="true"/>
        </w:rPr>
        <w:t xml:space="preserve">, </w:t>
      </w:r>
      <w:r>
        <w:rPr>
          <w:rtl w:val="true"/>
        </w:rPr>
        <w:t>משסבר כי אלה אינן פוגעות בליבת גרסתה ואינן יורדות לשורשו של עניין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שגיאתה של המתלוננת בתיאור השנה בה החלו האירועים </w:t>
      </w:r>
      <w:r>
        <w:rPr>
          <w:rtl w:val="true"/>
        </w:rPr>
        <w:t>–</w:t>
      </w:r>
      <w:r>
        <w:rPr>
          <w:rtl w:val="true"/>
        </w:rPr>
        <w:t xml:space="preserve"> 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ולא לעומת זאת 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אינה פוגעת במהימנותה</w:t>
      </w:r>
      <w:r>
        <w:rPr>
          <w:rtl w:val="true"/>
        </w:rPr>
        <w:t xml:space="preserve">. </w:t>
      </w:r>
      <w:r>
        <w:rPr>
          <w:rtl w:val="true"/>
        </w:rPr>
        <w:t>כך גם אשר להבדלים באופן בו תיארה את האירוע הראשון</w:t>
      </w:r>
      <w:r>
        <w:rPr>
          <w:rtl w:val="true"/>
        </w:rPr>
        <w:t xml:space="preserve">, </w:t>
      </w:r>
      <w:r>
        <w:rPr>
          <w:rtl w:val="true"/>
        </w:rPr>
        <w:t>בכל הנוגע לתנוחה בה היו</w:t>
      </w:r>
      <w:r>
        <w:rPr>
          <w:rtl w:val="true"/>
        </w:rPr>
        <w:t xml:space="preserve">, </w:t>
      </w:r>
      <w:r>
        <w:rPr>
          <w:rtl w:val="true"/>
        </w:rPr>
        <w:t>מה לבשה</w:t>
      </w:r>
      <w:r>
        <w:rPr>
          <w:rtl w:val="true"/>
        </w:rPr>
        <w:t xml:space="preserve">, </w:t>
      </w:r>
      <w:r>
        <w:rPr>
          <w:rtl w:val="true"/>
        </w:rPr>
        <w:t>מתי המערער ליטף אותה והיכן הגיע לפורקן</w:t>
      </w:r>
      <w:r>
        <w:rPr>
          <w:rtl w:val="true"/>
        </w:rPr>
        <w:t xml:space="preserve">; </w:t>
      </w:r>
      <w:r>
        <w:rPr>
          <w:rtl w:val="true"/>
        </w:rPr>
        <w:t>ובאילו מן הבתים בהם גרו בתקופה הרלבנטית לכתב האישום פגע בה מינית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התייחס בית המשפט לטענת המערער</w:t>
      </w:r>
      <w:r>
        <w:rPr>
          <w:rtl w:val="true"/>
        </w:rPr>
        <w:t xml:space="preserve">, </w:t>
      </w:r>
      <w:r>
        <w:rPr>
          <w:rtl w:val="true"/>
        </w:rPr>
        <w:t>כי בבתים בהם התגוררו לא היו מנעולים לדלתות</w:t>
      </w:r>
      <w:r>
        <w:rPr>
          <w:rtl w:val="true"/>
        </w:rPr>
        <w:t xml:space="preserve">, </w:t>
      </w:r>
      <w:r>
        <w:rPr>
          <w:rtl w:val="true"/>
        </w:rPr>
        <w:t>ומשכך לא יכול היה לנעול את הדלתות כאשר ביצע את מעשיו במתלוננת ובאחותה הבכורה</w:t>
      </w:r>
      <w:r>
        <w:rPr>
          <w:rtl w:val="true"/>
        </w:rPr>
        <w:t xml:space="preserve">, </w:t>
      </w:r>
      <w:r>
        <w:rPr>
          <w:rtl w:val="true"/>
        </w:rPr>
        <w:t>כגרסת המתלוננת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ביחס לכך נקבע</w:t>
      </w:r>
      <w:r>
        <w:rPr>
          <w:rtl w:val="true"/>
        </w:rPr>
        <w:t xml:space="preserve">, </w:t>
      </w:r>
      <w:r>
        <w:rPr>
          <w:rtl w:val="true"/>
        </w:rPr>
        <w:t>כי המערער לא הצליח להוכיח שלדלתות הבתים לא היו מנעולים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לצד התרשמותו החיובית מעדותה של המתלוננת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 xml:space="preserve">אף סמכותו להרשיע את המערער על בסיסה בלבד </w:t>
      </w:r>
      <w:r>
        <w:rPr>
          <w:rtl w:val="true"/>
        </w:rPr>
        <w:t>(</w:t>
      </w:r>
      <w:r>
        <w:rPr>
          <w:rtl w:val="true"/>
        </w:rPr>
        <w:t xml:space="preserve">בהתאם </w:t>
      </w:r>
      <w:hyperlink r:id="rId3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)), </w:t>
      </w:r>
      <w:r>
        <w:rPr>
          <w:rtl w:val="true"/>
        </w:rPr>
        <w:t>מצא בית המשפט המחוזי חיזוקים לגרסתה</w:t>
      </w:r>
      <w:r>
        <w:rPr>
          <w:rtl w:val="true"/>
        </w:rPr>
        <w:t xml:space="preserve">, </w:t>
      </w:r>
      <w:r>
        <w:rPr>
          <w:rtl w:val="true"/>
        </w:rPr>
        <w:t>כמו גם ראיות המסייעות 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התייחס בית המשפט לאמון שבני המשפחה נתנו במתלוננת</w:t>
      </w:r>
      <w:r>
        <w:rPr>
          <w:rtl w:val="true"/>
        </w:rPr>
        <w:t xml:space="preserve">, </w:t>
      </w:r>
      <w:r>
        <w:rPr>
          <w:rtl w:val="true"/>
        </w:rPr>
        <w:t>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באופן בו הם פעלו כדי להרחיק אותה מהמערער</w:t>
      </w:r>
      <w:r>
        <w:rPr>
          <w:rtl w:val="true"/>
        </w:rPr>
        <w:t xml:space="preserve">. </w:t>
      </w:r>
      <w:r>
        <w:rPr>
          <w:rtl w:val="true"/>
        </w:rPr>
        <w:t>עוד מצא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יש בעדותם של עדים נוספים משום חיזוק לגרסתה של המתלוננת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התייחס בית המשפט למצבה הנפשי הקשה של המתלוננת</w:t>
      </w:r>
      <w:r>
        <w:rPr>
          <w:rtl w:val="true"/>
        </w:rPr>
        <w:t xml:space="preserve">, </w:t>
      </w:r>
      <w:r>
        <w:rPr>
          <w:rtl w:val="true"/>
        </w:rPr>
        <w:t>כפי שהוא התרשם ממנו באופן בלתי אמצעי במהלך עדותה</w:t>
      </w:r>
      <w:r>
        <w:rPr>
          <w:rtl w:val="true"/>
        </w:rPr>
        <w:t xml:space="preserve">; </w:t>
      </w:r>
      <w:r>
        <w:rPr>
          <w:rtl w:val="true"/>
        </w:rPr>
        <w:t>וכפי שזה עלה מעדויות נוספות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נתן אמון בגרסתו של המערער</w:t>
      </w:r>
      <w:r>
        <w:rPr>
          <w:rtl w:val="true"/>
        </w:rPr>
        <w:t xml:space="preserve">, </w:t>
      </w:r>
      <w:r>
        <w:rPr>
          <w:rtl w:val="true"/>
        </w:rPr>
        <w:t>וקבע כי</w:t>
      </w:r>
      <w:r>
        <w:rPr>
          <w:rtl w:val="true"/>
        </w:rPr>
        <w:t>: "[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העיד באופן מתחמק ומתפתל</w:t>
      </w:r>
      <w:r>
        <w:rPr>
          <w:rtl w:val="true"/>
        </w:rPr>
        <w:t xml:space="preserve">, </w:t>
      </w:r>
      <w:r>
        <w:rPr>
          <w:rtl w:val="true"/>
        </w:rPr>
        <w:t>תוך שהוא מנסה להתחכם בתשובותיו ולשפר את גרסתו</w:t>
      </w:r>
      <w:r>
        <w:rPr>
          <w:rtl w:val="true"/>
        </w:rPr>
        <w:t>. 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שינה פרטים בגרסתו במהלך עדותו ביחס לחלק מדבריו</w:t>
      </w:r>
      <w:r>
        <w:rPr>
          <w:rtl w:val="true"/>
        </w:rPr>
        <w:t xml:space="preserve">, </w:t>
      </w:r>
      <w:r>
        <w:rPr>
          <w:rtl w:val="true"/>
        </w:rPr>
        <w:t>הוסיף פרטים שלא בא זכרם בחקירה במשטרה והכל על מנת להציג עצמו באור חיובי יותר</w:t>
      </w:r>
      <w:r>
        <w:rPr>
          <w:rtl w:val="true"/>
        </w:rPr>
        <w:t xml:space="preserve">. </w:t>
      </w:r>
      <w:r>
        <w:rPr>
          <w:rtl w:val="true"/>
        </w:rPr>
        <w:t>ממבט על</w:t>
      </w:r>
      <w:r>
        <w:rPr>
          <w:rtl w:val="true"/>
        </w:rPr>
        <w:t xml:space="preserve">, </w:t>
      </w:r>
      <w:r>
        <w:rPr>
          <w:rtl w:val="true"/>
        </w:rPr>
        <w:t xml:space="preserve">הרושם הוא כי גרסתו של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התרכזה באופן אסטרטגי בניסיון להרחיק עצמו ככול הניתן מן ההזדמנות לביצוע העבירה</w:t>
      </w:r>
      <w:r>
        <w:rPr>
          <w:rtl w:val="true"/>
        </w:rPr>
        <w:t xml:space="preserve">, </w:t>
      </w:r>
      <w:r>
        <w:rPr>
          <w:rtl w:val="true"/>
        </w:rPr>
        <w:t>או מהיכולת לביצועה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כל אחד משלושת האדנים עליהם נשענה גרסת המערער</w:t>
      </w:r>
      <w:r>
        <w:rPr>
          <w:rtl w:val="true"/>
        </w:rPr>
        <w:t xml:space="preserve">. </w:t>
      </w:r>
      <w:r>
        <w:rPr>
          <w:rtl w:val="true"/>
        </w:rPr>
        <w:t>אשר לטענת המערער</w:t>
      </w:r>
      <w:r>
        <w:rPr>
          <w:rtl w:val="true"/>
        </w:rPr>
        <w:t xml:space="preserve">, </w:t>
      </w:r>
      <w:r>
        <w:rPr>
          <w:rtl w:val="true"/>
        </w:rPr>
        <w:t>לפיה מצבו הרפואי לא אפשר לו לקיים יחסי מין עם המתלוננת</w:t>
      </w:r>
      <w:r>
        <w:rPr>
          <w:rtl w:val="true"/>
        </w:rPr>
        <w:t xml:space="preserve">,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>כי מדובר בגרסה כבושה שאין לה זכר בחקירתו במשטרה</w:t>
      </w:r>
      <w:r>
        <w:rPr>
          <w:rtl w:val="true"/>
        </w:rPr>
        <w:t xml:space="preserve">, </w:t>
      </w:r>
      <w:r>
        <w:rPr>
          <w:rtl w:val="true"/>
        </w:rPr>
        <w:t>כמו גם שלא נמצאה כל ראיה התומכת 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פרט לעדות האם</w:t>
      </w:r>
      <w:r>
        <w:rPr>
          <w:rtl w:val="true"/>
        </w:rPr>
        <w:t xml:space="preserve">, </w:t>
      </w:r>
      <w:r>
        <w:rPr>
          <w:rtl w:val="true"/>
        </w:rPr>
        <w:t>לגביה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היא עשתה כל שביכולתה </w:t>
      </w:r>
      <w:r>
        <w:rPr>
          <w:rtl w:val="true"/>
        </w:rPr>
        <w:t>"</w:t>
      </w:r>
      <w:r>
        <w:rPr>
          <w:rtl w:val="true"/>
        </w:rPr>
        <w:t xml:space="preserve">להיטיב עם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וליישר קו עם תזת ההגנה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40</w:t>
      </w:r>
      <w:r>
        <w:rPr>
          <w:rtl w:val="true"/>
        </w:rPr>
        <w:t xml:space="preserve">). </w:t>
      </w:r>
      <w:r>
        <w:rPr>
          <w:rtl w:val="true"/>
        </w:rPr>
        <w:t>עוד קבע בית המשפט</w:t>
      </w:r>
      <w:r>
        <w:rPr>
          <w:rtl w:val="true"/>
        </w:rPr>
        <w:t xml:space="preserve">, </w:t>
      </w:r>
      <w:r>
        <w:rPr>
          <w:rtl w:val="true"/>
        </w:rPr>
        <w:t>כי הראיות שהציג המערער לכך שנהג לשהות רוב היום בבית קפה אינן מוכיחות את טענתו</w:t>
      </w:r>
      <w:r>
        <w:rPr>
          <w:rtl w:val="true"/>
        </w:rPr>
        <w:t xml:space="preserve">; </w:t>
      </w:r>
      <w:r>
        <w:rPr>
          <w:rtl w:val="true"/>
        </w:rPr>
        <w:t>וממילא גם אם הייתה מתקבלת טענתו</w:t>
      </w:r>
      <w:r>
        <w:rPr>
          <w:rtl w:val="true"/>
        </w:rPr>
        <w:t xml:space="preserve">, </w:t>
      </w:r>
      <w:r>
        <w:rPr>
          <w:rtl w:val="true"/>
        </w:rPr>
        <w:t>הרי שאין בכך כדי לשלול את האפשרות כי ביצע את המיוחס 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היות שאף לפי גרסתו</w:t>
      </w:r>
      <w:r>
        <w:rPr>
          <w:rtl w:val="true"/>
        </w:rPr>
        <w:t xml:space="preserve">, </w:t>
      </w:r>
      <w:r>
        <w:rPr>
          <w:rtl w:val="true"/>
        </w:rPr>
        <w:t>היה חוזר מבית הקפה במהלך הצהריים למשך שעתיים כדי לנוח</w:t>
      </w:r>
      <w:r>
        <w:rPr>
          <w:rtl w:val="true"/>
        </w:rPr>
        <w:t xml:space="preserve">, </w:t>
      </w:r>
      <w:r>
        <w:rPr>
          <w:rtl w:val="true"/>
        </w:rPr>
        <w:t>באופן שאפשר לו חלון הזדמנויות לבצע את העבירות</w:t>
      </w:r>
      <w:r>
        <w:rPr>
          <w:rtl w:val="true"/>
        </w:rPr>
        <w:t xml:space="preserve">. </w:t>
      </w:r>
      <w:r>
        <w:rPr>
          <w:rtl w:val="true"/>
        </w:rPr>
        <w:t>אשר לטענת המערער</w:t>
      </w:r>
      <w:r>
        <w:rPr>
          <w:rtl w:val="true"/>
        </w:rPr>
        <w:t xml:space="preserve">, </w:t>
      </w:r>
      <w:r>
        <w:rPr>
          <w:rtl w:val="true"/>
        </w:rPr>
        <w:t>כי האם לא נהגה לצאת מהבית</w:t>
      </w:r>
      <w:r>
        <w:rPr>
          <w:rtl w:val="true"/>
        </w:rPr>
        <w:t xml:space="preserve">,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>כי זו אינה מתיישבת עם יתר העדויות בתיק</w:t>
      </w:r>
      <w:r>
        <w:rPr>
          <w:rtl w:val="true"/>
        </w:rPr>
        <w:t xml:space="preserve">, </w:t>
      </w:r>
      <w:r>
        <w:rPr>
          <w:rtl w:val="true"/>
        </w:rPr>
        <w:t>בפרט עם עדות האם עצמה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בכל הנוגע לאירועי התקיפה</w:t>
      </w:r>
      <w:r>
        <w:rPr>
          <w:rtl w:val="true"/>
        </w:rPr>
        <w:t xml:space="preserve">, </w:t>
      </w:r>
      <w:r>
        <w:rPr>
          <w:rtl w:val="true"/>
        </w:rPr>
        <w:t>בית המשפט קבע כי מחומר הראיות עולה</w:t>
      </w:r>
      <w:r>
        <w:rPr>
          <w:rtl w:val="true"/>
        </w:rPr>
        <w:t xml:space="preserve">, </w:t>
      </w:r>
      <w:r>
        <w:rPr>
          <w:rtl w:val="true"/>
        </w:rPr>
        <w:t>כי יש תימוכין</w:t>
      </w:r>
      <w:r>
        <w:rPr>
          <w:rtl w:val="true"/>
        </w:rPr>
        <w:t xml:space="preserve">, </w:t>
      </w:r>
      <w:r>
        <w:rPr>
          <w:rtl w:val="true"/>
        </w:rPr>
        <w:t>לרבות בעדות המערער והאם</w:t>
      </w:r>
      <w:r>
        <w:rPr>
          <w:rtl w:val="true"/>
        </w:rPr>
        <w:t xml:space="preserve">, </w:t>
      </w:r>
      <w:r>
        <w:rPr>
          <w:rtl w:val="true"/>
        </w:rPr>
        <w:t>לכך שהמערער נהג כלפי המתלוננת באלימות</w:t>
      </w:r>
      <w:r>
        <w:rPr>
          <w:rtl w:val="true"/>
        </w:rPr>
        <w:t>.</w:t>
      </w:r>
      <w:r>
        <w:rPr>
          <w:rStyle w:val="CommentReference"/>
          <w:rFonts w:cs="Century" w:ascii="Century" w:hAnsi="Century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את טענות המערער בכל הנוגע למניע של המתלוננת להגיש את תלונתה נגדו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טענתו</w:t>
      </w:r>
      <w:r>
        <w:rPr>
          <w:rtl w:val="true"/>
        </w:rPr>
        <w:t xml:space="preserve">, </w:t>
      </w:r>
      <w:r>
        <w:rPr>
          <w:rtl w:val="true"/>
        </w:rPr>
        <w:t>לפיה משפחתו הניעה את המתלוננת להגיש את התלונה כחלק מניסיון לחייב אותו לחזור ליישוב</w:t>
      </w:r>
      <w:r>
        <w:rPr>
          <w:rtl w:val="true"/>
        </w:rPr>
        <w:t xml:space="preserve">, </w:t>
      </w:r>
      <w:r>
        <w:rPr>
          <w:rtl w:val="true"/>
        </w:rPr>
        <w:t>אינה מתיישבת עם יתר הראיות והעדויות בתיק</w:t>
      </w:r>
      <w:r>
        <w:rPr>
          <w:rtl w:val="true"/>
        </w:rPr>
        <w:t xml:space="preserve">. </w:t>
      </w:r>
      <w:r>
        <w:rPr>
          <w:rtl w:val="true"/>
        </w:rPr>
        <w:t>כן דחה בית המשפט המחוזי את טענת המערער</w:t>
      </w:r>
      <w:r>
        <w:rPr>
          <w:rtl w:val="true"/>
        </w:rPr>
        <w:t xml:space="preserve">, </w:t>
      </w:r>
      <w:r>
        <w:rPr>
          <w:rtl w:val="true"/>
        </w:rPr>
        <w:t>כי המעשים המתוארים בתלונה הם פרי דמיונה של המתלוננת</w:t>
      </w:r>
      <w:r>
        <w:rPr>
          <w:rtl w:val="true"/>
        </w:rPr>
        <w:t xml:space="preserve">, </w:t>
      </w:r>
      <w:r>
        <w:rPr>
          <w:rtl w:val="true"/>
        </w:rPr>
        <w:t>והתלונה אינה אלא ניסיון לזכות ביותר חופש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שהתרשם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המתלוננת מספרת את הדברים כהווייתם ולא מתנהלת כמי שרוצה להסתיר מניע כלשהו</w:t>
      </w:r>
      <w:r>
        <w:rPr>
          <w:rtl w:val="true"/>
        </w:rPr>
        <w:t xml:space="preserve">. </w:t>
      </w:r>
      <w:r>
        <w:rPr>
          <w:rtl w:val="true"/>
        </w:rPr>
        <w:t>עם זאת ברור כי המתלוננת לא בדתה את התלונה כדי לשפר את מצבה</w:t>
      </w:r>
      <w:r>
        <w:rPr>
          <w:rtl w:val="true"/>
        </w:rPr>
        <w:t xml:space="preserve">... </w:t>
      </w:r>
      <w:r>
        <w:rPr>
          <w:rtl w:val="true"/>
        </w:rPr>
        <w:t>מעבר לכך המתלוננת נמצאת היום במעון</w:t>
      </w:r>
      <w:r>
        <w:rPr>
          <w:rtl w:val="true"/>
        </w:rPr>
        <w:t xml:space="preserve">, </w:t>
      </w:r>
      <w:r>
        <w:rPr>
          <w:rtl w:val="true"/>
        </w:rPr>
        <w:t>ולא מסתובבת בעיר הגדולה או ביישוב חופשיה או משוחררת</w:t>
      </w:r>
      <w:r>
        <w:rPr>
          <w:rtl w:val="true"/>
        </w:rPr>
        <w:t xml:space="preserve">, </w:t>
      </w:r>
      <w:r>
        <w:rPr>
          <w:rtl w:val="true"/>
        </w:rPr>
        <w:t xml:space="preserve">כפי שניסה </w:t>
      </w:r>
      <w:r>
        <w:rPr>
          <w:rtl w:val="true"/>
        </w:rPr>
        <w:t>[</w:t>
      </w:r>
      <w:r>
        <w:rPr>
          <w:rtl w:val="true"/>
        </w:rPr>
        <w:t xml:space="preserve">שהמערער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לצייר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51</w:t>
      </w:r>
      <w:r>
        <w:rPr>
          <w:rtl w:val="true"/>
        </w:rPr>
        <w:t xml:space="preserve">). </w:t>
      </w:r>
      <w:r>
        <w:rPr>
          <w:rtl w:val="true"/>
        </w:rPr>
        <w:t>עוד ציין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המערערת </w:t>
      </w:r>
      <w:r>
        <w:rPr>
          <w:rtl w:val="true"/>
        </w:rPr>
        <w:t>"</w:t>
      </w:r>
      <w:r>
        <w:rPr>
          <w:rtl w:val="true"/>
        </w:rPr>
        <w:t>מודעת לכך שהיא צפויה לחזור לבית אמה בעיר ולא מציגה כל התנגדות לכך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 כל יסוד לסברה</w:t>
      </w:r>
      <w:r>
        <w:rPr>
          <w:rtl w:val="true"/>
        </w:rPr>
        <w:t xml:space="preserve">, </w:t>
      </w:r>
      <w:r>
        <w:rPr>
          <w:rtl w:val="true"/>
        </w:rPr>
        <w:t>כי העלילה את התלונה במטרה לחזור ליישוב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התייחס בית המשפט המחוזי למשמעות הראייתית של היעדר ממצאים חבלתיים בקרום הבתולין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09.09.2019</w:t>
      </w:r>
      <w:r>
        <w:rPr>
          <w:rtl w:val="true"/>
        </w:rPr>
        <w:t xml:space="preserve">, </w:t>
      </w:r>
      <w:r>
        <w:rPr>
          <w:rtl w:val="true"/>
        </w:rPr>
        <w:t>בעקבות הגשת התלונה</w:t>
      </w:r>
      <w:r>
        <w:rPr>
          <w:rtl w:val="true"/>
        </w:rPr>
        <w:t xml:space="preserve">, </w:t>
      </w:r>
      <w:r>
        <w:rPr>
          <w:rtl w:val="true"/>
        </w:rPr>
        <w:t>הגיעה המתלוננת לבדיקה אצל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, </w:t>
      </w:r>
      <w:r>
        <w:rPr>
          <w:rtl w:val="true"/>
        </w:rPr>
        <w:t>מומחית לבחינת פגיעות בילדים</w:t>
      </w:r>
      <w:r>
        <w:rPr>
          <w:rtl w:val="true"/>
        </w:rPr>
        <w:t xml:space="preserve">, </w:t>
      </w:r>
      <w:r>
        <w:rPr>
          <w:rtl w:val="true"/>
        </w:rPr>
        <w:t>במהלכה לא נמצאו ממצאים חבלתיים באיבר מינה</w:t>
      </w:r>
      <w:r>
        <w:rPr>
          <w:rtl w:val="true"/>
        </w:rPr>
        <w:t xml:space="preserve">. </w:t>
      </w:r>
      <w:r>
        <w:rPr>
          <w:rtl w:val="true"/>
        </w:rPr>
        <w:t>בחוות דעת שערכה</w:t>
      </w:r>
      <w:r>
        <w:rPr>
          <w:rtl w:val="true"/>
        </w:rPr>
        <w:t xml:space="preserve">, </w:t>
      </w:r>
      <w:r>
        <w:rPr>
          <w:rtl w:val="true"/>
        </w:rPr>
        <w:t>ציינה ד</w:t>
      </w:r>
      <w:r>
        <w:rPr>
          <w:rtl w:val="true"/>
        </w:rPr>
        <w:t>"</w:t>
      </w:r>
      <w:r>
        <w:rPr>
          <w:rtl w:val="true"/>
        </w:rPr>
        <w:t>ר מימון כי לא ניתן לשלול או לאשש את עיקרי התלונה בהתבסס על כך</w:t>
      </w:r>
      <w:r>
        <w:rPr>
          <w:rtl w:val="true"/>
        </w:rPr>
        <w:t xml:space="preserve">, </w:t>
      </w:r>
      <w:r>
        <w:rPr>
          <w:rtl w:val="true"/>
        </w:rPr>
        <w:t>היות שאין הכרח לכך שהחדרת גוף נוקשה לאיבר מין נשי</w:t>
      </w:r>
      <w:r>
        <w:rPr>
          <w:rtl w:val="true"/>
        </w:rPr>
        <w:t xml:space="preserve">, </w:t>
      </w:r>
      <w:r>
        <w:rPr>
          <w:rtl w:val="true"/>
        </w:rPr>
        <w:t>ישאיר ממצאים כאמור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10.09.2019</w:t>
      </w:r>
      <w:r>
        <w:rPr>
          <w:rtl w:val="true"/>
        </w:rPr>
        <w:t xml:space="preserve">, </w:t>
      </w:r>
      <w:r>
        <w:rPr>
          <w:rtl w:val="true"/>
        </w:rPr>
        <w:t>נלקחה המערערת על</w:t>
      </w:r>
      <w:r>
        <w:rPr>
          <w:rtl w:val="true"/>
        </w:rPr>
        <w:t>-</w:t>
      </w:r>
      <w:r>
        <w:rPr>
          <w:rtl w:val="true"/>
        </w:rPr>
        <w:t>ידי בני משפחתה לבדיקה גניקולוגית אצל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. </w:t>
      </w:r>
      <w:r>
        <w:rPr>
          <w:rtl w:val="true"/>
        </w:rPr>
        <w:t>במסמך שערך ד</w:t>
      </w:r>
      <w:r>
        <w:rPr>
          <w:rtl w:val="true"/>
        </w:rPr>
        <w:t>"</w:t>
      </w:r>
      <w:r>
        <w:rPr>
          <w:rtl w:val="true"/>
        </w:rPr>
        <w:t>ר שיזף צוין</w:t>
      </w:r>
      <w:r>
        <w:rPr>
          <w:rtl w:val="true"/>
        </w:rPr>
        <w:t xml:space="preserve">, </w:t>
      </w:r>
      <w:r>
        <w:rPr>
          <w:rtl w:val="true"/>
        </w:rPr>
        <w:t>כי קרום הבתולין של המערערת שלם</w:t>
      </w:r>
      <w:r>
        <w:rPr>
          <w:rtl w:val="true"/>
        </w:rPr>
        <w:t xml:space="preserve">, </w:t>
      </w:r>
      <w:r>
        <w:rPr>
          <w:rtl w:val="true"/>
        </w:rPr>
        <w:t>וללא הפרשה חריגה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המשמעות הראייתית של היעדר ממצאים חבלתיים כאמור</w:t>
      </w:r>
      <w:r>
        <w:rPr>
          <w:rtl w:val="true"/>
        </w:rPr>
        <w:t xml:space="preserve">, </w:t>
      </w:r>
      <w:r>
        <w:rPr>
          <w:rtl w:val="true"/>
        </w:rPr>
        <w:t>העידו ד</w:t>
      </w:r>
      <w:r>
        <w:rPr>
          <w:rtl w:val="true"/>
        </w:rPr>
        <w:t>"</w:t>
      </w:r>
      <w:r>
        <w:rPr>
          <w:rtl w:val="true"/>
        </w:rPr>
        <w:t>ר שיזף וד</w:t>
      </w:r>
      <w:r>
        <w:rPr>
          <w:rtl w:val="true"/>
        </w:rPr>
        <w:t>"</w:t>
      </w:r>
      <w:r>
        <w:rPr>
          <w:rtl w:val="true"/>
        </w:rPr>
        <w:t xml:space="preserve">ר מימון </w:t>
      </w:r>
      <w:r>
        <w:rPr>
          <w:rtl w:val="true"/>
        </w:rPr>
        <w:t>(</w:t>
      </w:r>
      <w:r>
        <w:rPr>
          <w:rtl w:val="true"/>
        </w:rPr>
        <w:t>כעדת הזמה</w:t>
      </w:r>
      <w:r>
        <w:rPr>
          <w:rtl w:val="true"/>
        </w:rPr>
        <w:t xml:space="preserve">). </w:t>
      </w:r>
      <w:r>
        <w:rPr>
          <w:rtl w:val="true"/>
        </w:rPr>
        <w:t>במסמך שערך ציין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, </w:t>
      </w:r>
      <w:r>
        <w:rPr>
          <w:rtl w:val="true"/>
        </w:rPr>
        <w:t>כי הוא גניקולוג פעיל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בתקופה זו בדק אלפי נשים כולל נפגעות מין</w:t>
      </w:r>
      <w:r>
        <w:rPr>
          <w:rtl w:val="true"/>
        </w:rPr>
        <w:t xml:space="preserve">, </w:t>
      </w:r>
      <w:r>
        <w:rPr>
          <w:rtl w:val="true"/>
        </w:rPr>
        <w:t>אם כי אינו מומחה בתחום של תקיפות מיניות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קרום הבתולין של המתלוננת תקין</w:t>
      </w:r>
      <w:r>
        <w:rPr>
          <w:rtl w:val="true"/>
        </w:rPr>
        <w:t xml:space="preserve">, </w:t>
      </w:r>
      <w:r>
        <w:rPr>
          <w:rtl w:val="true"/>
        </w:rPr>
        <w:t>ושאין סממנים של טראומה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ציין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, </w:t>
      </w:r>
      <w:r>
        <w:rPr>
          <w:rtl w:val="true"/>
        </w:rPr>
        <w:t>כי הסבירות שהמתלוננת עברה מאות מקרי אונס</w:t>
      </w:r>
      <w:r>
        <w:rPr>
          <w:rtl w:val="true"/>
        </w:rPr>
        <w:t xml:space="preserve">, </w:t>
      </w:r>
      <w:r>
        <w:rPr>
          <w:rtl w:val="true"/>
        </w:rPr>
        <w:t>ללא כל סממן בקרום הבתולין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כאשר אומת עם מאמרים אשר הגיעו למסקנות שונות משלו</w:t>
      </w:r>
      <w:r>
        <w:rPr>
          <w:rtl w:val="true"/>
        </w:rPr>
        <w:t xml:space="preserve">, </w:t>
      </w:r>
      <w:r>
        <w:rPr>
          <w:rtl w:val="true"/>
        </w:rPr>
        <w:t>ציין כי אלו לרוב מתבססים על נשים שקיימו יחסי מין מספר פעמים</w:t>
      </w:r>
      <w:r>
        <w:rPr>
          <w:rtl w:val="true"/>
        </w:rPr>
        <w:t xml:space="preserve">, </w:t>
      </w:r>
      <w:r>
        <w:rPr>
          <w:rtl w:val="true"/>
        </w:rPr>
        <w:t>ולא מאות פעמים</w:t>
      </w:r>
      <w:r>
        <w:rPr>
          <w:rtl w:val="true"/>
        </w:rPr>
        <w:t xml:space="preserve">; </w:t>
      </w:r>
      <w:r>
        <w:rPr>
          <w:rtl w:val="true"/>
        </w:rPr>
        <w:t>כי יש לקרוא מאמרים אלה באופן ביקורתי</w:t>
      </w:r>
      <w:r>
        <w:rPr>
          <w:rtl w:val="true"/>
        </w:rPr>
        <w:t xml:space="preserve">, </w:t>
      </w:r>
      <w:r>
        <w:rPr>
          <w:rtl w:val="true"/>
        </w:rPr>
        <w:t>נוכח האינטרס האישי של מחבריהם</w:t>
      </w:r>
      <w:r>
        <w:rPr>
          <w:rtl w:val="true"/>
        </w:rPr>
        <w:t xml:space="preserve">; </w:t>
      </w:r>
      <w:r>
        <w:rPr>
          <w:rtl w:val="true"/>
        </w:rPr>
        <w:t>ושהמנעד בין הממצאים של מאמרים אלה רחב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ציינה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, </w:t>
      </w:r>
      <w:r>
        <w:rPr>
          <w:rtl w:val="true"/>
        </w:rPr>
        <w:t>כי על אף שהיא רופאת ילדים במקצועה</w:t>
      </w:r>
      <w:r>
        <w:rPr>
          <w:rtl w:val="true"/>
        </w:rPr>
        <w:t xml:space="preserve">, </w:t>
      </w:r>
      <w:r>
        <w:rPr>
          <w:rtl w:val="true"/>
        </w:rPr>
        <w:t>היא עברה הכשרה מיוחדת בתחום של פגיעות מיניות</w:t>
      </w:r>
      <w:r>
        <w:rPr>
          <w:rtl w:val="true"/>
        </w:rPr>
        <w:t xml:space="preserve">. </w:t>
      </w:r>
      <w:r>
        <w:rPr>
          <w:rtl w:val="true"/>
        </w:rPr>
        <w:t>על המסקנה אליה הגיעה בחוות דעתה העידה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, </w:t>
      </w:r>
      <w:r>
        <w:rPr>
          <w:rtl w:val="true"/>
        </w:rPr>
        <w:t>תוך שהיא מבהירה</w:t>
      </w:r>
      <w:r>
        <w:rPr>
          <w:rtl w:val="true"/>
        </w:rPr>
        <w:t xml:space="preserve">, </w:t>
      </w:r>
      <w:r>
        <w:rPr>
          <w:rtl w:val="true"/>
        </w:rPr>
        <w:t>כי בזמן פגיעה מינית עשוי להיגרם מגוון של חבלות לקרום הבתולין</w:t>
      </w:r>
      <w:r>
        <w:rPr>
          <w:rtl w:val="true"/>
        </w:rPr>
        <w:t xml:space="preserve">, </w:t>
      </w:r>
      <w:r>
        <w:rPr>
          <w:rtl w:val="true"/>
        </w:rPr>
        <w:t>אולם אם הקרום אינו נקרע עד בסיסו</w:t>
      </w:r>
      <w:r>
        <w:rPr>
          <w:rtl w:val="true"/>
        </w:rPr>
        <w:t xml:space="preserve">, </w:t>
      </w:r>
      <w:r>
        <w:rPr>
          <w:rtl w:val="true"/>
        </w:rPr>
        <w:t>רוב הפגיעות נרפאות עם הזמן ואינן משאירות צלקות</w:t>
      </w:r>
      <w:r>
        <w:rPr>
          <w:rtl w:val="true"/>
        </w:rPr>
        <w:t xml:space="preserve">, </w:t>
      </w:r>
      <w:r>
        <w:rPr>
          <w:rtl w:val="true"/>
        </w:rPr>
        <w:t>כך שלא יהיה ניתן להבחין בהן במהלך בדיקה</w:t>
      </w:r>
      <w:r>
        <w:rPr>
          <w:rtl w:val="true"/>
        </w:rPr>
        <w:t xml:space="preserve">. </w:t>
      </w:r>
      <w:r>
        <w:rPr>
          <w:rtl w:val="true"/>
        </w:rPr>
        <w:t>עוד ציינה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, </w:t>
      </w:r>
      <w:r>
        <w:rPr>
          <w:rtl w:val="true"/>
        </w:rPr>
        <w:t>כי בגילה של המתלוננת קרום הבתולין מתחיל תהליך בו הוא הופך לעבה וגמיש יותר</w:t>
      </w:r>
      <w:r>
        <w:rPr>
          <w:rtl w:val="true"/>
        </w:rPr>
        <w:t xml:space="preserve">, </w:t>
      </w:r>
      <w:r>
        <w:rPr>
          <w:rtl w:val="true"/>
        </w:rPr>
        <w:t>באופן המפחית את ההסתברות כי יקרע עד בסיסו בקיום יחסי מין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tl w:val="true"/>
        </w:rPr>
        <w:t xml:space="preserve">, </w:t>
      </w:r>
      <w:r>
        <w:rPr>
          <w:rtl w:val="true"/>
        </w:rPr>
        <w:t>מספר הפעמים בהן מתבצעת חדירה אל איבר המין</w:t>
      </w:r>
      <w:r>
        <w:rPr>
          <w:rtl w:val="true"/>
        </w:rPr>
        <w:t xml:space="preserve">, </w:t>
      </w:r>
      <w:r>
        <w:rPr>
          <w:rtl w:val="true"/>
        </w:rPr>
        <w:t xml:space="preserve">אינו משנה את ההסתברות למצוא ממצאים לקיום יחסי מין בבדיקת קרום בתולין </w:t>
      </w:r>
      <w:r>
        <w:rPr>
          <w:rtl w:val="true"/>
        </w:rPr>
        <w:t>–</w:t>
      </w:r>
      <w:r>
        <w:rPr>
          <w:rtl w:val="true"/>
        </w:rPr>
        <w:t xml:space="preserve"> שכן כל אירוע חדירה עומד בפני עצמו</w:t>
      </w:r>
      <w:r>
        <w:rPr>
          <w:rtl w:val="true"/>
        </w:rPr>
        <w:t xml:space="preserve">. </w:t>
      </w:r>
      <w:r>
        <w:rPr>
          <w:rtl w:val="true"/>
        </w:rPr>
        <w:t>במסגרת עדותה הפנתה ד</w:t>
      </w:r>
      <w:r>
        <w:rPr>
          <w:rtl w:val="true"/>
        </w:rPr>
        <w:t>"</w:t>
      </w:r>
      <w:r>
        <w:rPr>
          <w:rtl w:val="true"/>
        </w:rPr>
        <w:t>ר מימון למאמרים במסגרתם נבחנו קרום הבתולין של קטינות שעברו פגיעות מין ממושכות</w:t>
      </w:r>
      <w:r>
        <w:rPr>
          <w:rtl w:val="true"/>
        </w:rPr>
        <w:t xml:space="preserve">, </w:t>
      </w:r>
      <w:r>
        <w:rPr>
          <w:rtl w:val="true"/>
        </w:rPr>
        <w:t>אשר נמצאו שלמים ותקינים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בסופם של דברים</w:t>
      </w:r>
      <w:r>
        <w:rPr>
          <w:rtl w:val="true"/>
        </w:rPr>
        <w:t xml:space="preserve">, </w:t>
      </w:r>
      <w:r>
        <w:rPr>
          <w:rtl w:val="true"/>
        </w:rPr>
        <w:t>בית המשפט המחוזי העדיף את עדותה של ד</w:t>
      </w:r>
      <w:r>
        <w:rPr>
          <w:rtl w:val="true"/>
        </w:rPr>
        <w:t>"</w:t>
      </w:r>
      <w:r>
        <w:rPr>
          <w:rtl w:val="true"/>
        </w:rPr>
        <w:t>ר מימון על</w:t>
      </w:r>
      <w:r>
        <w:rPr>
          <w:rtl w:val="true"/>
        </w:rPr>
        <w:t>-</w:t>
      </w:r>
      <w:r>
        <w:rPr>
          <w:rtl w:val="true"/>
        </w:rPr>
        <w:t>פני עדותו של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גרעין מומחיותו של ד</w:t>
      </w:r>
      <w:r>
        <w:rPr>
          <w:rtl w:val="true"/>
        </w:rPr>
        <w:t>"</w:t>
      </w:r>
      <w:r>
        <w:rPr>
          <w:rtl w:val="true"/>
        </w:rPr>
        <w:t>ר שיזף אינו נוגע לתחום הפגיעות המיניות</w:t>
      </w:r>
      <w:r>
        <w:rPr>
          <w:rtl w:val="true"/>
        </w:rPr>
        <w:t xml:space="preserve">, </w:t>
      </w:r>
      <w:r>
        <w:rPr>
          <w:rtl w:val="true"/>
        </w:rPr>
        <w:t>תחום בו הוכשרה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הספרות הרפואית בנושא בכלל</w:t>
      </w:r>
      <w:r>
        <w:rPr>
          <w:rtl w:val="true"/>
        </w:rPr>
        <w:t xml:space="preserve">, </w:t>
      </w:r>
      <w:r>
        <w:rPr>
          <w:rtl w:val="true"/>
        </w:rPr>
        <w:t>והספרות הרפואית אליה הפנה ד</w:t>
      </w:r>
      <w:r>
        <w:rPr>
          <w:rtl w:val="true"/>
        </w:rPr>
        <w:t>"</w:t>
      </w:r>
      <w:r>
        <w:rPr>
          <w:rtl w:val="true"/>
        </w:rPr>
        <w:t>ר שיזף בפרט</w:t>
      </w:r>
      <w:r>
        <w:rPr>
          <w:rtl w:val="true"/>
        </w:rPr>
        <w:t xml:space="preserve">, </w:t>
      </w:r>
      <w:r>
        <w:rPr>
          <w:rtl w:val="true"/>
        </w:rPr>
        <w:t>לא מתיישבת עם מסקנתו</w:t>
      </w:r>
      <w:r>
        <w:rPr>
          <w:rtl w:val="true"/>
        </w:rPr>
        <w:t xml:space="preserve">, </w:t>
      </w:r>
      <w:r>
        <w:rPr>
          <w:rtl w:val="true"/>
        </w:rPr>
        <w:t>ולכל הפחות אין בה כדי לבססה</w:t>
      </w:r>
      <w:r>
        <w:rPr>
          <w:rtl w:val="true"/>
        </w:rPr>
        <w:t xml:space="preserve">; </w:t>
      </w:r>
      <w:r>
        <w:rPr>
          <w:rtl w:val="true"/>
        </w:rPr>
        <w:t>וכי לא ניתן לכך הסבר המניח את הדעת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ספרות זו תואמת את מסקנתה של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; </w:t>
      </w:r>
      <w:r>
        <w:rPr>
          <w:rtl w:val="true"/>
        </w:rPr>
        <w:t>ומקום שלא כך הדבר</w:t>
      </w:r>
      <w:r>
        <w:rPr>
          <w:rtl w:val="true"/>
        </w:rPr>
        <w:t xml:space="preserve">, </w:t>
      </w:r>
      <w:r>
        <w:rPr>
          <w:rtl w:val="true"/>
        </w:rPr>
        <w:t>ניתן על</w:t>
      </w:r>
      <w:r>
        <w:rPr>
          <w:rtl w:val="true"/>
        </w:rPr>
        <w:t>-</w:t>
      </w:r>
      <w:r>
        <w:rPr>
          <w:rtl w:val="true"/>
        </w:rPr>
        <w:t>ידה הסבר הולם לכך</w:t>
      </w:r>
      <w:r>
        <w:rPr>
          <w:rtl w:val="true"/>
        </w:rPr>
        <w:t xml:space="preserve">. </w:t>
      </w:r>
      <w:r>
        <w:rPr>
          <w:rtl w:val="true"/>
        </w:rPr>
        <w:t>לבסוף צוין</w:t>
      </w:r>
      <w:r>
        <w:rPr>
          <w:rtl w:val="true"/>
        </w:rPr>
        <w:t xml:space="preserve">, </w:t>
      </w:r>
      <w:r>
        <w:rPr>
          <w:rtl w:val="true"/>
        </w:rPr>
        <w:t>כי אף ד</w:t>
      </w:r>
      <w:r>
        <w:rPr>
          <w:rtl w:val="true"/>
        </w:rPr>
        <w:t>"</w:t>
      </w:r>
      <w:r>
        <w:rPr>
          <w:rtl w:val="true"/>
        </w:rPr>
        <w:t>ר שיזף אינו שולל כל אפשרות</w:t>
      </w:r>
      <w:r>
        <w:rPr>
          <w:rtl w:val="true"/>
        </w:rPr>
        <w:t xml:space="preserve">, </w:t>
      </w:r>
      <w:r>
        <w:rPr>
          <w:rtl w:val="true"/>
        </w:rPr>
        <w:t>כי במקרים של ריבוי עבירות מין</w:t>
      </w:r>
      <w:r>
        <w:rPr>
          <w:rtl w:val="true"/>
        </w:rPr>
        <w:t xml:space="preserve">, </w:t>
      </w:r>
      <w:r>
        <w:rPr>
          <w:rtl w:val="true"/>
        </w:rPr>
        <w:t>לא יהיו ממצאים בקרום הבתולין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קבע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אין בהעדר הממצא אצל המתלוננת כדי לאשש או כדי לפגוע בדברים שמסרה בתלונתה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סבר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לא הוכח </w:t>
      </w:r>
      <w:r>
        <w:rPr>
          <w:rtl w:val="true"/>
        </w:rPr>
        <w:t>(</w:t>
      </w:r>
      <w:r>
        <w:rPr>
          <w:rtl w:val="true"/>
        </w:rPr>
        <w:t>ואף לא נטען</w:t>
      </w:r>
      <w:r>
        <w:rPr>
          <w:rtl w:val="true"/>
        </w:rPr>
        <w:t xml:space="preserve">) </w:t>
      </w:r>
      <w:r>
        <w:rPr>
          <w:rtl w:val="true"/>
        </w:rPr>
        <w:t>שהמערער ביצע את מעשיו במתלוננת כשלוש עד ארבע פעמים בשבוע באופן קונסיסטנטי</w:t>
      </w:r>
      <w:r>
        <w:rPr>
          <w:rtl w:val="true"/>
        </w:rPr>
        <w:t xml:space="preserve">; </w:t>
      </w:r>
      <w:r>
        <w:rPr>
          <w:rtl w:val="true"/>
        </w:rPr>
        <w:t>וכי פרט לאירוע בחדר השינה</w:t>
      </w:r>
      <w:r>
        <w:rPr>
          <w:rtl w:val="true"/>
        </w:rPr>
        <w:t xml:space="preserve">, </w:t>
      </w:r>
      <w:r>
        <w:rPr>
          <w:rtl w:val="true"/>
        </w:rPr>
        <w:t>יתר המעשים המגונים שביצע במתלוננת נבלעים בתוך יתר עבירות המין בהן הואשם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בית המשפט הרשיע את המבקש בביצוע ריבוי עבירות אינוס בקרובת משפחה במשך כשנה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מסוף חודש דצמבר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ועד לחודש יולי </w:t>
      </w:r>
      <w:r>
        <w:rPr/>
        <w:t>2019</w:t>
      </w:r>
      <w:r>
        <w:rPr>
          <w:rtl w:val="true"/>
        </w:rPr>
        <w:t xml:space="preserve">); </w:t>
      </w:r>
      <w:r>
        <w:rPr>
          <w:rtl w:val="true"/>
        </w:rPr>
        <w:t>שתי עבירות של מעשה סדום בקרובת משפחה</w:t>
      </w:r>
      <w:r>
        <w:rPr>
          <w:rtl w:val="true"/>
        </w:rPr>
        <w:t xml:space="preserve">; </w:t>
      </w:r>
      <w:r>
        <w:rPr>
          <w:rtl w:val="true"/>
        </w:rPr>
        <w:t>עבירה של מעשה מגונה בקרובת משפחה</w:t>
      </w:r>
      <w:r>
        <w:rPr>
          <w:rtl w:val="true"/>
        </w:rPr>
        <w:t xml:space="preserve">; </w:t>
      </w:r>
      <w:r>
        <w:rPr>
          <w:rtl w:val="true"/>
        </w:rPr>
        <w:t>ומספר עבירות של תקיפת קטין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והכל </w:t>
      </w:r>
      <w:r>
        <w:rPr>
          <w:rtl w:val="true"/>
        </w:rPr>
        <w:t>–</w:t>
      </w:r>
      <w:r>
        <w:rPr>
          <w:rtl w:val="true"/>
        </w:rPr>
        <w:t xml:space="preserve"> לפי סעיפי החוק אשר פורטו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לאחר ששמע את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פנה בית המשפט לקביעת מתחם העונש ההולם בעניינו של המערער</w:t>
      </w:r>
      <w:r>
        <w:rPr>
          <w:rtl w:val="true"/>
        </w:rPr>
        <w:t xml:space="preserve">, </w:t>
      </w:r>
      <w:r>
        <w:rPr>
          <w:rtl w:val="true"/>
        </w:rPr>
        <w:t>כמו גם העונש שיש להשית עליו בגדרי המתחם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בפתח הדברים התייחס בית המשפט לתסקיר נפגעת העבירה שהוגש בעניינה של המתלוננת</w:t>
      </w:r>
      <w:r>
        <w:rPr>
          <w:rtl w:val="true"/>
        </w:rPr>
        <w:t xml:space="preserve">. </w:t>
      </w:r>
      <w:r>
        <w:rPr>
          <w:rtl w:val="true"/>
        </w:rPr>
        <w:t>כמתואר שם</w:t>
      </w:r>
      <w:r>
        <w:rPr>
          <w:rtl w:val="true"/>
        </w:rPr>
        <w:t xml:space="preserve">, </w:t>
      </w:r>
      <w:r>
        <w:rPr>
          <w:rtl w:val="true"/>
        </w:rPr>
        <w:t>מאז חשיפת האירועים</w:t>
      </w:r>
      <w:r>
        <w:rPr>
          <w:rtl w:val="true"/>
        </w:rPr>
        <w:t xml:space="preserve">, </w:t>
      </w:r>
      <w:r>
        <w:rPr>
          <w:rtl w:val="true"/>
        </w:rPr>
        <w:t>המתלוננת נמצאת במסגרת חוץ ביתית</w:t>
      </w:r>
      <w:r>
        <w:rPr>
          <w:rtl w:val="true"/>
        </w:rPr>
        <w:t xml:space="preserve">. </w:t>
      </w:r>
      <w:r>
        <w:rPr>
          <w:rtl w:val="true"/>
        </w:rPr>
        <w:t>להתנהגות המתלוננת מאפיינים של פוסט טראומה</w:t>
      </w:r>
      <w:r>
        <w:rPr>
          <w:rtl w:val="true"/>
        </w:rPr>
        <w:t xml:space="preserve">, </w:t>
      </w:r>
      <w:r>
        <w:rPr>
          <w:rtl w:val="true"/>
        </w:rPr>
        <w:t>וביניהם התקפי חרדה</w:t>
      </w:r>
      <w:r>
        <w:rPr>
          <w:rtl w:val="true"/>
        </w:rPr>
        <w:t xml:space="preserve">, </w:t>
      </w:r>
      <w:r>
        <w:rPr>
          <w:rtl w:val="true"/>
        </w:rPr>
        <w:t>הרגלי שינה שאינם תקינים וחוסר תיאבון</w:t>
      </w:r>
      <w:r>
        <w:rPr>
          <w:rtl w:val="true"/>
        </w:rPr>
        <w:t xml:space="preserve">. </w:t>
      </w:r>
      <w:r>
        <w:rPr>
          <w:rtl w:val="true"/>
        </w:rPr>
        <w:t>בפרט צוין</w:t>
      </w:r>
      <w:r>
        <w:rPr>
          <w:rtl w:val="true"/>
        </w:rPr>
        <w:t xml:space="preserve">, </w:t>
      </w:r>
      <w:r>
        <w:rPr>
          <w:rtl w:val="true"/>
        </w:rPr>
        <w:t>כי זיכרונות של האירועים מציפים את המתלוננת באופן המקשה עליה להירדם בלילות</w:t>
      </w:r>
      <w:r>
        <w:rPr>
          <w:rtl w:val="true"/>
        </w:rPr>
        <w:t xml:space="preserve">, </w:t>
      </w:r>
      <w:r>
        <w:rPr>
          <w:rtl w:val="true"/>
        </w:rPr>
        <w:t>לישון שינה רציפה ולהתרכז בלימודיה</w:t>
      </w:r>
      <w:r>
        <w:rPr>
          <w:rtl w:val="true"/>
        </w:rPr>
        <w:t xml:space="preserve">. </w:t>
      </w:r>
      <w:r>
        <w:rPr>
          <w:rtl w:val="true"/>
        </w:rPr>
        <w:t>תחושותיה של המתלוננת אף מביאים אותה עד כדי פגיעה עצמית</w:t>
      </w:r>
      <w:r>
        <w:rPr>
          <w:rtl w:val="true"/>
        </w:rPr>
        <w:t xml:space="preserve">. </w:t>
      </w:r>
      <w:r>
        <w:rPr>
          <w:rtl w:val="true"/>
        </w:rPr>
        <w:t>עוד תואר</w:t>
      </w:r>
      <w:r>
        <w:rPr>
          <w:rtl w:val="true"/>
        </w:rPr>
        <w:t xml:space="preserve">, </w:t>
      </w:r>
      <w:r>
        <w:rPr>
          <w:rtl w:val="true"/>
        </w:rPr>
        <w:t>כי המתלוננת מתקשה לתת אמון בחברה</w:t>
      </w:r>
      <w:r>
        <w:rPr>
          <w:rtl w:val="true"/>
        </w:rPr>
        <w:t xml:space="preserve">, </w:t>
      </w:r>
      <w:r>
        <w:rPr>
          <w:rtl w:val="true"/>
        </w:rPr>
        <w:t>בזכרים ובבני משפחתה</w:t>
      </w:r>
      <w:r>
        <w:rPr>
          <w:rtl w:val="true"/>
        </w:rPr>
        <w:t xml:space="preserve">; </w:t>
      </w:r>
      <w:r>
        <w:rPr>
          <w:rtl w:val="true"/>
        </w:rPr>
        <w:t>וכי היא חיה בחשש שמא יפגעו בה שוב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המתלוננת מרגישה אשמה בכך שחשפה את המעשים שביצע בה המערער</w:t>
      </w:r>
      <w:r>
        <w:rPr>
          <w:rtl w:val="true"/>
        </w:rPr>
        <w:t xml:space="preserve">, </w:t>
      </w:r>
      <w:r>
        <w:rPr>
          <w:rtl w:val="true"/>
        </w:rPr>
        <w:t>וזאת נוכח הקשיים הכלכליים שמשפחתה חווה מאז שנעצר</w:t>
      </w:r>
      <w:r>
        <w:rPr>
          <w:rtl w:val="true"/>
        </w:rPr>
        <w:t xml:space="preserve">. </w:t>
      </w:r>
      <w:r>
        <w:rPr>
          <w:rtl w:val="true"/>
        </w:rPr>
        <w:t>במסגרת התסקיר צוין</w:t>
      </w:r>
      <w:r>
        <w:rPr>
          <w:rtl w:val="true"/>
        </w:rPr>
        <w:t xml:space="preserve">, </w:t>
      </w:r>
      <w:r>
        <w:rPr>
          <w:rtl w:val="true"/>
        </w:rPr>
        <w:t>כי המתלוננת מבקשת מבית המשפט להשית על המערער עונש מאסר ממושך ופיצוי כספי</w:t>
      </w:r>
      <w:r>
        <w:rPr>
          <w:rtl w:val="true"/>
        </w:rPr>
        <w:t xml:space="preserve">; </w:t>
      </w:r>
      <w:r>
        <w:rPr>
          <w:rtl w:val="true"/>
        </w:rPr>
        <w:t>וכי לדעת עורכת התסקיר הטלת עונש מחמיר על המערער תסייע לשיקום המתלוננת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בקביעת המתחם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בהתאם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 כמו גם המבחנים שנקבעו בפסיקה</w:t>
      </w:r>
      <w:r>
        <w:rPr>
          <w:rtl w:val="true"/>
        </w:rPr>
        <w:t xml:space="preserve">, </w:t>
      </w:r>
      <w:r>
        <w:rPr>
          <w:rtl w:val="true"/>
        </w:rPr>
        <w:t>יש לראות בכלל האירועים מושא כתב האישום בתור אירוע אחד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עמד בית המשפט על חומרת מעשיו של המערער</w:t>
      </w:r>
      <w:r>
        <w:rPr>
          <w:rtl w:val="true"/>
        </w:rPr>
        <w:t xml:space="preserve">; </w:t>
      </w:r>
      <w:r>
        <w:rPr>
          <w:rtl w:val="true"/>
        </w:rPr>
        <w:t>נסיבות ביצועם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</w:t>
      </w:r>
      <w:r>
        <w:rPr>
          <w:rtl w:val="true"/>
        </w:rPr>
        <w:t>–</w:t>
      </w:r>
      <w:r>
        <w:rPr>
          <w:rtl w:val="true"/>
        </w:rPr>
        <w:t xml:space="preserve"> התכנון שקדם להם</w:t>
      </w:r>
      <w:r>
        <w:rPr>
          <w:rtl w:val="true"/>
        </w:rPr>
        <w:t xml:space="preserve">, </w:t>
      </w:r>
      <w:r>
        <w:rPr>
          <w:rtl w:val="true"/>
        </w:rPr>
        <w:t>האלימות שנקט כלפי המתלוננת וניצול מעמדו כאביה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הערכים החברתיים המוגנים בהם פגע המערער והנזק שגרם למתלוננת</w:t>
      </w:r>
      <w:r>
        <w:rPr>
          <w:rtl w:val="true"/>
        </w:rPr>
        <w:t xml:space="preserve">. </w:t>
      </w:r>
      <w:r>
        <w:rPr>
          <w:rtl w:val="true"/>
        </w:rPr>
        <w:t>בתוך כך צוינה הפגיעה בזכותה של המתלוננת לכבוד</w:t>
      </w:r>
      <w:r>
        <w:rPr>
          <w:rtl w:val="true"/>
        </w:rPr>
        <w:t xml:space="preserve">, </w:t>
      </w:r>
      <w:r>
        <w:rPr>
          <w:rtl w:val="true"/>
        </w:rPr>
        <w:t>לפרטיות</w:t>
      </w:r>
      <w:r>
        <w:rPr>
          <w:rtl w:val="true"/>
        </w:rPr>
        <w:t xml:space="preserve">, </w:t>
      </w:r>
      <w:r>
        <w:rPr>
          <w:rtl w:val="true"/>
        </w:rPr>
        <w:t>לשלמות הגוף ולאוטונומיה</w:t>
      </w:r>
      <w:r>
        <w:rPr>
          <w:rtl w:val="true"/>
        </w:rPr>
        <w:t xml:space="preserve">; </w:t>
      </w:r>
      <w:r>
        <w:rPr>
          <w:rtl w:val="true"/>
        </w:rPr>
        <w:t xml:space="preserve">וכן לתחושת הביטחון שלה </w:t>
      </w:r>
      <w:r>
        <w:rPr>
          <w:rtl w:val="true"/>
        </w:rPr>
        <w:t>–</w:t>
      </w:r>
      <w:r>
        <w:rPr>
          <w:rtl w:val="true"/>
        </w:rPr>
        <w:t xml:space="preserve"> פגיעה</w:t>
      </w:r>
      <w:r>
        <w:rPr>
          <w:rtl w:val="true"/>
        </w:rPr>
        <w:t xml:space="preserve">, </w:t>
      </w:r>
      <w:r>
        <w:rPr>
          <w:rtl w:val="true"/>
        </w:rPr>
        <w:t>אשר מתעצמת בשים לב לכך שהיא נפגעה בביתה על</w:t>
      </w:r>
      <w:r>
        <w:rPr>
          <w:rtl w:val="true"/>
        </w:rPr>
        <w:t>-</w:t>
      </w:r>
      <w:r>
        <w:rPr>
          <w:rtl w:val="true"/>
        </w:rPr>
        <w:t>ידי מי שהיה אמון על שלומה ובטחונה</w:t>
      </w:r>
      <w:r>
        <w:rPr>
          <w:rtl w:val="true"/>
        </w:rPr>
        <w:t xml:space="preserve">. </w:t>
      </w:r>
      <w:r>
        <w:rPr>
          <w:rtl w:val="true"/>
        </w:rPr>
        <w:t>כן התייחס בית המשפט</w:t>
      </w:r>
      <w:r>
        <w:rPr>
          <w:rtl w:val="true"/>
        </w:rPr>
        <w:t xml:space="preserve">, </w:t>
      </w:r>
      <w:r>
        <w:rPr>
          <w:rtl w:val="true"/>
        </w:rPr>
        <w:t>להשפעה של העונש המזערי שנקבע בעבירות בהן הורשע המערער על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העונש המזערי בעבירת האינוס </w:t>
      </w:r>
      <w:r>
        <w:rPr>
          <w:rtl w:val="true"/>
        </w:rPr>
        <w:t>(</w:t>
      </w:r>
      <w:r>
        <w:rPr>
          <w:rtl w:val="true"/>
        </w:rPr>
        <w:t>העבירה החמורה ביותר בה הורשע המערער</w:t>
      </w:r>
      <w:r>
        <w:rPr>
          <w:rtl w:val="true"/>
        </w:rPr>
        <w:t xml:space="preserve">) </w:t>
      </w:r>
      <w:r>
        <w:rPr>
          <w:rtl w:val="true"/>
        </w:rPr>
        <w:t xml:space="preserve">עומד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התייחס בית המשפט למדיניות הענישה הנוהגת במקרים דומים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בהתחשב בכל 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הנע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כתב האישום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תוך ש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>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לזכותו</w:t>
      </w:r>
      <w:r>
        <w:rPr>
          <w:rtl w:val="true"/>
        </w:rPr>
        <w:t xml:space="preserve">... </w:t>
      </w:r>
      <w:r>
        <w:rPr>
          <w:rtl w:val="true"/>
        </w:rPr>
        <w:t>את הנסיבות הנגזרות מהודאה באשמה והבעת חרטה</w:t>
      </w:r>
      <w:r>
        <w:rPr>
          <w:rtl w:val="true"/>
        </w:rPr>
        <w:t>..." (</w:t>
      </w:r>
      <w:r>
        <w:rPr>
          <w:rtl w:val="true"/>
        </w:rPr>
        <w:t xml:space="preserve">עמוד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עוד שקל בית המשפט את ניסיונו של המערער להביא את המתלוננת לחזור בה מתלונתה</w:t>
      </w:r>
      <w:r>
        <w:rPr>
          <w:rtl w:val="true"/>
        </w:rPr>
        <w:t xml:space="preserve">, </w:t>
      </w:r>
      <w:r>
        <w:rPr>
          <w:rtl w:val="true"/>
        </w:rPr>
        <w:t>באמצעות הדוד ח</w:t>
      </w:r>
      <w:r>
        <w:rPr>
          <w:rtl w:val="true"/>
        </w:rPr>
        <w:t xml:space="preserve">' </w:t>
      </w:r>
      <w:r>
        <w:rPr>
          <w:rtl w:val="true"/>
        </w:rPr>
        <w:t>וחברו</w:t>
      </w:r>
      <w:r>
        <w:rPr>
          <w:rtl w:val="true"/>
        </w:rPr>
        <w:t xml:space="preserve">. </w:t>
      </w:r>
      <w:r>
        <w:rPr>
          <w:rtl w:val="true"/>
        </w:rPr>
        <w:t>בית המשפט אף הביא במניין שיקוליו את מידת המסוכנות הנשקפת מהמערער</w:t>
      </w:r>
      <w:r>
        <w:rPr>
          <w:rtl w:val="true"/>
        </w:rPr>
        <w:t xml:space="preserve">, </w:t>
      </w:r>
      <w:r>
        <w:rPr>
          <w:rtl w:val="true"/>
        </w:rPr>
        <w:t>נוכח מעשיו והעובדה שאינו נוטל עליהם אחריות</w:t>
      </w:r>
      <w:r>
        <w:rPr>
          <w:rtl w:val="true"/>
        </w:rPr>
        <w:t xml:space="preserve">; </w:t>
      </w:r>
      <w:r>
        <w:rPr>
          <w:rtl w:val="true"/>
        </w:rPr>
        <w:t>וכן שיקולים של הרתעת היחיד והרבים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על המערער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ימי 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שמא יעבור עבירת מין מסוג העבירות בהן הורשע או עבירות מין שהן פשע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של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ייאמר מיד </w:t>
      </w:r>
      <w:r>
        <w:rPr>
          <w:rtl w:val="true"/>
        </w:rPr>
        <w:t>–</w:t>
      </w:r>
      <w:r>
        <w:rPr>
          <w:rtl w:val="true"/>
        </w:rPr>
        <w:t xml:space="preserve"> טענות המערער נפרשות על</w:t>
      </w:r>
      <w:r>
        <w:rPr>
          <w:rtl w:val="true"/>
        </w:rPr>
        <w:t>-</w:t>
      </w:r>
      <w:r>
        <w:rPr>
          <w:rtl w:val="true"/>
        </w:rPr>
        <w:t xml:space="preserve">פני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 xml:space="preserve">בשני מסמכים שנושאים כותרות </w:t>
      </w:r>
      <w:r>
        <w:rPr>
          <w:rtl w:val="true"/>
        </w:rPr>
        <w:t>"</w:t>
      </w:r>
      <w:r>
        <w:rPr>
          <w:rtl w:val="true"/>
        </w:rPr>
        <w:t>נימוקי ערעור על הכרעת הדין וגזר הדין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עיקרי טיעון לערעור על הכרעת הדין</w:t>
      </w:r>
      <w:r>
        <w:rPr>
          <w:rtl w:val="true"/>
        </w:rPr>
        <w:t xml:space="preserve">"; </w:t>
      </w:r>
      <w:r>
        <w:rPr>
          <w:rtl w:val="true"/>
        </w:rPr>
        <w:t>ודומה כי אלה מופנות נגד כל קביעה וקביעה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 מצאתי מקום לפרט על אודות כל טענה וטענה שהעלה המערער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בחלק זה</w:t>
      </w:r>
      <w:r>
        <w:rPr>
          <w:rtl w:val="true"/>
        </w:rPr>
        <w:t xml:space="preserve">, </w:t>
      </w:r>
      <w:r>
        <w:rPr>
          <w:rtl w:val="true"/>
        </w:rPr>
        <w:t>ובחלק הבא</w:t>
      </w:r>
      <w:r>
        <w:rPr>
          <w:rtl w:val="true"/>
        </w:rPr>
        <w:t xml:space="preserve">, </w:t>
      </w:r>
      <w:r>
        <w:rPr>
          <w:rtl w:val="true"/>
        </w:rPr>
        <w:t>אציג את עיקר טיעוניו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בלב הערעור נגד הכרעת הדין ניצבת הטענה</w:t>
      </w:r>
      <w:r>
        <w:rPr>
          <w:rtl w:val="true"/>
        </w:rPr>
        <w:t xml:space="preserve">, </w:t>
      </w:r>
      <w:r>
        <w:rPr>
          <w:rtl w:val="true"/>
        </w:rPr>
        <w:t>כי על אף שלבית המשפט הסמכות להרשיע אדם המואשם בביצוע עבירות מין על בסיס עדות יחידה של המתלוננת</w:t>
      </w:r>
      <w:r>
        <w:rPr>
          <w:rtl w:val="true"/>
        </w:rPr>
        <w:t xml:space="preserve">, </w:t>
      </w:r>
      <w:r>
        <w:rPr>
          <w:rtl w:val="true"/>
        </w:rPr>
        <w:t>לא היה ראוי לעשות כן בנסיבות דנא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שהתלונה נגדו הוגשה בשיהוי</w:t>
      </w:r>
      <w:r>
        <w:rPr>
          <w:rtl w:val="true"/>
        </w:rPr>
        <w:t xml:space="preserve">, </w:t>
      </w:r>
      <w:r>
        <w:rPr>
          <w:rtl w:val="true"/>
        </w:rPr>
        <w:t>והיות שגרסתה של המתלוננת דלה בפרטים</w:t>
      </w:r>
      <w:r>
        <w:rPr>
          <w:rtl w:val="true"/>
        </w:rPr>
        <w:t xml:space="preserve">, </w:t>
      </w:r>
      <w:r>
        <w:rPr>
          <w:rtl w:val="true"/>
        </w:rPr>
        <w:t>מלאה בסתירות ואי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כאשר אין ראיות חיצוניות התומכות בה</w:t>
      </w:r>
      <w:r>
        <w:rPr>
          <w:rtl w:val="true"/>
        </w:rPr>
        <w:t xml:space="preserve">. </w:t>
      </w:r>
      <w:r>
        <w:rPr>
          <w:rtl w:val="true"/>
        </w:rPr>
        <w:t>המערער מפרט טענותיו ביחס לכל אירוע בו הוא הורשע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המתמשכים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סדום</w:t>
      </w:r>
      <w:r>
        <w:rPr>
          <w:rtl w:val="true"/>
        </w:rPr>
        <w:t xml:space="preserve">: </w:t>
      </w:r>
      <w:r>
        <w:rPr>
          <w:rtl w:val="true"/>
        </w:rPr>
        <w:t>ביחס להרשעתו באירועים אלה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גרסתה של המתלוננת רזה</w:t>
      </w:r>
      <w:r>
        <w:rPr>
          <w:rtl w:val="true"/>
        </w:rPr>
        <w:t xml:space="preserve">, </w:t>
      </w:r>
      <w:r>
        <w:rPr>
          <w:rtl w:val="true"/>
        </w:rPr>
        <w:t>שלדית</w:t>
      </w:r>
      <w:r>
        <w:rPr>
          <w:rtl w:val="true"/>
        </w:rPr>
        <w:t xml:space="preserve">, </w:t>
      </w:r>
      <w:r>
        <w:rPr>
          <w:rtl w:val="true"/>
        </w:rPr>
        <w:t>אינה כוללת פרטים פריפריאליים והיא תוצר של שאלות מכווינות שנשאלו במהלך עדותה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המחוזי לתת הנמקה </w:t>
      </w:r>
      <w:r>
        <w:rPr>
          <w:rtl w:val="true"/>
        </w:rPr>
        <w:t>'</w:t>
      </w:r>
      <w:r>
        <w:rPr>
          <w:rtl w:val="true"/>
        </w:rPr>
        <w:t>ממשית</w:t>
      </w:r>
      <w:r>
        <w:rPr>
          <w:rtl w:val="true"/>
        </w:rPr>
        <w:t xml:space="preserve">' </w:t>
      </w:r>
      <w:r>
        <w:rPr>
          <w:rtl w:val="true"/>
        </w:rPr>
        <w:t>להחלטה להרשיעו על בסיס עדותה בלבד</w:t>
      </w:r>
      <w:r>
        <w:rPr>
          <w:rtl w:val="true"/>
        </w:rPr>
        <w:t xml:space="preserve">. </w:t>
      </w:r>
      <w:r>
        <w:rPr>
          <w:rtl w:val="true"/>
        </w:rPr>
        <w:t>אל מול האמור נטען</w:t>
      </w:r>
      <w:r>
        <w:rPr>
          <w:rtl w:val="true"/>
        </w:rPr>
        <w:t xml:space="preserve">, </w:t>
      </w:r>
      <w:r>
        <w:rPr>
          <w:rtl w:val="true"/>
        </w:rPr>
        <w:t>כי נימוקי בית המשפט שניתנו בהקשר זה אינם מתחייבים בנסיבות העניין</w:t>
      </w:r>
      <w:r>
        <w:rPr>
          <w:rtl w:val="true"/>
        </w:rPr>
        <w:t xml:space="preserve">, </w:t>
      </w:r>
      <w:r>
        <w:rPr>
          <w:rtl w:val="true"/>
        </w:rPr>
        <w:t>ואף שגויים</w:t>
      </w:r>
      <w:r>
        <w:rPr>
          <w:rtl w:val="true"/>
        </w:rPr>
        <w:t xml:space="preserve">. </w:t>
      </w:r>
      <w:r>
        <w:rPr>
          <w:rtl w:val="true"/>
        </w:rPr>
        <w:t>בסופם של דברים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הרשעתו התבססה בעיקר על התרשמותו של בית המשפט המחוזי מהתנהגות המתלוננת</w:t>
      </w:r>
      <w:r>
        <w:rPr>
          <w:rtl w:val="true"/>
        </w:rPr>
        <w:t xml:space="preserve">, </w:t>
      </w:r>
      <w:r>
        <w:rPr>
          <w:rtl w:val="true"/>
        </w:rPr>
        <w:t>לא על תוכן דבריה</w:t>
      </w:r>
      <w:r>
        <w:rPr>
          <w:rtl w:val="true"/>
        </w:rPr>
        <w:t xml:space="preserve">, </w:t>
      </w:r>
      <w:r>
        <w:rPr>
          <w:rtl w:val="true"/>
        </w:rPr>
        <w:t>וכי לא ניתן לקבוע על בסיס כך ממצאי מהימנות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על אף שגרסתה של המתלוננת אשר לאירוע זה מפורטת יותר</w:t>
      </w:r>
      <w:r>
        <w:rPr>
          <w:rtl w:val="true"/>
        </w:rPr>
        <w:t xml:space="preserve">, </w:t>
      </w:r>
      <w:r>
        <w:rPr>
          <w:rtl w:val="true"/>
        </w:rPr>
        <w:t>היא רוויית סתירות מהותיות אשר פוגמות במהימנותה</w:t>
      </w:r>
      <w:r>
        <w:rPr>
          <w:rtl w:val="true"/>
        </w:rPr>
        <w:t xml:space="preserve">. </w:t>
      </w:r>
      <w:r>
        <w:rPr>
          <w:rtl w:val="true"/>
        </w:rPr>
        <w:t>בפרט טען המערער</w:t>
      </w:r>
      <w:r>
        <w:rPr>
          <w:rtl w:val="true"/>
        </w:rPr>
        <w:t xml:space="preserve">, </w:t>
      </w:r>
      <w:r>
        <w:rPr>
          <w:rtl w:val="true"/>
        </w:rPr>
        <w:t>כי גרסתה של המתלוננת אינה אחידה ביחס לתיאור הבגדים שלבשה</w:t>
      </w:r>
      <w:r>
        <w:rPr>
          <w:rtl w:val="true"/>
        </w:rPr>
        <w:t xml:space="preserve">, </w:t>
      </w:r>
      <w:r>
        <w:rPr>
          <w:rtl w:val="true"/>
        </w:rPr>
        <w:t>שמלה או טוניקה</w:t>
      </w:r>
      <w:r>
        <w:rPr>
          <w:rtl w:val="true"/>
        </w:rPr>
        <w:t xml:space="preserve">, </w:t>
      </w:r>
      <w:r>
        <w:rPr>
          <w:rtl w:val="true"/>
        </w:rPr>
        <w:t>במועד האירוע</w:t>
      </w:r>
      <w:r>
        <w:rPr>
          <w:rtl w:val="true"/>
        </w:rPr>
        <w:t xml:space="preserve">; </w:t>
      </w:r>
      <w:r>
        <w:rPr>
          <w:rtl w:val="true"/>
        </w:rPr>
        <w:t xml:space="preserve">לאופן בו הוא הגיע לפורקן </w:t>
      </w:r>
      <w:r>
        <w:rPr>
          <w:rtl w:val="true"/>
        </w:rPr>
        <w:t>–</w:t>
      </w:r>
      <w:r>
        <w:rPr>
          <w:rtl w:val="true"/>
        </w:rPr>
        <w:t xml:space="preserve"> בפנים</w:t>
      </w:r>
      <w:r>
        <w:rPr>
          <w:rtl w:val="true"/>
        </w:rPr>
        <w:t xml:space="preserve">, </w:t>
      </w:r>
      <w:r>
        <w:rPr>
          <w:rtl w:val="true"/>
        </w:rPr>
        <w:t>בחוץ או חצי בפנים חצי בחוץ</w:t>
      </w:r>
      <w:r>
        <w:rPr>
          <w:rtl w:val="true"/>
        </w:rPr>
        <w:t xml:space="preserve">; </w:t>
      </w:r>
      <w:r>
        <w:rPr>
          <w:rtl w:val="true"/>
        </w:rPr>
        <w:t xml:space="preserve">למועד בו הוא ליטף את גופה והורה לה לשחק עם איבר מינו </w:t>
      </w:r>
      <w:r>
        <w:rPr>
          <w:rtl w:val="true"/>
        </w:rPr>
        <w:t>–</w:t>
      </w:r>
      <w:r>
        <w:rPr>
          <w:rtl w:val="true"/>
        </w:rPr>
        <w:t xml:space="preserve"> לפני או אחרי שקיים עמה יחסי מין</w:t>
      </w:r>
      <w:r>
        <w:rPr>
          <w:rtl w:val="true"/>
        </w:rPr>
        <w:t xml:space="preserve">; </w:t>
      </w:r>
      <w:r>
        <w:rPr>
          <w:rtl w:val="true"/>
        </w:rPr>
        <w:t xml:space="preserve">ולתנוחה בה קיים עמה יחסי מין </w:t>
      </w:r>
      <w:r>
        <w:rPr>
          <w:rtl w:val="true"/>
        </w:rPr>
        <w:t>–</w:t>
      </w:r>
      <w:r>
        <w:rPr>
          <w:rtl w:val="true"/>
        </w:rPr>
        <w:t xml:space="preserve"> בעמידה</w:t>
      </w:r>
      <w:r>
        <w:rPr>
          <w:rtl w:val="true"/>
        </w:rPr>
        <w:t xml:space="preserve">, </w:t>
      </w:r>
      <w:r>
        <w:rPr>
          <w:rtl w:val="true"/>
        </w:rPr>
        <w:t>בשכיבה</w:t>
      </w:r>
      <w:r>
        <w:rPr>
          <w:rtl w:val="true"/>
        </w:rPr>
        <w:t xml:space="preserve">, </w:t>
      </w:r>
      <w:r>
        <w:rPr>
          <w:rtl w:val="true"/>
        </w:rPr>
        <w:t>או גם וגם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השיג המערער על הנימוקים שסיפק בית המשפט המחוזי לסתירות אלה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לא הוכח מעבר לכל ספק סביר שביצע את האירוע הראשון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השינה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בכל הנוגע להרשעה באירוע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נוכח קיומן של סתירות מהותיות בגרסתה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היה להרשיעו בעבירה של מעשה מגונה בקרובת משפחה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תחילה סיפרה המתלוננת בחקירתה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ליטף אותה מתחת לבגדיה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ואילו לאחר מכן בעדותה בבית המשפט </w:t>
      </w:r>
      <w:r>
        <w:rPr>
          <w:rtl w:val="true"/>
        </w:rPr>
        <w:t>שינתה גרסתה</w:t>
      </w:r>
      <w:r>
        <w:rPr>
          <w:rtl w:val="true"/>
        </w:rPr>
        <w:t xml:space="preserve">, </w:t>
      </w:r>
      <w:r>
        <w:rPr>
          <w:rtl w:val="true"/>
        </w:rPr>
        <w:t>וטענה כי זה נעשה מעל לבגדיה</w:t>
      </w:r>
      <w:r>
        <w:rPr>
          <w:rtl w:val="true"/>
        </w:rPr>
        <w:t xml:space="preserve">, </w:t>
      </w:r>
      <w:r>
        <w:rPr>
          <w:rtl w:val="true"/>
        </w:rPr>
        <w:t>והוסיפה כי המערער גם ליטף אותה באזור איבר מינה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התקיפה</w:t>
      </w:r>
      <w:r>
        <w:rPr>
          <w:rtl w:val="true"/>
        </w:rPr>
        <w:t xml:space="preserve">: </w:t>
      </w:r>
      <w:r>
        <w:rPr>
          <w:rtl w:val="true"/>
        </w:rPr>
        <w:t>ביחס לכך טען המערער</w:t>
      </w:r>
      <w:r>
        <w:rPr>
          <w:rtl w:val="true"/>
        </w:rPr>
        <w:t xml:space="preserve">, </w:t>
      </w:r>
      <w:r>
        <w:rPr>
          <w:rtl w:val="true"/>
        </w:rPr>
        <w:t>כי לא היו די ראיות לצורך הרשעתו במספר עבירות של תקיפת קטין בנסיבות מחמירות</w:t>
      </w:r>
      <w:r>
        <w:rPr>
          <w:rtl w:val="true"/>
        </w:rPr>
        <w:t xml:space="preserve">, </w:t>
      </w:r>
      <w:r>
        <w:rPr>
          <w:rtl w:val="true"/>
        </w:rPr>
        <w:t>וזאת הן לנוכח גרסתה הרזה של המתלוננת</w:t>
      </w:r>
      <w:r>
        <w:rPr>
          <w:rtl w:val="true"/>
        </w:rPr>
        <w:t xml:space="preserve">, </w:t>
      </w:r>
      <w:r>
        <w:rPr>
          <w:rtl w:val="true"/>
        </w:rPr>
        <w:t>אשר לא כללה פירוט מדויק על אודות מעשי האלימות</w:t>
      </w:r>
      <w:r>
        <w:rPr>
          <w:rtl w:val="true"/>
        </w:rPr>
        <w:t xml:space="preserve">; </w:t>
      </w:r>
      <w:r>
        <w:rPr>
          <w:rtl w:val="true"/>
        </w:rPr>
        <w:t>הן משום שנקבע</w:t>
      </w:r>
      <w:r>
        <w:rPr>
          <w:rtl w:val="true"/>
        </w:rPr>
        <w:t xml:space="preserve">, </w:t>
      </w:r>
      <w:r>
        <w:rPr>
          <w:rtl w:val="true"/>
        </w:rPr>
        <w:t>כי הטיח את ראשה בקיר אך פעם אחת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למתלוננת היו מניעים רבי עוצמה אשר כל אחד מהם לחוד בעל עוצמה מספקת להניע אותה להפלילו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עמד המערער על לא פחות מארבעה מניעים שיש למתלוננת להפלילו</w:t>
      </w:r>
      <w:r>
        <w:rPr>
          <w:rtl w:val="true"/>
        </w:rPr>
        <w:t xml:space="preserve">: </w:t>
      </w:r>
      <w:r>
        <w:rPr>
          <w:rtl w:val="true"/>
        </w:rPr>
        <w:t>כוונתו לחתן אותה עם גבר שלא רצתה להינשא לו</w:t>
      </w:r>
      <w:r>
        <w:rPr>
          <w:rtl w:val="true"/>
        </w:rPr>
        <w:t xml:space="preserve">; </w:t>
      </w:r>
      <w:r>
        <w:rPr>
          <w:rtl w:val="true"/>
        </w:rPr>
        <w:t>העובדה שהוא הגביל את החופש שלה</w:t>
      </w:r>
      <w:r>
        <w:rPr>
          <w:rtl w:val="true"/>
        </w:rPr>
        <w:t xml:space="preserve">; </w:t>
      </w:r>
      <w:r>
        <w:rPr>
          <w:rtl w:val="true"/>
        </w:rPr>
        <w:t>רצונה לחזור לגור ביישוב</w:t>
      </w:r>
      <w:r>
        <w:rPr>
          <w:rtl w:val="true"/>
        </w:rPr>
        <w:t xml:space="preserve">, </w:t>
      </w:r>
      <w:r>
        <w:rPr>
          <w:rtl w:val="true"/>
        </w:rPr>
        <w:t>שם נטען כי היה לה קשר רומנטי</w:t>
      </w:r>
      <w:r>
        <w:rPr>
          <w:rtl w:val="true"/>
        </w:rPr>
        <w:t xml:space="preserve">; </w:t>
      </w:r>
      <w:r>
        <w:rPr>
          <w:rtl w:val="true"/>
        </w:rPr>
        <w:t xml:space="preserve">ורצונה להתרחק מהעוני בו גדלה </w:t>
      </w:r>
      <w:r>
        <w:rPr>
          <w:rtl w:val="true"/>
        </w:rPr>
        <w:t>(</w:t>
      </w:r>
      <w:r>
        <w:rPr>
          <w:rtl w:val="true"/>
        </w:rPr>
        <w:t>שנטען כי המתלוננת מאשימה את המערער במצב הכלכלי של המשפחה</w:t>
      </w:r>
      <w:r>
        <w:rPr>
          <w:rtl w:val="true"/>
        </w:rPr>
        <w:t xml:space="preserve">), </w:t>
      </w:r>
      <w:r>
        <w:rPr>
          <w:rtl w:val="true"/>
        </w:rPr>
        <w:t>וכן מהאלימות</w:t>
      </w:r>
      <w:r>
        <w:rPr>
          <w:rtl w:val="true"/>
        </w:rPr>
        <w:t xml:space="preserve">, </w:t>
      </w:r>
      <w:r>
        <w:rPr>
          <w:rtl w:val="true"/>
        </w:rPr>
        <w:t>שלטענתה</w:t>
      </w:r>
      <w:r>
        <w:rPr>
          <w:rtl w:val="true"/>
        </w:rPr>
        <w:t xml:space="preserve">, </w:t>
      </w:r>
      <w:r>
        <w:rPr>
          <w:rtl w:val="true"/>
        </w:rPr>
        <w:t>נקט כלפיה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השיג המערער על הקביעות של בית המשפט המחוזי בכל הנוגע לראיות לחיזוק ולסיוע גרסתה של המתלוננת</w:t>
      </w:r>
      <w:r>
        <w:rPr>
          <w:rtl w:val="true"/>
        </w:rPr>
        <w:t xml:space="preserve">. </w:t>
      </w:r>
      <w:r>
        <w:rPr>
          <w:rtl w:val="true"/>
        </w:rPr>
        <w:t>בתוך כך טען המערער</w:t>
      </w:r>
      <w:r>
        <w:rPr>
          <w:rtl w:val="true"/>
        </w:rPr>
        <w:t xml:space="preserve">, </w:t>
      </w:r>
      <w:r>
        <w:rPr>
          <w:rtl w:val="true"/>
        </w:rPr>
        <w:t>כי לא ניתן להיתלות על האמון שבני משפחתה של המתלוננת נתנו בה</w:t>
      </w:r>
      <w:r>
        <w:rPr>
          <w:rtl w:val="true"/>
        </w:rPr>
        <w:t xml:space="preserve">, </w:t>
      </w:r>
      <w:r>
        <w:rPr>
          <w:rtl w:val="true"/>
        </w:rPr>
        <w:t>לצורך חיזוק גרסתה</w:t>
      </w:r>
      <w:r>
        <w:rPr>
          <w:rtl w:val="true"/>
        </w:rPr>
        <w:t xml:space="preserve">; </w:t>
      </w:r>
      <w:r>
        <w:rPr>
          <w:rtl w:val="true"/>
        </w:rPr>
        <w:t>כי אין להתייחס לכך שהמתלוננת עמדה על תלונתה כראיה לחיזוק גרסתה</w:t>
      </w:r>
      <w:r>
        <w:rPr>
          <w:rtl w:val="true"/>
        </w:rPr>
        <w:t xml:space="preserve">, </w:t>
      </w:r>
      <w:r>
        <w:rPr>
          <w:rtl w:val="true"/>
        </w:rPr>
        <w:t>נוכח קיומם של מחדלי חקירה שנפלו בתיעוד השיחה שנערכה עמה בתחנת המשטרה</w:t>
      </w:r>
      <w:r>
        <w:rPr>
          <w:rtl w:val="true"/>
        </w:rPr>
        <w:t xml:space="preserve">; </w:t>
      </w:r>
      <w:r>
        <w:rPr>
          <w:rtl w:val="true"/>
        </w:rPr>
        <w:t>וכי לא נצפה אצל המתלוננת מצב נפשי קשה אשר מצדיק לייחס לו משקל ראייתי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עוד חזר המערער על טענותיו</w:t>
      </w:r>
      <w:r>
        <w:rPr>
          <w:rtl w:val="true"/>
        </w:rPr>
        <w:t xml:space="preserve">, </w:t>
      </w:r>
      <w:r>
        <w:rPr>
          <w:rtl w:val="true"/>
        </w:rPr>
        <w:t>כי לא יכול היה לבצע את עבירות המין המיוחסות לו</w:t>
      </w:r>
      <w:r>
        <w:rPr>
          <w:rtl w:val="true"/>
        </w:rPr>
        <w:t xml:space="preserve">, </w:t>
      </w:r>
      <w:r>
        <w:rPr>
          <w:rtl w:val="true"/>
        </w:rPr>
        <w:t>נוכח מצבו הרפואי</w:t>
      </w:r>
      <w:r>
        <w:rPr>
          <w:rtl w:val="true"/>
        </w:rPr>
        <w:t xml:space="preserve">; </w:t>
      </w:r>
      <w:r>
        <w:rPr>
          <w:rtl w:val="true"/>
        </w:rPr>
        <w:t>כי היה מעביר את מרבית ימיו בבית קפה</w:t>
      </w:r>
      <w:r>
        <w:rPr>
          <w:rtl w:val="true"/>
        </w:rPr>
        <w:t xml:space="preserve">; </w:t>
      </w:r>
      <w:r>
        <w:rPr>
          <w:rtl w:val="true"/>
        </w:rPr>
        <w:t>וכי האם לא הייתה נוהגת לצאת מהבית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בחקירותיו במשטרה ציין את מצבו הרפואי ואת מנהגו להעביר את רוב שעות היום בבית קפה</w:t>
      </w:r>
      <w:r>
        <w:rPr>
          <w:rtl w:val="true"/>
        </w:rPr>
        <w:t xml:space="preserve">, </w:t>
      </w:r>
      <w:r>
        <w:rPr>
          <w:rtl w:val="true"/>
        </w:rPr>
        <w:t>אולם הדברים לא נרשמו על</w:t>
      </w:r>
      <w:r>
        <w:rPr>
          <w:rtl w:val="true"/>
        </w:rPr>
        <w:t>-</w:t>
      </w:r>
      <w:r>
        <w:rPr>
          <w:rtl w:val="true"/>
        </w:rPr>
        <w:t>ידי החוקרים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גרסתו בהקשר זה נתמכת על</w:t>
      </w:r>
      <w:r>
        <w:rPr>
          <w:rtl w:val="true"/>
        </w:rPr>
        <w:t>-</w:t>
      </w:r>
      <w:r>
        <w:rPr>
          <w:rtl w:val="true"/>
        </w:rPr>
        <w:t>ידי עדות האם ועדותם של שני חבריו</w:t>
      </w:r>
      <w:r>
        <w:rPr>
          <w:rtl w:val="true"/>
        </w:rPr>
        <w:t xml:space="preserve">. </w:t>
      </w:r>
      <w:r>
        <w:rPr>
          <w:rtl w:val="true"/>
        </w:rPr>
        <w:t>כן השיג המערער על 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 האם הייתה נוהגת לצאת מהבית שלוש עד ארבע פעמים בשבוע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קביעה זו נסמכת בעיקרה על עדותה של המתלוננת </w:t>
      </w:r>
      <w:r>
        <w:rPr>
          <w:rtl w:val="true"/>
        </w:rPr>
        <w:t>(</w:t>
      </w:r>
      <w:r>
        <w:rPr>
          <w:rtl w:val="true"/>
        </w:rPr>
        <w:t>אשר אינה מהימנה</w:t>
      </w:r>
      <w:r>
        <w:rPr>
          <w:rtl w:val="true"/>
        </w:rPr>
        <w:t xml:space="preserve">); </w:t>
      </w:r>
      <w:r>
        <w:rPr>
          <w:rtl w:val="true"/>
        </w:rPr>
        <w:t xml:space="preserve">עדות בתו הקטנה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אשר שותפה למזימה שרקמה המתלוננת ודבריה הם תוצר של שאלות מכווינות</w:t>
      </w:r>
      <w:r>
        <w:rPr>
          <w:rtl w:val="true"/>
        </w:rPr>
        <w:t xml:space="preserve">; </w:t>
      </w:r>
      <w:r>
        <w:rPr>
          <w:rtl w:val="true"/>
        </w:rPr>
        <w:t>ועדות האם</w:t>
      </w:r>
      <w:r>
        <w:rPr>
          <w:rtl w:val="true"/>
        </w:rPr>
        <w:t xml:space="preserve">, </w:t>
      </w:r>
      <w:r>
        <w:rPr>
          <w:rtl w:val="true"/>
        </w:rPr>
        <w:t xml:space="preserve">שמסרה בעניין זה </w:t>
      </w:r>
      <w:r>
        <w:rPr>
          <w:rtl w:val="true"/>
        </w:rPr>
        <w:t>"</w:t>
      </w:r>
      <w:r>
        <w:rPr>
          <w:rtl w:val="true"/>
        </w:rPr>
        <w:t>בליל של גרסאות</w:t>
      </w:r>
      <w:r>
        <w:rPr>
          <w:rtl w:val="true"/>
        </w:rPr>
        <w:t xml:space="preserve">" </w:t>
      </w:r>
      <w:r>
        <w:rPr>
          <w:rtl w:val="true"/>
        </w:rPr>
        <w:t>ולא ניתן ללמוד מאמרותיה בחקירתה במשטרה</w:t>
      </w:r>
      <w:r>
        <w:rPr>
          <w:rtl w:val="true"/>
        </w:rPr>
        <w:t xml:space="preserve">, </w:t>
      </w:r>
      <w:r>
        <w:rPr>
          <w:rtl w:val="true"/>
        </w:rPr>
        <w:t>או בבית המשפט</w:t>
      </w:r>
      <w:r>
        <w:rPr>
          <w:rtl w:val="true"/>
        </w:rPr>
        <w:t xml:space="preserve">, </w:t>
      </w:r>
      <w:r>
        <w:rPr>
          <w:rtl w:val="true"/>
        </w:rPr>
        <w:t>על התדירות בה נהגה לצאת מהבית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מי שיכולה הייתה לשפוך אור על התדירות בה ביקרה האם את האחות הבכורה היא </w:t>
      </w:r>
      <w:r>
        <w:rPr>
          <w:rtl w:val="true"/>
        </w:rPr>
        <w:t>–</w:t>
      </w:r>
      <w:r>
        <w:rPr>
          <w:rtl w:val="true"/>
        </w:rPr>
        <w:t xml:space="preserve"> האחות הבכורה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זו לא זומנה לחקירה במשטרה או למתן עדות בבית המשפט</w:t>
      </w:r>
      <w:r>
        <w:rPr>
          <w:rtl w:val="true"/>
        </w:rPr>
        <w:t xml:space="preserve">. </w:t>
      </w:r>
      <w:r>
        <w:rPr>
          <w:rtl w:val="true"/>
        </w:rPr>
        <w:t>לסיכום חלק זה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גרסתו מהימנה</w:t>
      </w:r>
      <w:r>
        <w:rPr>
          <w:rtl w:val="true"/>
        </w:rPr>
        <w:t xml:space="preserve">,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עקבית ומפורטת</w:t>
      </w:r>
      <w:r>
        <w:rPr>
          <w:rtl w:val="true"/>
        </w:rPr>
        <w:t xml:space="preserve">; </w:t>
      </w:r>
      <w:r>
        <w:rPr>
          <w:rtl w:val="true"/>
        </w:rPr>
        <w:t>וכי בית המשפט החמיר באופן שבו הוא בחן אותה</w:t>
      </w:r>
      <w:r>
        <w:rPr>
          <w:rtl w:val="true"/>
        </w:rPr>
        <w:t xml:space="preserve">, </w:t>
      </w:r>
      <w:r>
        <w:rPr>
          <w:rtl w:val="true"/>
        </w:rPr>
        <w:t>בפרט נוכח האופן המקל בו הוא בחן את גרסתה של המתלוננת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שעה שהעדיף את חוות דעתה של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חוות דעתו של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כלל השיקולים עליהם עמד בית המשפט לצורך העדפת חוות דעתה של האחרונה</w:t>
      </w:r>
      <w:r>
        <w:rPr>
          <w:rtl w:val="true"/>
        </w:rPr>
        <w:t xml:space="preserve">, </w:t>
      </w:r>
      <w:r>
        <w:rPr>
          <w:rtl w:val="true"/>
        </w:rPr>
        <w:t>דווקא נוטים לכיוון העדפת חוות דעתו של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ניסיונו הרב בתחום הגניקולוגיה</w:t>
      </w:r>
      <w:r>
        <w:rPr>
          <w:rtl w:val="true"/>
        </w:rPr>
        <w:t xml:space="preserve">; </w:t>
      </w:r>
      <w:r>
        <w:rPr>
          <w:rtl w:val="true"/>
        </w:rPr>
        <w:t>האופן בו הוא ביסס את מסקנתו</w:t>
      </w:r>
      <w:r>
        <w:rPr>
          <w:rtl w:val="true"/>
        </w:rPr>
        <w:t xml:space="preserve">; </w:t>
      </w:r>
      <w:r>
        <w:rPr>
          <w:rtl w:val="true"/>
        </w:rPr>
        <w:t>והתאמת מסקנתו לספרות המקצועית בתחום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חוות דעתה של ד</w:t>
      </w:r>
      <w:r>
        <w:rPr>
          <w:rtl w:val="true"/>
        </w:rPr>
        <w:t>"</w:t>
      </w:r>
      <w:r>
        <w:rPr>
          <w:rtl w:val="true"/>
        </w:rPr>
        <w:t>ר מימון לא התבססה על תשתית עובדתית מספקת</w:t>
      </w:r>
      <w:r>
        <w:rPr>
          <w:rtl w:val="true"/>
        </w:rPr>
        <w:t xml:space="preserve">, </w:t>
      </w:r>
      <w:r>
        <w:rPr>
          <w:rtl w:val="true"/>
        </w:rPr>
        <w:t>וכי מסקנתה התבססה על מחקרים שנפלו בהם כשלים מתודולוגיים</w:t>
      </w:r>
      <w:r>
        <w:rPr>
          <w:rtl w:val="true"/>
        </w:rPr>
        <w:t xml:space="preserve">. </w:t>
      </w: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הספרות עליה התבססה ד</w:t>
      </w:r>
      <w:r>
        <w:rPr>
          <w:rtl w:val="true"/>
        </w:rPr>
        <w:t>"</w:t>
      </w:r>
      <w:r>
        <w:rPr>
          <w:rtl w:val="true"/>
        </w:rPr>
        <w:t>ר מימון דווקא מחזקת את מסקנתו של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העדת ד</w:t>
      </w:r>
      <w:r>
        <w:rPr>
          <w:rtl w:val="true"/>
        </w:rPr>
        <w:t>"</w:t>
      </w:r>
      <w:r>
        <w:rPr>
          <w:rtl w:val="true"/>
        </w:rPr>
        <w:t>ר מימון כעדת הזמה</w:t>
      </w:r>
      <w:r>
        <w:rPr>
          <w:rtl w:val="true"/>
        </w:rPr>
        <w:t xml:space="preserve">, </w:t>
      </w:r>
      <w:r>
        <w:rPr>
          <w:rtl w:val="true"/>
        </w:rPr>
        <w:t>פגעה בזכותו להעיד את עדיו לאחר פרשת התביעה</w:t>
      </w:r>
      <w:r>
        <w:rPr>
          <w:rtl w:val="true"/>
        </w:rPr>
        <w:t xml:space="preserve">; </w:t>
      </w:r>
      <w:r>
        <w:rPr>
          <w:rtl w:val="true"/>
        </w:rPr>
        <w:t>ומנעה את האפשרות שד</w:t>
      </w:r>
      <w:r>
        <w:rPr>
          <w:rtl w:val="true"/>
        </w:rPr>
        <w:t>"</w:t>
      </w:r>
      <w:r>
        <w:rPr>
          <w:rtl w:val="true"/>
        </w:rPr>
        <w:t>ר שיזף יגיב לדבריה של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>אשר לערעור על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tl w:val="true"/>
        </w:rPr>
        <w:t xml:space="preserve"> מתחם הענישה שנקבע בעניינו אינו תואם את מדיניות הענישה המקובלת במקרים דומים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נתן דעתו אך לנסיבות לחומרא בעניינו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בית המשפט מנה לחובתו את כפירתו באשמה ובחירתו לנהל הליך הוכחות</w:t>
      </w:r>
      <w:r>
        <w:rPr>
          <w:rtl w:val="true"/>
        </w:rPr>
        <w:t xml:space="preserve">. </w:t>
      </w:r>
      <w:r>
        <w:rPr>
          <w:rtl w:val="true"/>
        </w:rPr>
        <w:t>בנוסף נטען</w:t>
      </w:r>
      <w:r>
        <w:rPr>
          <w:rtl w:val="true"/>
        </w:rPr>
        <w:t xml:space="preserve">, </w:t>
      </w:r>
      <w:r>
        <w:rPr>
          <w:rtl w:val="true"/>
        </w:rPr>
        <w:t>כי קיימים בעניינו שיקולים לקולא</w:t>
      </w:r>
      <w:r>
        <w:rPr>
          <w:rtl w:val="true"/>
        </w:rPr>
        <w:t xml:space="preserve">, </w:t>
      </w:r>
      <w:r>
        <w:rPr>
          <w:rtl w:val="true"/>
        </w:rPr>
        <w:t>אשר לא קיבלו ביטוי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ובהם מצבו הרפואי והנפשי</w:t>
      </w:r>
      <w:r>
        <w:rPr>
          <w:rtl w:val="true"/>
        </w:rPr>
        <w:t xml:space="preserve">, </w:t>
      </w:r>
      <w:r>
        <w:rPr>
          <w:rtl w:val="true"/>
        </w:rPr>
        <w:t>והנזק שצפוי להיגרם למשפחתו עקב מאסרו</w:t>
      </w:r>
      <w:r>
        <w:rPr>
          <w:rtl w:val="true"/>
        </w:rPr>
        <w:t xml:space="preserve">. </w:t>
      </w:r>
      <w:r>
        <w:rPr>
          <w:rtl w:val="true"/>
        </w:rPr>
        <w:t>לצורך ביסוס טענותיו</w:t>
      </w:r>
      <w:r>
        <w:rPr>
          <w:rtl w:val="true"/>
        </w:rPr>
        <w:t xml:space="preserve">, </w:t>
      </w:r>
      <w:r>
        <w:rPr>
          <w:rtl w:val="true"/>
        </w:rPr>
        <w:t>הפנה המערער למקרים הדומים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לעניינו</w:t>
      </w:r>
      <w:r>
        <w:rPr>
          <w:rtl w:val="true"/>
        </w:rPr>
        <w:t xml:space="preserve">, </w:t>
      </w:r>
      <w:r>
        <w:rPr>
          <w:rtl w:val="true"/>
        </w:rPr>
        <w:t>בהם נקבעו עונשים מקלים יותר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עתר המערער לקבוע מתחם ענישה מקל יותר בעניינו</w:t>
      </w:r>
      <w:r>
        <w:rPr>
          <w:rtl w:val="true"/>
        </w:rPr>
        <w:t xml:space="preserve">, </w:t>
      </w:r>
      <w:r>
        <w:rPr>
          <w:rtl w:val="true"/>
        </w:rPr>
        <w:t>ולמקם את עונשו ברף הנמוך של מתחם ענישה זה</w:t>
      </w:r>
      <w:r>
        <w:rPr>
          <w:rtl w:val="true"/>
        </w:rPr>
        <w:t xml:space="preserve">, </w:t>
      </w:r>
      <w:r>
        <w:rPr>
          <w:rtl w:val="true"/>
        </w:rPr>
        <w:t>תוך התחשבות בשיקולים לקולא שפורטו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מקרה זה אינו נמנה עם אותם מקרים חריגים ונדירים</w:t>
      </w:r>
      <w:r>
        <w:rPr>
          <w:rtl w:val="true"/>
        </w:rPr>
        <w:t xml:space="preserve">, </w:t>
      </w:r>
      <w:r>
        <w:rPr>
          <w:rtl w:val="true"/>
        </w:rPr>
        <w:t>בהם על ערכאת הערעור להתערב בממצאי מהימנות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שעה שמדובר בעבירות מין במשפחה שבוצעו בקטינה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הכרעת הדין מפורטת ומנומקת</w:t>
      </w:r>
      <w:r>
        <w:rPr>
          <w:rtl w:val="true"/>
        </w:rPr>
        <w:t xml:space="preserve">, </w:t>
      </w:r>
      <w:r>
        <w:rPr>
          <w:rtl w:val="true"/>
        </w:rPr>
        <w:t>ונותנת מענה לכלל הטענות שהעלה המערער בהליך שהתנהל בבית המשפט המחוזי</w:t>
      </w:r>
      <w:r>
        <w:rPr>
          <w:rtl w:val="true"/>
        </w:rPr>
        <w:t xml:space="preserve">. </w:t>
      </w:r>
      <w:r>
        <w:rPr>
          <w:rtl w:val="true"/>
        </w:rPr>
        <w:t>בית המשפט מצא חיזוקים פנימיים לגרסת המתלוננת</w:t>
      </w:r>
      <w:r>
        <w:rPr>
          <w:rtl w:val="true"/>
        </w:rPr>
        <w:t xml:space="preserve">, </w:t>
      </w:r>
      <w:r>
        <w:rPr>
          <w:rtl w:val="true"/>
        </w:rPr>
        <w:t>ומנגד לא התרשם כי קיימות סתירות של ממש בין אמירותיה בחקירתה במשטרה</w:t>
      </w:r>
      <w:r>
        <w:rPr>
          <w:rtl w:val="true"/>
        </w:rPr>
        <w:t xml:space="preserve">, </w:t>
      </w:r>
      <w:r>
        <w:rPr>
          <w:rtl w:val="true"/>
        </w:rPr>
        <w:t>ובין אמירותיה בעדותה בבית המשפט</w:t>
      </w:r>
      <w:r>
        <w:rPr>
          <w:rtl w:val="true"/>
        </w:rPr>
        <w:t xml:space="preserve">. </w:t>
      </w:r>
      <w:r>
        <w:rPr>
          <w:rtl w:val="true"/>
        </w:rPr>
        <w:t>עוד טענה המשיבה</w:t>
      </w:r>
      <w:r>
        <w:rPr>
          <w:rtl w:val="true"/>
        </w:rPr>
        <w:t xml:space="preserve">, </w:t>
      </w:r>
      <w:r>
        <w:rPr>
          <w:rtl w:val="true"/>
        </w:rPr>
        <w:t>כי השגותיו של המערער בדבר קביעת ממצאי מהימנות</w:t>
      </w:r>
      <w:r>
        <w:rPr>
          <w:rtl w:val="true"/>
        </w:rPr>
        <w:t xml:space="preserve">, </w:t>
      </w:r>
      <w:r>
        <w:rPr>
          <w:rtl w:val="true"/>
        </w:rPr>
        <w:t>בהתבסס על התנהגותה של המתלוננת</w:t>
      </w:r>
      <w:r>
        <w:rPr>
          <w:rtl w:val="true"/>
        </w:rPr>
        <w:t xml:space="preserve">, </w:t>
      </w:r>
      <w:r>
        <w:rPr>
          <w:rtl w:val="true"/>
        </w:rPr>
        <w:t>עומדים בניגוד למושכלות יסוד בדין הפלילי</w:t>
      </w:r>
      <w:r>
        <w:rPr>
          <w:rtl w:val="true"/>
        </w:rPr>
        <w:t xml:space="preserve">, </w:t>
      </w:r>
      <w:r>
        <w:rPr>
          <w:rtl w:val="true"/>
        </w:rPr>
        <w:t xml:space="preserve">לפסיקה ולשון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לפקודה שעניינו הערכת משקלה של עדות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לטענת המערער</w:t>
      </w:r>
      <w:r>
        <w:rPr>
          <w:rtl w:val="true"/>
        </w:rPr>
        <w:t xml:space="preserve">, </w:t>
      </w:r>
      <w:r>
        <w:rPr>
          <w:rtl w:val="true"/>
        </w:rPr>
        <w:t>לפיה עדותה של המתלוננת אינה רציפה</w:t>
      </w:r>
      <w:r>
        <w:rPr>
          <w:rtl w:val="true"/>
        </w:rPr>
        <w:t xml:space="preserve">, </w:t>
      </w:r>
      <w:r>
        <w:rPr>
          <w:rtl w:val="true"/>
        </w:rPr>
        <w:t>נעדרת שטף של סיפור והיא אפוא תוצר של שאלות מכווינות</w:t>
      </w:r>
      <w:r>
        <w:rPr>
          <w:rtl w:val="true"/>
        </w:rPr>
        <w:t xml:space="preserve">, </w:t>
      </w:r>
      <w:r>
        <w:rPr>
          <w:rtl w:val="true"/>
        </w:rPr>
        <w:t>טענה המשיבה</w:t>
      </w:r>
      <w:r>
        <w:rPr>
          <w:rtl w:val="true"/>
        </w:rPr>
        <w:t xml:space="preserve">, </w:t>
      </w:r>
      <w:r>
        <w:rPr>
          <w:rtl w:val="true"/>
        </w:rPr>
        <w:t>כי הדבר קרה פעם אחת בלבד ובאישור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המשיבה הזכירה את הקשיים הכרוכים בלהעיד את המתלוננת </w:t>
      </w:r>
      <w:r>
        <w:rPr>
          <w:rtl w:val="true"/>
        </w:rPr>
        <w:t>–</w:t>
      </w:r>
      <w:r>
        <w:rPr>
          <w:rtl w:val="true"/>
        </w:rPr>
        <w:t xml:space="preserve"> נוכח גילה</w:t>
      </w:r>
      <w:r>
        <w:rPr>
          <w:rtl w:val="true"/>
        </w:rPr>
        <w:t xml:space="preserve">, </w:t>
      </w:r>
      <w:r>
        <w:rPr>
          <w:rtl w:val="true"/>
        </w:rPr>
        <w:t>המגזר אליו היא משתייכת</w:t>
      </w:r>
      <w:r>
        <w:rPr>
          <w:rtl w:val="true"/>
        </w:rPr>
        <w:t xml:space="preserve">, </w:t>
      </w:r>
      <w:r>
        <w:rPr>
          <w:rtl w:val="true"/>
        </w:rPr>
        <w:t>והעובדה כי היא נדרשה לפרט על אודות אירועים קשים בפני אנשים זרים</w:t>
      </w:r>
      <w:r>
        <w:rPr>
          <w:rtl w:val="true"/>
        </w:rPr>
        <w:t xml:space="preserve">. </w:t>
      </w:r>
      <w:r>
        <w:rPr>
          <w:rtl w:val="true"/>
        </w:rPr>
        <w:t>בתוך כך טענה המשיבה</w:t>
      </w:r>
      <w:r>
        <w:rPr>
          <w:rtl w:val="true"/>
        </w:rPr>
        <w:t xml:space="preserve">, </w:t>
      </w:r>
      <w:r>
        <w:rPr>
          <w:rtl w:val="true"/>
        </w:rPr>
        <w:t>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לא הייתה מוטלת על בית המשפט חובת הנמקה מוגברת לצורך הרשעתו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הואיל ובית המשפט מצא את המתלוננת מהימנה</w:t>
      </w:r>
      <w:r>
        <w:rPr>
          <w:rtl w:val="true"/>
        </w:rPr>
        <w:t xml:space="preserve">, </w:t>
      </w:r>
      <w:r>
        <w:rPr>
          <w:rtl w:val="true"/>
        </w:rPr>
        <w:t>ומצא ראיות לחיזוק ולסיוע גרסתה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עוד טענה המשיבה</w:t>
      </w:r>
      <w:r>
        <w:rPr>
          <w:rtl w:val="true"/>
        </w:rPr>
        <w:t xml:space="preserve">, </w:t>
      </w:r>
      <w:r>
        <w:rPr>
          <w:rtl w:val="true"/>
        </w:rPr>
        <w:t>כי לא ניתן לחייב קורבן לעבירות מין לתת הסבר מלא לכל פרט בהשתלשלות האירועים מושא הפרשה</w:t>
      </w:r>
      <w:r>
        <w:rPr>
          <w:rtl w:val="true"/>
        </w:rPr>
        <w:t xml:space="preserve">, </w:t>
      </w:r>
      <w:r>
        <w:rPr>
          <w:rtl w:val="true"/>
        </w:rPr>
        <w:t>אלא יש לבחון את ליבת הגרסה שניתנה</w:t>
      </w:r>
      <w:r>
        <w:rPr>
          <w:rtl w:val="true"/>
        </w:rPr>
        <w:t xml:space="preserve">. </w:t>
      </w:r>
      <w:r>
        <w:rPr>
          <w:rtl w:val="true"/>
        </w:rPr>
        <w:t>וביחס לכך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בענייננו</w:t>
      </w:r>
      <w:r>
        <w:rPr>
          <w:rtl w:val="true"/>
        </w:rPr>
        <w:t xml:space="preserve">, </w:t>
      </w:r>
      <w:r>
        <w:rPr>
          <w:rtl w:val="true"/>
        </w:rPr>
        <w:t>כי לא קיימות סתירות מהותיות בגרסתה</w:t>
      </w:r>
      <w:r>
        <w:rPr>
          <w:rtl w:val="true"/>
        </w:rPr>
        <w:t xml:space="preserve">; </w:t>
      </w:r>
      <w:r>
        <w:rPr>
          <w:rtl w:val="true"/>
        </w:rPr>
        <w:t>וכי העובדה שעדותה דלה בפרטים נובעת מהקושי לתאר כל מעשה שביצע בה המערער בפירוט ובאופן מובחן מיתר המעשים</w:t>
      </w:r>
      <w:r>
        <w:rPr>
          <w:rtl w:val="true"/>
        </w:rPr>
        <w:t xml:space="preserve">, </w:t>
      </w:r>
      <w:r>
        <w:rPr>
          <w:rtl w:val="true"/>
        </w:rPr>
        <w:t>מקום בו אלו הפכו לשגרת חייה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לא זו אף זו נטען</w:t>
      </w:r>
      <w:r>
        <w:rPr>
          <w:rtl w:val="true"/>
        </w:rPr>
        <w:t xml:space="preserve">, </w:t>
      </w:r>
      <w:r>
        <w:rPr>
          <w:rtl w:val="true"/>
        </w:rPr>
        <w:t>כי די באמון שנתן בית המשפט המחוזי בגרסתה של המתלוננת לצורך הרשעת המערער בעבירות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אולם ממילא קיימות ראיות לחיזוק ולסיוע גרסתה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ההימנעות מלחקור ולהעיד את האחות הבכורה נבעה משיקולים הנוגעים לביטחונה האישי</w:t>
      </w:r>
      <w:r>
        <w:rPr>
          <w:rtl w:val="true"/>
        </w:rPr>
        <w:t xml:space="preserve">, </w:t>
      </w:r>
      <w:r>
        <w:rPr>
          <w:rtl w:val="true"/>
        </w:rPr>
        <w:t>וכי לו חפץ המערער בלהעיד אותה רשאי היה לזמנה כעדה מטעמו</w:t>
      </w:r>
      <w:r>
        <w:rPr>
          <w:rtl w:val="true"/>
        </w:rPr>
        <w:t xml:space="preserve">. </w:t>
      </w:r>
      <w:r>
        <w:rPr>
          <w:rtl w:val="true"/>
        </w:rPr>
        <w:t>בלאו הכי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גרסתה של המתלוננת ביחס לתדירות בה נהגה האם לצאת מהבית</w:t>
      </w:r>
      <w:r>
        <w:rPr>
          <w:rtl w:val="true"/>
        </w:rPr>
        <w:t xml:space="preserve">, </w:t>
      </w:r>
      <w:r>
        <w:rPr>
          <w:rtl w:val="true"/>
        </w:rPr>
        <w:t>נתמכת בעדותה שלה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גרסתו של המערער </w:t>
      </w:r>
      <w:r>
        <w:rPr>
          <w:rtl w:val="true"/>
        </w:rPr>
        <w:t>"</w:t>
      </w:r>
      <w:r>
        <w:rPr>
          <w:rtl w:val="true"/>
        </w:rPr>
        <w:t>עוררה קשיים</w:t>
      </w:r>
      <w:r>
        <w:rPr>
          <w:rtl w:val="true"/>
        </w:rPr>
        <w:t xml:space="preserve">, </w:t>
      </w:r>
      <w:r>
        <w:rPr>
          <w:rtl w:val="true"/>
        </w:rPr>
        <w:t>פרכות וכללה סתירות במספר רב של נקודות משמעותיות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בכל הנוגע לטענתו כי לא היו לו הזדמנויות לבצע את עבירות המין בהן הורשע</w:t>
      </w:r>
      <w:r>
        <w:rPr>
          <w:rtl w:val="true"/>
        </w:rPr>
        <w:t xml:space="preserve">; </w:t>
      </w:r>
      <w:r>
        <w:rPr>
          <w:rtl w:val="true"/>
        </w:rPr>
        <w:t>ובנוגע למצבו הרפואי</w:t>
      </w:r>
      <w:r>
        <w:rPr>
          <w:rtl w:val="true"/>
        </w:rPr>
        <w:t xml:space="preserve">, </w:t>
      </w:r>
      <w:r>
        <w:rPr>
          <w:rtl w:val="true"/>
        </w:rPr>
        <w:t>אשר אין להן זכר בחקירתו במשטרה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מדובר בגרסה כבושה ומלאה בסתירות</w:t>
      </w:r>
      <w:r>
        <w:rPr>
          <w:rtl w:val="true"/>
        </w:rPr>
        <w:t xml:space="preserve">, </w:t>
      </w:r>
      <w:r>
        <w:rPr>
          <w:rtl w:val="true"/>
        </w:rPr>
        <w:t>והעדים שהעידו מטעם המערער החלישו את הגרסה אף יותר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די היה בחלון הזמנים אותו תיאר המערער</w:t>
      </w:r>
      <w:r>
        <w:rPr>
          <w:rtl w:val="true"/>
        </w:rPr>
        <w:t xml:space="preserve">, </w:t>
      </w:r>
      <w:r>
        <w:rPr>
          <w:rtl w:val="true"/>
        </w:rPr>
        <w:t>בו היה נוהג לשוב לבית כדי לנוח</w:t>
      </w:r>
      <w:r>
        <w:rPr>
          <w:rtl w:val="true"/>
        </w:rPr>
        <w:t xml:space="preserve">, </w:t>
      </w:r>
      <w:r>
        <w:rPr>
          <w:rtl w:val="true"/>
        </w:rPr>
        <w:t>לצורך ביצוע המעשים בהם הוא הורשע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לעדויות המומחים</w:t>
      </w:r>
      <w:r>
        <w:rPr>
          <w:rtl w:val="true"/>
        </w:rPr>
        <w:t xml:space="preserve">, </w:t>
      </w:r>
      <w:r>
        <w:rPr>
          <w:rtl w:val="true"/>
        </w:rPr>
        <w:t>המשיבה סומכת ידה על נימוקיו וקביעותיו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בנוגע להעדפת עדותה של ד</w:t>
      </w:r>
      <w:r>
        <w:rPr>
          <w:rtl w:val="true"/>
        </w:rPr>
        <w:t>"</w:t>
      </w:r>
      <w:r>
        <w:rPr>
          <w:rtl w:val="true"/>
        </w:rPr>
        <w:t>ר מימון על</w:t>
      </w:r>
      <w:r>
        <w:rPr>
          <w:rtl w:val="true"/>
        </w:rPr>
        <w:t>-</w:t>
      </w:r>
      <w:r>
        <w:rPr>
          <w:rtl w:val="true"/>
        </w:rPr>
        <w:t>פני עדותו של ד</w:t>
      </w:r>
      <w:r>
        <w:rPr>
          <w:rtl w:val="true"/>
        </w:rPr>
        <w:t>"</w:t>
      </w:r>
      <w:r>
        <w:rPr>
          <w:rtl w:val="true"/>
        </w:rPr>
        <w:t>ר שיזף</w:t>
      </w:r>
      <w:r>
        <w:rPr>
          <w:rtl w:val="true"/>
        </w:rPr>
        <w:t xml:space="preserve">; </w:t>
      </w:r>
      <w:r>
        <w:rPr>
          <w:rtl w:val="true"/>
        </w:rPr>
        <w:t>תוך שהיא טוענת כי הקביעה</w:t>
      </w:r>
      <w:r>
        <w:rPr>
          <w:rtl w:val="true"/>
        </w:rPr>
        <w:t xml:space="preserve">, </w:t>
      </w:r>
      <w:r>
        <w:rPr>
          <w:rtl w:val="true"/>
        </w:rPr>
        <w:t>לפיה אין בהיעדר ממצאים חבלתיים על קרום הבתולין כדי להעיד על היעדר חדירה</w:t>
      </w:r>
      <w:r>
        <w:rPr>
          <w:rtl w:val="true"/>
        </w:rPr>
        <w:t xml:space="preserve">, </w:t>
      </w:r>
      <w:r>
        <w:rPr>
          <w:rtl w:val="true"/>
        </w:rPr>
        <w:t>תואמת את הפסיקה בנושא זה</w:t>
      </w:r>
      <w:r>
        <w:rPr>
          <w:rtl w:val="true"/>
        </w:rPr>
        <w:t xml:space="preserve">. </w:t>
      </w:r>
      <w:r>
        <w:rPr>
          <w:rtl w:val="true"/>
        </w:rPr>
        <w:t>כן מציינת המשיבה</w:t>
      </w:r>
      <w:r>
        <w:rPr>
          <w:rtl w:val="true"/>
        </w:rPr>
        <w:t xml:space="preserve">, </w:t>
      </w:r>
      <w:r>
        <w:rPr>
          <w:rtl w:val="true"/>
        </w:rPr>
        <w:t>כי לפני שד</w:t>
      </w:r>
      <w:r>
        <w:rPr>
          <w:rtl w:val="true"/>
        </w:rPr>
        <w:t>"</w:t>
      </w:r>
      <w:r>
        <w:rPr>
          <w:rtl w:val="true"/>
        </w:rPr>
        <w:t>ר שיזף העיד</w:t>
      </w:r>
      <w:r>
        <w:rPr>
          <w:rtl w:val="true"/>
        </w:rPr>
        <w:t xml:space="preserve">, </w:t>
      </w:r>
      <w:r>
        <w:rPr>
          <w:rtl w:val="true"/>
        </w:rPr>
        <w:t>הועברה לידי המערער חוות דעתה של ד</w:t>
      </w:r>
      <w:r>
        <w:rPr>
          <w:rtl w:val="true"/>
        </w:rPr>
        <w:t>"</w:t>
      </w:r>
      <w:r>
        <w:rPr>
          <w:rtl w:val="true"/>
        </w:rPr>
        <w:t>ר מימון</w:t>
      </w:r>
      <w:r>
        <w:rPr>
          <w:rtl w:val="true"/>
        </w:rPr>
        <w:t xml:space="preserve">; </w:t>
      </w:r>
      <w:r>
        <w:rPr>
          <w:rtl w:val="true"/>
        </w:rPr>
        <w:t>וכי ד</w:t>
      </w:r>
      <w:r>
        <w:rPr>
          <w:rtl w:val="true"/>
        </w:rPr>
        <w:t>"</w:t>
      </w:r>
      <w:r>
        <w:rPr>
          <w:rtl w:val="true"/>
        </w:rPr>
        <w:t>ר מימון העידה כעדת הזמה לאחר שהמערער ציין שאינו מתנגד לכך</w:t>
      </w:r>
      <w:r>
        <w:rPr>
          <w:rtl w:val="true"/>
        </w:rPr>
        <w:t xml:space="preserve">. </w:t>
      </w:r>
      <w:r>
        <w:rPr>
          <w:rtl w:val="true"/>
        </w:rPr>
        <w:t>נוכח זאת</w:t>
      </w:r>
      <w:r>
        <w:rPr>
          <w:rtl w:val="true"/>
        </w:rPr>
        <w:t xml:space="preserve">, </w:t>
      </w:r>
      <w:r>
        <w:rPr>
          <w:rtl w:val="true"/>
        </w:rPr>
        <w:t>אין מקום לקבל את טענתו</w:t>
      </w:r>
      <w:r>
        <w:rPr>
          <w:rtl w:val="true"/>
        </w:rPr>
        <w:t xml:space="preserve">, </w:t>
      </w:r>
      <w:r>
        <w:rPr>
          <w:rtl w:val="true"/>
        </w:rPr>
        <w:t>לפיה נפגעה לו זכות בהקשר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המשיבה טענה כי מתחם הענישה שנקבע תואם את נסיבות המקרה הנוכחי</w:t>
      </w:r>
      <w:r>
        <w:rPr>
          <w:rtl w:val="true"/>
        </w:rPr>
        <w:t xml:space="preserve">, </w:t>
      </w:r>
      <w:r>
        <w:rPr>
          <w:rtl w:val="true"/>
        </w:rPr>
        <w:t>ואינו חורג מרמת הענישה הנוהגת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בתוך גדרי המתחם</w:t>
      </w:r>
      <w:r>
        <w:rPr>
          <w:rtl w:val="true"/>
        </w:rPr>
        <w:t xml:space="preserve">, </w:t>
      </w:r>
      <w:r>
        <w:rPr>
          <w:rtl w:val="true"/>
        </w:rPr>
        <w:t>הוא עונש ראוי</w:t>
      </w:r>
      <w:r>
        <w:rPr>
          <w:rtl w:val="true"/>
        </w:rPr>
        <w:t xml:space="preserve">, </w:t>
      </w:r>
      <w:r>
        <w:rPr>
          <w:rtl w:val="true"/>
        </w:rPr>
        <w:t>שנותן משקל הולם לחומרת מעשיו</w:t>
      </w:r>
      <w:r>
        <w:rPr>
          <w:rtl w:val="true"/>
        </w:rPr>
        <w:t xml:space="preserve">, </w:t>
      </w:r>
      <w:r>
        <w:rPr>
          <w:rtl w:val="true"/>
        </w:rPr>
        <w:t>לנסיבות בהן בוצעו המעשים</w:t>
      </w:r>
      <w:r>
        <w:rPr>
          <w:rtl w:val="true"/>
        </w:rPr>
        <w:t xml:space="preserve">, </w:t>
      </w:r>
      <w:r>
        <w:rPr>
          <w:rtl w:val="true"/>
        </w:rPr>
        <w:t>לנזק שנגרם למתלוננת</w:t>
      </w:r>
      <w:r>
        <w:rPr>
          <w:rtl w:val="true"/>
        </w:rPr>
        <w:t xml:space="preserve">, </w:t>
      </w:r>
      <w:r>
        <w:rPr>
          <w:rtl w:val="true"/>
        </w:rPr>
        <w:t>לשיקולי הענישה השונים ולשיקולים לקולא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בדיון שנערך לפנינו ביום </w:t>
      </w:r>
      <w:r>
        <w:rPr/>
        <w:t>20.10.2022</w:t>
      </w:r>
      <w:r>
        <w:rPr>
          <w:rtl w:val="true"/>
        </w:rPr>
        <w:t xml:space="preserve">, </w:t>
      </w:r>
      <w:r>
        <w:rPr>
          <w:rtl w:val="true"/>
        </w:rPr>
        <w:t>חזרו באי</w:t>
      </w:r>
      <w:r>
        <w:rPr>
          <w:rtl w:val="true"/>
        </w:rPr>
        <w:t>-</w:t>
      </w:r>
      <w:r>
        <w:rPr>
          <w:rtl w:val="true"/>
        </w:rPr>
        <w:t>כוח הצדדים על עיקרי טיעוניהם שבכתב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שב וטען</w:t>
      </w:r>
      <w:r>
        <w:rPr>
          <w:rtl w:val="true"/>
        </w:rPr>
        <w:t xml:space="preserve">, </w:t>
      </w:r>
      <w:r>
        <w:rPr>
          <w:rtl w:val="true"/>
        </w:rPr>
        <w:t>כי לא היה מקום להרשיע את המערער על סמך עדותה היחידה של המתלוננת</w:t>
      </w:r>
      <w:r>
        <w:rPr>
          <w:rtl w:val="true"/>
        </w:rPr>
        <w:t xml:space="preserve">, </w:t>
      </w:r>
      <w:r>
        <w:rPr>
          <w:rtl w:val="true"/>
        </w:rPr>
        <w:t>משלא נמצאו לה ראיות מאששות</w:t>
      </w:r>
      <w:r>
        <w:rPr>
          <w:rtl w:val="true"/>
        </w:rPr>
        <w:t xml:space="preserve">; </w:t>
      </w:r>
      <w:r>
        <w:rPr>
          <w:rtl w:val="true"/>
        </w:rPr>
        <w:t>משהתלונה הוגשה בשיהוי</w:t>
      </w:r>
      <w:r>
        <w:rPr>
          <w:rtl w:val="true"/>
        </w:rPr>
        <w:t xml:space="preserve">; </w:t>
      </w:r>
      <w:r>
        <w:rPr>
          <w:rtl w:val="true"/>
        </w:rPr>
        <w:t>היות שאיש לא חשד בדבר בתקופה הרלבנטית לכתב האישום</w:t>
      </w:r>
      <w:r>
        <w:rPr>
          <w:rtl w:val="true"/>
        </w:rPr>
        <w:t xml:space="preserve">; </w:t>
      </w:r>
      <w:r>
        <w:rPr>
          <w:rtl w:val="true"/>
        </w:rPr>
        <w:t>ונוכח העובדה שגרסתה דלה ומלאה בסתירות</w:t>
      </w:r>
      <w:r>
        <w:rPr>
          <w:rtl w:val="true"/>
        </w:rPr>
        <w:t xml:space="preserve">. </w:t>
      </w:r>
      <w:r>
        <w:rPr>
          <w:rtl w:val="true"/>
        </w:rPr>
        <w:t>כן השיג בא</w:t>
      </w:r>
      <w:r>
        <w:rPr>
          <w:rtl w:val="true"/>
        </w:rPr>
        <w:t>-</w:t>
      </w:r>
      <w:r>
        <w:rPr>
          <w:rtl w:val="true"/>
        </w:rPr>
        <w:t>כוח המערער על החיזוקים שמצא בית המשפט לגרסתה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כאשר לעמדתו חיזוקים אלה הם </w:t>
      </w:r>
      <w:r>
        <w:rPr>
          <w:rtl w:val="true"/>
        </w:rPr>
        <w:t>"</w:t>
      </w:r>
      <w:r>
        <w:rPr>
          <w:rtl w:val="true"/>
        </w:rPr>
        <w:t>חלשים שבחלשים בפריפריה של הפריפריה</w:t>
      </w:r>
      <w:r>
        <w:rPr>
          <w:rtl w:val="true"/>
        </w:rPr>
        <w:t xml:space="preserve">". </w:t>
      </w:r>
      <w:r>
        <w:rPr>
          <w:rtl w:val="true"/>
        </w:rPr>
        <w:t>עוד חזר בא</w:t>
      </w:r>
      <w:r>
        <w:rPr>
          <w:rtl w:val="true"/>
        </w:rPr>
        <w:t>-</w:t>
      </w:r>
      <w:r>
        <w:rPr>
          <w:rtl w:val="true"/>
        </w:rPr>
        <w:t>כוח המערער על המניעים הנטענים של המתלוננת להפליל את אביה</w:t>
      </w:r>
      <w:r>
        <w:rPr>
          <w:rtl w:val="true"/>
        </w:rPr>
        <w:t xml:space="preserve">, </w:t>
      </w:r>
      <w:r>
        <w:rPr>
          <w:rtl w:val="true"/>
        </w:rPr>
        <w:t>וכן על היעדר הסבירות שאכן ביצע בה את המעשים המיניים</w:t>
      </w:r>
      <w:r>
        <w:rPr>
          <w:rtl w:val="true"/>
        </w:rPr>
        <w:t xml:space="preserve">, </w:t>
      </w:r>
      <w:r>
        <w:rPr>
          <w:rtl w:val="true"/>
        </w:rPr>
        <w:t>נוכח היעדרם של ממצאים חבלתיים בקרום הבתולין שלה</w:t>
      </w:r>
      <w:r>
        <w:rPr>
          <w:rtl w:val="true"/>
        </w:rPr>
        <w:t xml:space="preserve">. </w:t>
      </w:r>
      <w:r>
        <w:rPr>
          <w:rtl w:val="true"/>
        </w:rPr>
        <w:t>לבסוף חזר בא</w:t>
      </w:r>
      <w:r>
        <w:rPr>
          <w:rtl w:val="true"/>
        </w:rPr>
        <w:t>-</w:t>
      </w:r>
      <w:r>
        <w:rPr>
          <w:rtl w:val="true"/>
        </w:rPr>
        <w:t>כוח המערער על האמור בכתב בכל הנוגע לערעור על 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כי המתלוננת נעדרת כל מניע להפליל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ולהפך </w:t>
      </w:r>
      <w:r>
        <w:rPr>
          <w:rtl w:val="true"/>
        </w:rPr>
        <w:t>–</w:t>
      </w:r>
      <w:r>
        <w:rPr>
          <w:rtl w:val="true"/>
        </w:rPr>
        <w:t xml:space="preserve"> המתלוננת נשאה ונושאת במחיר כבד עקב הגשת תלונתה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אין זו הפעם הראשונה בה נפגעת עבירות מין במשפחה אינה מצליחה לפרט בצורה מדויקת</w:t>
      </w:r>
      <w:r>
        <w:rPr>
          <w:rtl w:val="true"/>
        </w:rPr>
        <w:t xml:space="preserve">, </w:t>
      </w:r>
      <w:r>
        <w:rPr>
          <w:rtl w:val="true"/>
        </w:rPr>
        <w:t>על אודות האירועים הטראומטיים שחוותה</w:t>
      </w:r>
      <w:r>
        <w:rPr>
          <w:rtl w:val="true"/>
        </w:rPr>
        <w:t xml:space="preserve">; </w:t>
      </w:r>
      <w:r>
        <w:rPr>
          <w:rtl w:val="true"/>
        </w:rPr>
        <w:t>בפרט כאשר אירועים אלה דומים במהותם והפכו לחלק משגרת יומה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עמדה באת</w:t>
      </w:r>
      <w:r>
        <w:rPr>
          <w:rtl w:val="true"/>
        </w:rPr>
        <w:t>-</w:t>
      </w:r>
      <w:r>
        <w:rPr>
          <w:rtl w:val="true"/>
        </w:rPr>
        <w:t>כוח המשיבה על החיזוקים שנמצאו לגרסת המתלוננת</w:t>
      </w:r>
      <w:r>
        <w:rPr>
          <w:rtl w:val="true"/>
        </w:rPr>
        <w:t xml:space="preserve">; </w:t>
      </w:r>
      <w:r>
        <w:rPr>
          <w:rtl w:val="true"/>
        </w:rPr>
        <w:t>ועל כך שאין בהיעדר ממצאים חבלתיים בקרום הבתולין של המתלוננת כדי להפריך את גרסתה</w:t>
      </w:r>
      <w:r>
        <w:rPr>
          <w:rtl w:val="true"/>
        </w:rPr>
        <w:t xml:space="preserve">. </w:t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העונש שהושת על המערער תואם את 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>וכי אף הפסיקה אליה הפנה בא</w:t>
      </w:r>
      <w:r>
        <w:rPr>
          <w:rtl w:val="true"/>
        </w:rPr>
        <w:t>-</w:t>
      </w:r>
      <w:r>
        <w:rPr>
          <w:rtl w:val="true"/>
        </w:rPr>
        <w:t>כוח המערער אינה מבססת את טענותיו</w:t>
      </w:r>
      <w:r>
        <w:rPr>
          <w:rtl w:val="true"/>
        </w:rPr>
        <w:t xml:space="preserve">, </w:t>
      </w:r>
      <w:r>
        <w:rPr>
          <w:rtl w:val="true"/>
        </w:rPr>
        <w:t>ביחס לגזר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לאחר ששמענו את טיעוני הצדדים</w:t>
      </w:r>
      <w:r>
        <w:rPr>
          <w:rtl w:val="true"/>
        </w:rPr>
        <w:t xml:space="preserve">, </w:t>
      </w:r>
      <w:r>
        <w:rPr>
          <w:rtl w:val="true"/>
        </w:rPr>
        <w:t>הודענו בפניהם</w:t>
      </w:r>
      <w:r>
        <w:rPr>
          <w:rtl w:val="true"/>
        </w:rPr>
        <w:t xml:space="preserve">, </w:t>
      </w:r>
      <w:r>
        <w:rPr>
          <w:rtl w:val="true"/>
        </w:rPr>
        <w:t>כי איננו מוצאים מקום להתערבות בהכרעת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נוכח זאת</w:t>
      </w:r>
      <w:r>
        <w:rPr>
          <w:rtl w:val="true"/>
        </w:rPr>
        <w:t xml:space="preserve">, </w:t>
      </w:r>
      <w:r>
        <w:rPr>
          <w:rtl w:val="true"/>
        </w:rPr>
        <w:t>המלצנו למערער לחזור בו מערעורו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תוך שציינו את החשיבות הרבה בלקיחת אחריות מצד הפוגעים בעבירות מין והמשמעות של כך עבור הנפגעות </w:t>
      </w:r>
      <w:r>
        <w:rPr>
          <w:rtl w:val="true"/>
        </w:rPr>
        <w:t>–</w:t>
      </w:r>
      <w:r>
        <w:rPr>
          <w:rtl w:val="true"/>
        </w:rPr>
        <w:t xml:space="preserve"> בפרט כאשר מדובר בעבירות מין שמבוצעות על</w:t>
      </w:r>
      <w:r>
        <w:rPr>
          <w:rtl w:val="true"/>
        </w:rPr>
        <w:t>-</w:t>
      </w:r>
      <w:r>
        <w:rPr>
          <w:rtl w:val="true"/>
        </w:rPr>
        <w:t>ידי קרוב משפחה</w:t>
      </w:r>
      <w:r>
        <w:rPr>
          <w:rtl w:val="true"/>
        </w:rPr>
        <w:t xml:space="preserve">. </w:t>
      </w:r>
      <w:r>
        <w:rPr>
          <w:rtl w:val="true"/>
        </w:rPr>
        <w:t>עוד ציינו</w:t>
      </w:r>
      <w:r>
        <w:rPr>
          <w:rtl w:val="true"/>
        </w:rPr>
        <w:t xml:space="preserve">, </w:t>
      </w:r>
      <w:r>
        <w:rPr>
          <w:rtl w:val="true"/>
        </w:rPr>
        <w:t>כי לקיחת אחריות באופן כן ואמיתי</w:t>
      </w:r>
      <w:r>
        <w:rPr>
          <w:rtl w:val="true"/>
        </w:rPr>
        <w:t xml:space="preserve">, </w:t>
      </w:r>
      <w:r>
        <w:rPr>
          <w:rtl w:val="true"/>
        </w:rPr>
        <w:t>אף בשלב מאוחר מהווה</w:t>
      </w:r>
      <w:r>
        <w:rPr>
          <w:rtl w:val="true"/>
        </w:rPr>
        <w:t xml:space="preserve">, </w:t>
      </w:r>
      <w:r>
        <w:rPr>
          <w:rtl w:val="true"/>
        </w:rPr>
        <w:t>במידה מה</w:t>
      </w:r>
      <w:r>
        <w:rPr>
          <w:rtl w:val="true"/>
        </w:rPr>
        <w:t xml:space="preserve">, </w:t>
      </w:r>
      <w:r>
        <w:rPr>
          <w:rtl w:val="true"/>
        </w:rPr>
        <w:t>שיקול לקולא</w:t>
      </w:r>
      <w:r>
        <w:rPr>
          <w:rtl w:val="true"/>
        </w:rPr>
        <w:t xml:space="preserve">, </w:t>
      </w:r>
      <w:r>
        <w:rPr>
          <w:rtl w:val="true"/>
        </w:rPr>
        <w:t>שאנו נכונים לקחת בחשבון בבחינת הערעור על גזר הדין</w:t>
      </w:r>
      <w:r>
        <w:rPr>
          <w:rtl w:val="true"/>
        </w:rPr>
        <w:t xml:space="preserve">. </w:t>
      </w:r>
      <w:r>
        <w:rPr>
          <w:rtl w:val="true"/>
        </w:rPr>
        <w:t>לאחר שחזרו הצדדים מהיוועצות</w:t>
      </w:r>
      <w:r>
        <w:rPr>
          <w:rtl w:val="true"/>
        </w:rPr>
        <w:t xml:space="preserve">, </w:t>
      </w:r>
      <w:r>
        <w:rPr>
          <w:rtl w:val="true"/>
        </w:rPr>
        <w:t>הודיע בא</w:t>
      </w:r>
      <w:r>
        <w:rPr>
          <w:rtl w:val="true"/>
        </w:rPr>
        <w:t>-</w:t>
      </w:r>
      <w:r>
        <w:rPr>
          <w:rtl w:val="true"/>
        </w:rPr>
        <w:t>כוח המערער כי מרשו עומד על מלוא ערעורו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נדרשים אנו כעת לשורת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  <w:sz w:val="28"/>
          <w:shd w:fill="FFFFFF" w:val="clear"/>
        </w:rPr>
      </w:pPr>
      <w:r>
        <w:rPr>
          <w:color w:val="000000"/>
          <w:sz w:val="28"/>
          <w:sz w:val="28"/>
          <w:shd w:fill="FFFFFF" w:val="clear"/>
          <w:rtl w:val="true"/>
        </w:rPr>
        <w:t>לאחר שבחנתי את הכרעת הדין וגזר הדין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נתתי דעתי לטענות הצדדים בכתב והקשבתי קשב רב לטיעונים של באי</w:t>
      </w:r>
      <w:r>
        <w:rPr>
          <w:color w:val="000000"/>
          <w:sz w:val="28"/>
          <w:shd w:fill="FFFFFF" w:val="clear"/>
          <w:rtl w:val="true"/>
        </w:rPr>
        <w:t>-</w:t>
      </w:r>
      <w:r>
        <w:rPr>
          <w:color w:val="000000"/>
          <w:sz w:val="28"/>
          <w:sz w:val="28"/>
          <w:shd w:fill="FFFFFF" w:val="clear"/>
          <w:rtl w:val="true"/>
        </w:rPr>
        <w:t>כוחם בעל</w:t>
      </w:r>
      <w:r>
        <w:rPr>
          <w:color w:val="000000"/>
          <w:sz w:val="28"/>
          <w:shd w:fill="FFFFFF" w:val="clear"/>
          <w:rtl w:val="true"/>
        </w:rPr>
        <w:t>-</w:t>
      </w:r>
      <w:r>
        <w:rPr>
          <w:color w:val="000000"/>
          <w:sz w:val="28"/>
          <w:sz w:val="28"/>
          <w:shd w:fill="FFFFFF" w:val="clear"/>
          <w:rtl w:val="true"/>
        </w:rPr>
        <w:t>פה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אציע לחברותיי לדחות את הערעור על שני חלקיו ולהותיר את פסק דינו של בית המשפט המחוזי על כנו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אנמק עמדתי</w:t>
      </w:r>
      <w:r>
        <w:rPr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כלל נקוט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אין זו מדרכה של ערכאת הערעור להתערב בממצאי עובדה ומהימנות של הערכאה הדיונית </w:t>
      </w:r>
      <w:r>
        <w:rPr>
          <w:rFonts w:cs="Century" w:ascii="Century" w:hAnsi="Century"/>
          <w:sz w:val="22"/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2092/21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30.10.2022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2261/21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24.10.2022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יתרונה של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שומעת את העדויות ומתרשמת מהן באופן ישיר ובלתי אמצעי </w:t>
      </w:r>
      <w:r>
        <w:rPr>
          <w:rFonts w:cs="Century" w:ascii="Century" w:hAnsi="Century"/>
          <w:sz w:val="22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1682/22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11.09.2022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הכלל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התערבות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מקבל משנה תוקף כשמדובר בעבירות מין </w:t>
      </w:r>
      <w:r>
        <w:rPr>
          <w:rFonts w:cs="Century" w:ascii="Century" w:hAnsi="Century"/>
          <w:sz w:val="22"/>
          <w:rtl w:val="true"/>
        </w:rPr>
        <w:t>(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2647/21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21.08.2022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שם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2647/21</w:t>
        </w:r>
      </w:hyperlink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 מכיוון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חלקן הארי של עבירות המין מבוצעות בחדרי חדרים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הרחק מעין בולשת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שהעבריין הצליח לבודד את קורבנו</w:t>
      </w:r>
      <w:r>
        <w:rPr>
          <w:rFonts w:cs="Century" w:ascii="Century" w:hAnsi="Century"/>
          <w:sz w:val="22"/>
          <w:rtl w:val="true"/>
        </w:rPr>
        <w:t>" (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10049/03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נט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385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392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4327/12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05.06.2013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ובהתאם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הרשעה בעבירות ממין זה תתבסס בראש ובראשונה על העדפת גרסה אחת מבין שתי גרסאות עובדתיות סותרות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אין בנמצא ראיות אובייקטיביות התומכות באילו מן אותן גרסאות </w:t>
      </w:r>
      <w:r>
        <w:rPr>
          <w:rFonts w:cs="Century" w:ascii="Century" w:hAnsi="Century"/>
          <w:sz w:val="22"/>
          <w:rtl w:val="true"/>
        </w:rPr>
        <w:t>(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2647/21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לגישה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המבקרת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3250/10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482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כלל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ההתערבות אינו כלל בל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יעבור</w:t>
      </w:r>
      <w:r>
        <w:rPr>
          <w:rFonts w:cs="Century" w:ascii="Century" w:hAnsi="Century"/>
          <w:sz w:val="22"/>
          <w:rtl w:val="true"/>
        </w:rPr>
        <w:t>" (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7653/11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26.07.2012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גם לו מצויים חריגים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אם כי אלה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מצומצמים </w:t>
      </w:r>
      <w:r>
        <w:rPr>
          <w:rFonts w:cs="Century" w:ascii="Century" w:hAnsi="Century"/>
          <w:sz w:val="22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1275/09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01.09.2009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1275/09</w:t>
        </w:r>
      </w:hyperlink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ערכאת הערעור רשאית גם היא לבחון ממצאי עובדה ומהימנות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ולהסיק מהראיות מסקנות שונות מאלו שהסיקה הערכאה הדיונית </w:t>
      </w:r>
      <w:r>
        <w:rPr>
          <w:rFonts w:cs="Century" w:ascii="Century" w:hAnsi="Century"/>
          <w:sz w:val="22"/>
          <w:rtl w:val="true"/>
        </w:rPr>
        <w:t>(</w:t>
      </w:r>
      <w:hyperlink r:id="rId5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משולב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ניתן לחלק את המקרים בהם ערכאת הערעור תעשה כן לשתי קטגוריות עיקריות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מתבטל או מצטמצם היתרון שיש לערכאה הדיונית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פני ערכאת הערעור בקביעת ממצאי עובדה ומהימנות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בדיקת העדויות נעשתה על בסיס מבחן ההיגיון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על בסיס התרשמות ישירה מהעדים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נפלה טעות של ממש באופן בו העריכה ערכאת הערעור את הראיות שעמדו לפניה וקבעה את ממצאיה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9352/99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632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645-644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535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כפי שכבר צוין בפסיקת בית משפט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 קושי מסוים במגמה של צמצום ההתערבות של ערכאת הערעור בממצאי עובדה ומהימנות של הערכאה הדיונית בעבירות מין מצד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כשמהעבר השני קיימת מגמה של הקלה בדרישה הראייתית לצורך הרשעה בעבירות מסוג זה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להרשיע אדם המואשם בביצוע עבירות מין על בסיס עדותה של הנפגעת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הייתה נדרשת תוספת ראייתית מסוג סיוע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כיום ניתן להסתפק בעדותה היחידה של הנפגעת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ודרישת התוספת הראייתית הומרה בחובת נימוק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חוק לתיקון 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5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לפקודה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8794/20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10.05.2022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שופט לנקוט משנה זהירות שעה שעליו להכריע בעניין שלפניו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מן העבר האחד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מן העבר השני עדות הנאשם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בראש ובראשונה נוכח החשש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שההקלה הראייתית לצד הכלל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ההתערבות בממצאי עובדה ומהימנות תגביר את הסיכון להרשעות שווא של מואשמים בביצוע עבירות מין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6378/95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מט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278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283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540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היושב כערכאת ערעור על הרשעה בעבירות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להיזהר מפני החלת הכלל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התערבות באופן אוטומטי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מבלי בחינה פרטנית האם קיימת לכך הצדקה במקרה שלפניו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בתוך כך יש לתת את הדעת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סתירות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במידה זו או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כמעט ותמיד יהיו בנמצא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כאשר מדובר בעדות של קטינה שנפלה קורבן לעבירות מין שבוצעו בה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קרוב משפחה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5582/09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20.10.2010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5582/09</w:t>
        </w:r>
      </w:hyperlink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דנא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האם בעניינו יש מקום לסטות מהכלל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התערבות ערכאת הערעור בממצאי עובדה ומהימנות של הערכאה הדיונית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כדעת המערער</w:t>
      </w:r>
      <w:r>
        <w:rPr>
          <w:rFonts w:cs="Century" w:ascii="Century" w:hAnsi="Century"/>
          <w:sz w:val="22"/>
          <w:rtl w:val="true"/>
        </w:rPr>
        <w:t xml:space="preserve">)? </w:t>
      </w:r>
      <w:r>
        <w:rPr>
          <w:rFonts w:ascii="Century" w:hAnsi="Century" w:cs="Century"/>
          <w:sz w:val="22"/>
          <w:sz w:val="22"/>
          <w:rtl w:val="true"/>
        </w:rPr>
        <w:t>או שמא עלינו לפסוע בדרך המקובלת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ולמשוך ידינו מכך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כדעת המשיבה</w:t>
      </w:r>
      <w:r>
        <w:rPr>
          <w:rFonts w:cs="Century" w:ascii="Century" w:hAnsi="Century"/>
          <w:sz w:val="22"/>
          <w:rtl w:val="true"/>
        </w:rPr>
        <w:t xml:space="preserve">)? </w:t>
      </w:r>
      <w:r>
        <w:rPr>
          <w:rFonts w:ascii="Century" w:hAnsi="Century" w:cs="Century"/>
          <w:sz w:val="22"/>
          <w:sz w:val="22"/>
          <w:rtl w:val="true"/>
        </w:rPr>
        <w:t>סבורני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בנסיבות מקרה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מקום לסטות מהכלל 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התערבות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התרשמותו הישירה והבלתי אמצעית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עוברת כחוט השני בהכרעת 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המתפרשת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פני </w:t>
      </w:r>
      <w:r>
        <w:rPr>
          <w:rFonts w:cs="Century" w:ascii="Century" w:hAnsi="Century"/>
          <w:sz w:val="22"/>
        </w:rPr>
        <w:t>75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עמודים מפורטים ומנומקים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מעיון בהכרעת הדין לא ניתן אלא להגיע למסקנה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להתרשמותו הישירה של בית המשפט מהתנהלות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התנהגותה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שפת גופה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נימת דבריה והערכת אישיותה ניתן משקל של ממש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1442/06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01.09.2008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1442/06</w:t>
        </w:r>
      </w:hyperlink>
      <w:r>
        <w:rPr>
          <w:rFonts w:cs="Century" w:ascii="Century" w:hAnsi="Century"/>
          <w:sz w:val="22"/>
          <w:rtl w:val="true"/>
        </w:rPr>
        <w:t xml:space="preserve">); 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7596/20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16.03.2022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מובחן ענייננו מעניין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עליו סומך המערער את ידו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בעמודים </w:t>
      </w:r>
      <w:r>
        <w:rPr>
          <w:rFonts w:cs="Century" w:ascii="Century" w:hAnsi="Century"/>
          <w:sz w:val="22"/>
        </w:rPr>
        <w:t>533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535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540-539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560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המשפט המחוזי ציין את התנהגותה של המתלוננת על דוכן העדים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המבוכה שהיא חשה במהלך עדותה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מבוכה אשר באה לידי ביטוי בכך שלעיתים נהגה ללחוש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להרכין את ראשה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ולהשפיל את מבטה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וכל זאת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היא מכונסת ומכווצת אל תוך עצמה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עוד ציין בית המשפט את האופן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הכה פשוט ואפילו ילדותי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בו תיארה המתלוננת את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ואת התיאוריים האותנטיים והייחודיים שעשתה בהם שימוש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לא הפריזה בדבריה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שאפה להשחיר את המערער והציגה את הדברים כהווייתם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אף כאשר הדבר עשוי היה לציירה באופן שלא יטיב עמה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בעמודים </w:t>
      </w:r>
      <w:r>
        <w:rPr>
          <w:rFonts w:cs="Century" w:ascii="Century" w:hAnsi="Century"/>
          <w:sz w:val="22"/>
        </w:rPr>
        <w:t>22-21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שאינו עולה בקנה אחד עם מי שמבקשת להפליל את אביה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מהאמור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קביעותיו של בית המשפט המחוזי בכל הנוגע למהימנותה של המתלוננת נטועות עמוק בהתרשמותו הישירה ממנה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המקרה דנא מהווה דוגמה מובהקת למצב בו לערכאה הדיונית יתרון ניכר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פני ערכאת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בהערכת העדויות שנשמעו בפניה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איני סבור כי נכון שנתערב באופן שבו העריך בית המשפט את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בהתבסס על התרשמותו ממנה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שבאה לידי ביטוי באינדיקציות הרבות עליהן עמד בהכרעת דינו המנומקת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>כן יוער</w:t>
      </w:r>
      <w:r>
        <w:rPr>
          <w:rtl w:val="true"/>
        </w:rPr>
        <w:t xml:space="preserve">, </w:t>
      </w:r>
      <w:r>
        <w:rPr>
          <w:rtl w:val="true"/>
        </w:rPr>
        <w:t>כי לא נעלמו מעיני השגותיו של המערער בכל הנוגע לטעמים עליהם עמד בית המשפט המחוזי</w:t>
      </w:r>
      <w:r>
        <w:rPr>
          <w:rtl w:val="true"/>
        </w:rPr>
        <w:t xml:space="preserve">, </w:t>
      </w:r>
      <w:r>
        <w:rPr>
          <w:rtl w:val="true"/>
        </w:rPr>
        <w:t>שעה שנימק מדוע מצא את המתלוננת מהימנה ואת עדותה אותנטית וכנה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ובשים לב לאמור לעיל</w:t>
      </w:r>
      <w:r>
        <w:rPr>
          <w:rtl w:val="true"/>
        </w:rPr>
        <w:t xml:space="preserve">, </w:t>
      </w:r>
      <w:r>
        <w:rPr>
          <w:rtl w:val="true"/>
        </w:rPr>
        <w:t>הרי שטענותיו בנושא זה עומדות בניגוד לעקרונות יסוד של ההליך הפלילי בכלל</w:t>
      </w:r>
      <w:r>
        <w:rPr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בראשם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האופן שבו על בית המשפט להעריך משקלה של 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והחשיבות שבהתרשמותה הישירה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והבלתי אמצעית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 הערכאה הדיונית מהתנהגותה של עדה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hyperlink r:id="rId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1442/06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הרי שדינן </w:t>
      </w:r>
      <w:r>
        <w:rPr>
          <w:rtl w:val="true"/>
        </w:rPr>
        <w:t>–</w:t>
      </w:r>
      <w:r>
        <w:rPr>
          <w:rtl w:val="true"/>
        </w:rPr>
        <w:t xml:space="preserve"> דחייה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די היה באמור לעיל כדי לדחות את הערעור על הכרעת הדין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גרסתה של המתלוננת רוויית סתירות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הפוגם במהימנותה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עלינו לבחון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האם הסתירות הנטענות הן אכן סתירות מהותיות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במובן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שאם אכן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שגה בית המשפט המחוזי בניתוח גרסתה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שיובהר להלן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גם על כך יש לענות בשלילה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כפי שצוין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לא סבר כי הסתירות ואי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הדיוקים שנמצאו בגרסתה של המתלוננת פוגמים בליבת גרסתה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יורדים לשורשם של דברים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בפרט עמד בית המשפט על כך שגרסתה של המתלוננת הייתה עקבית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 הנוגע למועד בו החל המערער לבצע בה את מעשיו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אופן חשיפת הדברים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תיאור האירוע הראשון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ותדירות המעשים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לא השלים עם קביעותיו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וטען כי בגרסתה של המתלוננות קיימות סתירות מהותיות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לכל הפחות מעלות ספק סביר אשר לאשמתו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ניתן לצפות מעדים להיות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מכשיר דיוק אוטומטי</w:t>
      </w:r>
      <w:r>
        <w:rPr>
          <w:rFonts w:cs="Century" w:ascii="Century" w:hAnsi="Century"/>
          <w:sz w:val="22"/>
          <w:rtl w:val="true"/>
        </w:rPr>
        <w:t>" (</w:t>
      </w:r>
      <w:hyperlink r:id="rId7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100/55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ט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1218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1224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1955</w:t>
      </w:r>
      <w:r>
        <w:rPr>
          <w:rFonts w:cs="Century" w:ascii="Century" w:hAnsi="Century"/>
          <w:sz w:val="22"/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>וכאמור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סתירות כמעט תמיד יהיו בנמצא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כאשר מדובר בעדות של קטינה שנפלה קורבן לעבירות מין שבוצעו בה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קרוב משפחה </w:t>
      </w:r>
      <w:r>
        <w:rPr>
          <w:rFonts w:cs="Century" w:ascii="Century" w:hAnsi="Century"/>
          <w:sz w:val="22"/>
          <w:rtl w:val="true"/>
        </w:rPr>
        <w:t>(</w:t>
      </w:r>
      <w:hyperlink r:id="rId7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5582/09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</w:rPr>
        <w:t>84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נוכח הקשיים הרבים איתם נדרשת להתמודד מתלוננת בעבירות מין מסוג זה שעה שהיא עולה על דוכן העדים </w:t>
      </w:r>
      <w:r>
        <w:rPr>
          <w:rFonts w:cs="Century" w:ascii="Century" w:hAnsi="Century"/>
          <w:sz w:val="22"/>
          <w:rtl w:val="true"/>
        </w:rPr>
        <w:t>(</w:t>
      </w:r>
      <w:hyperlink r:id="rId7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2647/21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נוכח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מקום שבית המשפט יעמוד באופן דווקני על דרישת הדיוק והפירוט בעדותן של מתלוננות כאמור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2218/10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21.11.2011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4583/13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21.09.2015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יתערב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בממצאי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מהימנות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שקבעה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הערכאה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הדיונית</w:t>
      </w:r>
      <w:r>
        <w:rPr>
          <w:rFonts w:cs="Century" w:ascii="Century" w:hAnsi="Century"/>
          <w:sz w:val="22"/>
          <w:rtl w:val="true"/>
        </w:rPr>
        <w:t xml:space="preserve">, "...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מספיק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להצביע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שורה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תמיהות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אפילו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צריך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שתהיינה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עובדות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המראות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בעליל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יכול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להתרשם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שהתרשם</w:t>
      </w:r>
      <w:r>
        <w:rPr>
          <w:rFonts w:cs="Century" w:ascii="Century" w:hAnsi="Century"/>
          <w:sz w:val="22"/>
          <w:rtl w:val="true"/>
        </w:rPr>
        <w:t>" (</w:t>
      </w:r>
      <w:hyperlink r:id="rId7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525/78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266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270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סנובסקי</w:t>
      </w:r>
      <w:r>
        <w:rPr>
          <w:rFonts w:cs="Century" w:ascii="Century" w:hAnsi="Century"/>
          <w:sz w:val="22"/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20.04.2016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הנשיא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מכבר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המתווה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תעביר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ערכאת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הערעור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ביקורתה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את </w:t>
      </w:r>
      <w:r>
        <w:rPr>
          <w:rFonts w:ascii="Century" w:hAnsi="Century" w:cs="Century"/>
          <w:sz w:val="22"/>
          <w:sz w:val="22"/>
          <w:rtl w:val="true"/>
        </w:rPr>
        <w:t>הכרעתה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ערכאה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הנוגע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לסוגיית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מהימנותה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נמצאו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בגרסתה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סתירות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כמקובל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שהערכאה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הליקוי</w:t>
      </w:r>
      <w:r>
        <w:rPr>
          <w:rtl w:val="true"/>
        </w:rPr>
        <w:t xml:space="preserve">. </w:t>
      </w:r>
      <w:r>
        <w:rPr>
          <w:rtl w:val="true"/>
        </w:rPr>
        <w:t>במלים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מהותה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אסתטי</w:t>
      </w:r>
      <w:r>
        <w:rPr>
          <w:rtl w:val="true"/>
        </w:rPr>
        <w:t>" 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316/85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גרינוולד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564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לא השתכנעתי כי נפלה טעות באופן שהעריך בית המשפט את העדויות שנשמעו לפניו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 הנוגע לסתירות בגרסתה של המתלוננת עליהן עמד המערער בהרחבה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>עיינתי בחקירות המתלוננת במשטרה ובעדותה בבית המשפט</w:t>
      </w:r>
      <w:r>
        <w:rPr>
          <w:rtl w:val="true"/>
        </w:rPr>
        <w:t xml:space="preserve">, </w:t>
      </w:r>
      <w:r>
        <w:rPr>
          <w:rtl w:val="true"/>
        </w:rPr>
        <w:t>ולא מצאתי כי קיימות סתירות הפוגעות בליבת גרסתה ושיורדות לשורשם של דברים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תיאורה של המתלוננת את האופן בו הורה לה המערער להתלבש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אכן השתנה בין חקירתה במשטרה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בשורה 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ובין 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הוא השתנה במהלך עדותה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מיום </w:t>
      </w:r>
      <w:r>
        <w:rPr>
          <w:rFonts w:cs="Century" w:ascii="Century" w:hAnsi="Century"/>
          <w:sz w:val="22"/>
        </w:rPr>
        <w:t>24.12.2019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14-5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ובעמודים </w:t>
      </w:r>
      <w:r>
        <w:rPr>
          <w:rFonts w:cs="Century" w:ascii="Century" w:hAnsi="Century"/>
          <w:sz w:val="22"/>
        </w:rPr>
        <w:t>19-18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דומה כי ליבת תיאורה נותר זהה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המערער הורה לה לפשוט את שכבת הבגדים התחתונה 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אך פריט לבוש עליון מכסה את גופה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אשר לתיאור האופן בו הגיע המערער לפורקן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אף שבחקירתה הראשונה במשטרה ציינה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הגיע לפורקן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בחוץ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בשורה </w:t>
      </w:r>
      <w:r>
        <w:rPr>
          <w:rFonts w:cs="Century" w:ascii="Century" w:hAnsi="Century"/>
          <w:sz w:val="22"/>
        </w:rPr>
        <w:t>48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בחקירתה השנייה תיקנה 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וציינה כי תחילה הגיע המערער לפורקן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בפנים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ולאחר מכן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בחוץ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עוד ציינה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ניקה את שפיכתו עם הגרביים שלו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שתיאור המתלוננת בחקירתה השנייה זהה במהותו לתיאור שניתן בעדותה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מיום </w:t>
      </w:r>
      <w:r>
        <w:rPr>
          <w:rFonts w:cs="Century" w:ascii="Century" w:hAnsi="Century"/>
          <w:sz w:val="22"/>
        </w:rPr>
        <w:t>24.12.2019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בעמודים </w:t>
      </w:r>
      <w:r>
        <w:rPr>
          <w:rFonts w:cs="Century" w:ascii="Century" w:hAnsi="Century"/>
          <w:sz w:val="22"/>
        </w:rPr>
        <w:t>20-19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דומה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ישנן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סתירות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משמעותיות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יותר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הנוגע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לאירוע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הראשון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– </w:t>
      </w:r>
      <w:r>
        <w:rPr>
          <w:rFonts w:ascii="Century" w:hAnsi="Century" w:cs="Century"/>
          <w:sz w:val="22"/>
          <w:sz w:val="22"/>
          <w:rtl w:val="true"/>
        </w:rPr>
        <w:t>אך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מצאתי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בחקירתה במשטרה ציינה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קודם המערער ליטף את גופה והורה לה לשחק עם איבר מינו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ורק לאחר מכן בעל אותה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40-32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ואילו בעדותה ציינה כי קודם המערער בעל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ורק לאחר מכן ליטף את גופה והורה לה לשחק עם איבר מינו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מיום </w:t>
      </w:r>
      <w:r>
        <w:rPr>
          <w:rFonts w:cs="Century" w:ascii="Century" w:hAnsi="Century"/>
          <w:sz w:val="22"/>
        </w:rPr>
        <w:t>24.12.2019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23-19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ובעמוד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9-7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בחקירתה במשטרה ציינה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בעל אותה כאשר שניהם שכבו במיטתו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40-39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ואילו בעדותה ציינה 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זה נעשה כאשר שניהם היו בעמידה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מיום </w:t>
      </w:r>
      <w:r>
        <w:rPr>
          <w:rFonts w:cs="Century" w:ascii="Century" w:hAnsi="Century"/>
          <w:sz w:val="22"/>
        </w:rPr>
        <w:t>24.12.2019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14-8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ולאחר מכן שזה נעשה הן בעמידה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הן בשכיבה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17-13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מקובלת עליי מסקנתו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מדובר בסתירות הפוגמות בליבת גרסתה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בשים לב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מושכלות ראשונים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כי לא ניתן לצפות מנפגעת עבירות מין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בפרט כאשר מדובר בנפגעת שהיא קטינה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להעיד על אודות המעשים הקשים שחוותה באופן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קוהרנטי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עקבי וסדור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בסופם של 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המדובר בעדות של מתלוננת קטינה אשר האירוע הראשון התרחש כאשר הייתה כבת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שחלף זמן רב מהמועד בו הוא בוצע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ועד למועדים של חקירותיה במשטרה ועדותה בבית המשפט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ספק אם ניתן היה לדרוש ממנה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תחת תנאים מיטיבים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לפרט באופן מדויק את הרגעים והאירועים הטראומתיים והקשים שחוותה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כל שכן מול אנשים זרים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בשפה שאינה שפת אמה וכאשר פרגוד בלבד מפריד בינה ובין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אביה ומי שפגע 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איני סבור כי יש בסתירות האמורות כדי לרדת לשורשו של 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המצדיק את התערבותנו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קביעה כי לא יכול היה בית משפט קמא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להתרשם כפי שהתרשם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סנובסקי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270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לאחר שבחנתי את קביעותיו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בנוגע למהימנותה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שהתייחסתי לטענות המערער 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הגעתי לכלל מסקנה כי אין מקום לסטות מהכלל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בדבר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התערבות ערכאת הערעור בממצאי עובדה ומהימנות של הערכאה הדיונית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משני טעמים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שקביעותיו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המחוזי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נטועות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בהתרשמותו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הישירה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והבלתי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אמצעית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שבאה לידי ביטוי באינדיקציות שנגלו לפניו בעת מתן עדותה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מצאתי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נפל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פגם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באופן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הסתירות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הדיוקים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בגרסתה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נוכח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7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דחיית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נתן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בגרסתו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ומצא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מהימן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משהגענו עד הלום</w:t>
      </w:r>
      <w:r>
        <w:rPr>
          <w:rtl w:val="true"/>
        </w:rPr>
        <w:t xml:space="preserve">, </w:t>
      </w:r>
      <w:r>
        <w:rPr>
          <w:rtl w:val="true"/>
        </w:rPr>
        <w:t>ראיתי לנכון להתייחס לטענות נוספות אותן העלה המערער</w:t>
      </w:r>
      <w:r>
        <w:rPr>
          <w:rtl w:val="true"/>
        </w:rPr>
        <w:t xml:space="preserve">, </w:t>
      </w:r>
      <w:r>
        <w:rPr>
          <w:rtl w:val="true"/>
        </w:rPr>
        <w:t>הנוגעות לדלות גרסתה של המתלוננת</w:t>
      </w:r>
      <w:r>
        <w:rPr>
          <w:rtl w:val="true"/>
        </w:rPr>
        <w:t xml:space="preserve">; </w:t>
      </w:r>
      <w:r>
        <w:rPr>
          <w:rtl w:val="true"/>
        </w:rPr>
        <w:t>מצבה הנפשי</w:t>
      </w:r>
      <w:r>
        <w:rPr>
          <w:rtl w:val="true"/>
        </w:rPr>
        <w:t xml:space="preserve">; </w:t>
      </w:r>
      <w:r>
        <w:rPr>
          <w:rtl w:val="true"/>
        </w:rPr>
        <w:t>היעדר יכולת לבצע את העבירות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ונפקות היעדר ממצאים חבלתיים בקרום הבתולין של המתלוננת </w:t>
      </w:r>
      <w:r>
        <w:rPr>
          <w:rtl w:val="true"/>
        </w:rPr>
        <w:t>–</w:t>
      </w:r>
      <w:r>
        <w:rPr>
          <w:rtl w:val="true"/>
        </w:rPr>
        <w:t xml:space="preserve"> כסדרן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לאירועים המתמשכים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לאירועי מעשי הסדום ולאירועי האלימות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המערער טענה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גרסתה של המתלוננת דלה בפרטים באופן שאינו מאפשר להרשיעו באירועים אלה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בידי לקבל טענה זאת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בראש ובראשונה יש לזכור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בית המשפט המחוזי הרשיע את המערער במיוחס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נקבע שיש לראות את דבריו 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מעשה אחד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7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יג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קביעה זו המערער אינו מבקש להשיג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מקום לבצע הפרדה הרמטית בין האירועים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ויש לראות בהם כשלובים אלה באלה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הזה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דבריה של המתלוננת ביחס לאירועים המתמשכים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לאירועי מעשי הסדום ולאירועי האלימות לא נאמרו בחלל ריק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הם נאמרו לצד תיאורה של האירוע הראשון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תיאור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בית המשפט המחוזי סבר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וכך גם אני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מפורט ומדויק די הצורך לשם הרשעת המערער בפלילים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הקביעות בכל הנוגע לאירוע הראשון מהוות לטעמי נקודת מוצא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לבחינת יתר האירועים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לצד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המחוזי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תיאורים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לעבות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גרסתה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ביחס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לאירועים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גרסה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רזה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במובנים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מסוימים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הסימנים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המקדימים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פגיעה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שגרתית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החדרים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האירועים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המתמשכים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בוצעו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ותחושותיה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זמן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לאירועי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הסדום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בעקביות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אופן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ביצועם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תדירותם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והכאב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כרוך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הנוגע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לאירועי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התרחשו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לרוב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יומיים</w:t>
      </w:r>
      <w:r>
        <w:rPr>
          <w:rFonts w:ascii="Century" w:hAnsi="Century" w:cs="Century"/>
          <w:sz w:val="22"/>
          <w:sz w:val="22"/>
          <w:rtl w:val="true"/>
        </w:rPr>
        <w:t xml:space="preserve"> לאחר הפגיעה המינית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פעם אחת המערער אף הטיח את ראשה בקיר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 ניתן לכחד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גרסתה של המתלוננת לאירועים אלה אינה מן המפורטות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כדעת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דלות התיאורים והקשיים של המתלוננת לבטא את 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נובעים מנסיבות העניין וממאפיינים סובייקטיביים 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שאין בהם כדי לפגום בליבת גרסתה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506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 לנו לשכוח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אין מדובר במתלוננת אשר אירע בה מעשה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פעמי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מיוחד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נחקק בזיכרונה עד התו האחרון שבו</w:t>
      </w:r>
      <w:r>
        <w:rPr>
          <w:rFonts w:cs="Century" w:ascii="Century" w:hAnsi="Century"/>
          <w:sz w:val="22"/>
          <w:rtl w:val="true"/>
        </w:rPr>
        <w:t>" (</w:t>
      </w:r>
      <w:hyperlink r:id="rId8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6274/98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293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298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אלא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במתלוננת אשר חוותה על גופה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נפשה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מעשי אימה שקשה למצוא את המילים לתאר את הפסול שבהם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מסקנה זו מקבלת משנה תוקף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נוכח גילה הצעיר של המתלוננת בעת קרות המעשים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8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8805/14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07.01.2016</w:t>
      </w:r>
      <w:r>
        <w:rPr>
          <w:rFonts w:cs="Century" w:ascii="Century" w:hAnsi="Century"/>
          <w:sz w:val="22"/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>החברה ממנה היא מגיעה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שנוהגת להצניע פרטים על אודות מעשים מיניים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8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2977/06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17.03.2008</w:t>
      </w:r>
      <w:r>
        <w:rPr>
          <w:rFonts w:cs="Century" w:ascii="Century" w:hAnsi="Century"/>
          <w:sz w:val="22"/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>וכן העובדה כי מעשים אלו בוצעו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אביה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מאפיין שאך סביר כי גרם למתלוננת להתבייש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והקשה עליה להרחיב בתיאורים על אודות המעשים המיניים שביצע בה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507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ויוער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המערער העלה טענה נוספת בכל הנוגע להרשעתו באירועי האלימות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כי הן לפי גרסת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והן לפי גרסת האם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הטיח את ראשה של המתלוננת בקיר אך פעם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ומשכך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לא ניתן להרשיעו במספר עבירות של תקיפת קטין בנסיבות מחמירות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 גרסת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שנמצאה מהימנה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היה נוהג להכות אותה באופן תדיר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ומשהרשעתו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במספר עבירות של תקיפת קטין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תוחמה אך למקרים בהם הטיח את ראשה בקיר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שאין מקום לקבל טענה זו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יוזכר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השיג גם נגד הראיות שמצא בית המשפט המחוזי לחיזוק ולסיוע גרסתה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וביניהן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מצבה הנפשי של 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עמידתה של המתלוננת על אמיתות תלונתה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אף הלחצים שהופעלו עליה לחזור בה מכך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האמון שנתנו בה בני משפחתה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ועדותם של בני משפחה נוספים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מצאתי מקום להתייחס לכלל השגותיו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ובחרתי למקד את הדיון במצבה הנפשי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היותה התוספת הראייתית המשמעותית ביותר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שיבואר להלן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להיתלות על מצבה הנפשי של המתלוננת לחיזוק או לסיוע גרסתה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משני טעמים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שבתקופה הרלבנטית לכתב האישום קרובי משפחתה לא זיהו כל שינוי בהתנהגותה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עשוי היה להעיד על פגיעה מינית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מעדויות הדודה ועו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ס צופית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מצבה הנפשי של המתלוננת לא תאם מצב נפשי של נפגעת עבירות 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דעתי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משפט זה קבע בשורה ארוכה של פסקי 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מצבה הנפשי של נפגעת עבירת מין יכולה לשמש כראייה אובייקטיבית לחיזוק ואף לסיוע גרסתה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מיני רבים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1275/09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8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5949/13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17.03.14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8444/15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27.10.2016</w:t>
      </w:r>
      <w:r>
        <w:rPr>
          <w:rFonts w:cs="Century" w:ascii="Century" w:hAnsi="Century"/>
          <w:sz w:val="22"/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במקרים רבים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במצב נפשי שניכר לעין והתגלה בסמוך לביצוע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זעזוע נפשי אשר מקבל ביטוי חיצוני במועד מאוחר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זה בעת שהנפגעת נדרשת להתייחס למעשה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יכול לשמש כראיה לסיוע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1121/96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362-361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12.07.2022</w:t>
      </w:r>
      <w:r>
        <w:rPr>
          <w:rtl w:val="true"/>
        </w:rPr>
        <w:t xml:space="preserve">),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>
          <w:rtl w:val="true"/>
        </w:rPr>
        <w:t>דעת מיעוט לעניין התוצאה</w:t>
      </w:r>
      <w:r>
        <w:rPr>
          <w:rtl w:val="true"/>
        </w:rPr>
        <w:t xml:space="preserve">); </w:t>
      </w:r>
      <w:hyperlink r:id="rId8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העובדה כי משפחתה של המתלוננת לא זיהתה שינוי בדפוס התנהגותה או במצבה הנפשי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בהכרח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גורעת מהאפשרות להתייחס למצבה הנפשי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שזה קיבל ביטוי במועד מאוחר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כראיה לחיזוק או לסיוע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נוכח קיומן של נסיבות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שיש בהן כדי להביא את המתלוננת להסתיר את פגיעתה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וביניהן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החשש מאביה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הפחד שאנשים ידעו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תחושות הבושה והחברה אליה היא משתייכת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מטבע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עשוי לקחת זמן מה עד שנפגעת עבירות מין מפנימה את היקף הפגיעה שחוותה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וכך גם עד שיהיה ביטוי חיצוני של פגיעה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כבר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דפוס התנהגות קבוע ויחיד לנפגעות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בזיכרונם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מתדרדרים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ומפחתים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8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89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מעבר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קביעתו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ביחס למצבה הנפשי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נטועה בהתרשמותו הישירה ממנה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מעדותה של הדודה ומעדותה של 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ס צופית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מצאתי כל הצדקה להתערב בכך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זאת ועוד טען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לצורך הרשעת נאשם על בסיס עדותה היחידה של נפגעת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מוטלת על בית המשפט חובת הנמקה מוגברת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ועליו להסביר בפרוטרוט את הטעמים אשר הביאו אותו לעשות כן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חובה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גוברת באופן יחסי לדלות העדות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טענה זו שלובה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במידה מסוימת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בהשגות המערער בכל הנוגע לקיומן של ראיות לחיזוק ולסיוע גרסתה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מכיוון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שככל שקביעות אלה בדין יסודן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שאין לומר כי הרשעתו של המערער נעשתה על בסיס עדותה היחידה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לטענות אלה יובהר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די בכך שבית המשפט נתן אמון מלא בגרסתה של המתלוננת על מנת שימלא את חובת ההנמקה הקבועה </w:t>
      </w:r>
      <w:hyperlink r:id="rId9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לפקודה </w:t>
      </w:r>
      <w:r>
        <w:rPr>
          <w:rFonts w:cs="Century" w:ascii="Century" w:hAnsi="Century"/>
          <w:sz w:val="22"/>
          <w:rtl w:val="true"/>
        </w:rPr>
        <w:t>(</w:t>
      </w:r>
      <w:hyperlink r:id="rId9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3677/21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שללאשוילי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13.02.2022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כל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כי נפל פגם בקביעות אלה של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ביחס למצבה הנפשי של המתלוננת פירטתי בהרחבה מדוע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די בכך כדי לספק את דרישת ההנמקה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9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993/00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205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יעקב </w:t>
      </w:r>
      <w:hyperlink r:id="rId9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קדמי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225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הייתה לו היכולת הגופנית או היכולת המעשית לבצע את עבירות המין בהן הוא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נוכח מצבו הרפואי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שמקיום יחסי מין היה חווה התקפים אפילפטיים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ומשום שלא היה נותר לבד בבית עם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בידי לקבל טענות אלו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עקרון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יסוד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בהליך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משהצליחה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המאשימה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להוכיח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באמצעות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לכאורה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אשמתו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לספק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הטקטי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לכתפי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הנאשם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לעורר ספק סביר לגבי אשמתו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דרך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הבאת ראיות שמצביעות על חפותו האפשרית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 על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ידי מציאת פרכה או סתירה מהותית במארג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הראיות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עליו נסמכה המ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אשימה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9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9201/18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78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08.06.2022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יעקב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9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קדמי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1716-1715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ביחס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לטענותיו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להיעדר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אפשרות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מצדו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לבצע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9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3578/11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13.08.2012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עמד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שסבר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סבור גם אני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גרסתו של המערער בנוגע למצבו הרפואי היא גרסה כבושה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שראתה אור לראשונה בעדותה של האם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מבקש להסביר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בחקירותיו במשטרה פירט על אודות מצבו הרפואי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והקושי שלו לקיים יחסי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כי הדברים לא נרשמו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הסבר זה אינו משכנע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9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3834/10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102-101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06.03.2013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9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8267/04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25.03.2010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לטעמי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הדבר סביר או הגיוני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טענה שעל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פניה הייתה עשויה להיות משמעותית להגנת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נרשמה כלל בשלוש חקירותיו במשטרה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והועלתה רק בשלב מאוחר מאוד של ההליך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בראשיתו עם העברת חומרי החקירה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יתרה מכך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פרט לעדות האם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לא ראתה אותה כמהימנה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וסבר שהיא עושה כל שביכולתה כדי להיטיב עם המערער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טענה זו לא נתמכה באף עדות אחרת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לשהייה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אף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טענה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זו הועלתה לראשונה בבית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ומבלי שניתן לכך הסבר המניח את הדעת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ציין בחקירתו במשטרה כי הוא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כמעט לא יושב בבית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בשורה </w:t>
      </w:r>
      <w:r>
        <w:rPr>
          <w:rFonts w:cs="Century" w:ascii="Century" w:hAnsi="Century"/>
          <w:sz w:val="22"/>
        </w:rPr>
        <w:t>56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אולם הוא נמנע מלפרט מעבר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אף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 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שהותו בבית קפה מהווה חלק ניכר ומשמעותי משגרת חייו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העדים שהעיד מטעמו לא סייעו בביסוס טענה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משהוכח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האחד לא יכול היה במשך תקופה של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לבלות עם המערער בבית קפה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האחר עבד כל שבוע שני במשמרת לילה באופן שמנע ממנו מלהיפגש עם המערער בבית קפה באותם ימים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 שגה בית המשפט המחוזי שעה שקבע כי האם הייתה נוהגת לצאת מהבית שלוש עד ארבע פעמים בשבוע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שאפשר לו לבצע את עבירות המין בהן הוא הורשע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ביסס קביעה זו על עדות האם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חרף העובדה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שמעדות זו לא ניתן להבין באיזו תדירות היא הייתה נוהגת לצאת מהבית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ועל עדותה של האחות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עדות שהיא תוצר של שאלות מכווינות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מניפולציה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והכל מקום 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לאחות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מניע להפלילו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בכך שבית המשפט נתן אמון בגרסת המתלוננת וראה אותה כמהימנה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כדי לשלול את טענותיו של המערער ביחס לתדירות בה נהגה האם לצאת מהבית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הרבה מעבר לצורך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יצוין גם כי לא מצאתי ממש בטענות אלה לגופן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מסכים אני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מדברי האם במשטרה ובעדותה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לקבוע באופן מדויק כמה פעמים בשבוע הייתה נוהגת לצאת מהבית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בחקירתה במשטרה מסרה כי היא נוהגת לעשות כן בין פעם אחת לארבע פעמים בשבוע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בשורות </w:t>
      </w:r>
      <w:r>
        <w:rPr>
          <w:rFonts w:cs="Century" w:ascii="Century" w:hAnsi="Century"/>
          <w:sz w:val="22"/>
        </w:rPr>
        <w:t>121-120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ואילו בעדותה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שאומתה עם דבריה בחקירתה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מסרה כי הייתה נוהגת לצאת פעם או פעמיים בשבוע לצורך סידורים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פרוטוקול מיום </w:t>
      </w:r>
      <w:r>
        <w:rPr>
          <w:rFonts w:cs="Century" w:ascii="Century" w:hAnsi="Century"/>
          <w:sz w:val="22"/>
        </w:rPr>
        <w:t>14.01.2020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135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אף שלא ניתן לקבוע מכך באופן מדויק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כמה פעמים בשבוע הייתה נוהגת האם לצאת מהבית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הרי שמתקבלת תמונה כללית ביחס לכך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תמונה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מתבהרת בצירוף גרסתה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טענותיו של המערער בנוגע לעדותה של האחות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נטענו בעלמא ללא כל ביסוס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והן לא מתיישבות עם יתר הראיות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שמציין המערער בעצמו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פני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עדותה של האחות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אינה תואמת את גרסתה של המתלוננת בנושאים מסוימים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שנשמטת הקרקע מתחת 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שתי בנותיו הקטינות רקמו מזימה לצורך הפללתו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לבסוף יצוין</w:t>
      </w:r>
      <w:r>
        <w:rPr>
          <w:rtl w:val="true"/>
        </w:rPr>
        <w:t xml:space="preserve">, </w:t>
      </w:r>
      <w:r>
        <w:rPr>
          <w:rtl w:val="true"/>
        </w:rPr>
        <w:t>כי על אף שהעדת האחות הבכורה הייתה יכולה לשפוך אור נוסף על התדירות בה האם נהגה לצאת מהבית</w:t>
      </w:r>
      <w:r>
        <w:rPr>
          <w:rtl w:val="true"/>
        </w:rPr>
        <w:t xml:space="preserve">, </w:t>
      </w:r>
      <w:r>
        <w:rPr>
          <w:rtl w:val="true"/>
        </w:rPr>
        <w:t>די בראיות שהוצגו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לצורך הכרעה בעניין זה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ככל שעדותה אכן תומכת בגרסתו של המערער</w:t>
      </w:r>
      <w:r>
        <w:rPr>
          <w:rtl w:val="true"/>
        </w:rPr>
        <w:t xml:space="preserve">, </w:t>
      </w:r>
      <w:r>
        <w:rPr>
          <w:rtl w:val="true"/>
        </w:rPr>
        <w:t>עולה השאלה מדוע בחר שלא לזמנה להעיד מטעמו</w:t>
      </w:r>
      <w:r>
        <w:rPr>
          <w:rtl w:val="true"/>
        </w:rPr>
        <w:t xml:space="preserve">. </w:t>
      </w:r>
      <w:r>
        <w:rPr>
          <w:rtl w:val="true"/>
        </w:rPr>
        <w:t>רק למערער פתרונים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בהינתן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ממש בטענות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בדבר היעדר אפשרות שביצע את עבירות המין בהן הוא הורשע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גרסתו בכל הנוגע לכך היא גרסה כבושה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ביחס למצבו הרפואי ולשהותו בבית קפה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מתפתחת והיא אינה נתמכת בראיות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הבתולין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עדותו של מומחה נבחנת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בשני מישורים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מישור המהימנות האישית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במסגרתו נבחנת מהימנותו של המומחה ככל עד אחר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ומישור האמינות המקצועית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במסגרתו נבחנים רמתו המקצועית של המומחה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וטיב ואופי הבדיקה או הבירור האחר שערך ואשר מכוחם הגיע למסקנותיו</w:t>
      </w:r>
      <w:r>
        <w:rPr>
          <w:rFonts w:cs="Century" w:ascii="Century" w:hAnsi="Century"/>
          <w:sz w:val="22"/>
          <w:rtl w:val="true"/>
        </w:rPr>
        <w:t>" (</w:t>
      </w:r>
      <w:hyperlink r:id="rId9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1839/92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04.09.1994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הכרעה בין שני עדים מומחים היא תוצר של הפעלת שיקול דעת שיפוטי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על בית המשפט לתת דעתו למספר שיקולים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הכשרתם המקצועית של העדים המומחים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ניסיונם המעשי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מידת הרלבנטיות של תחום התמחותם לנושא הנדון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טיב היכרותם עם הממצאים הקונקרטיים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מידת ההתאמה של מסקנותיהם למכלול הממצאים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מידת היכרותם עם הספרות הרלבנטית בנושא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ומידת התמודדותם עם עמדות מנוגדות ומקרים חריגים </w:t>
      </w:r>
      <w:r>
        <w:rPr>
          <w:rFonts w:cs="Century" w:ascii="Century" w:hAnsi="Century"/>
          <w:sz w:val="22"/>
          <w:rtl w:val="true"/>
        </w:rPr>
        <w:t>(</w:t>
      </w:r>
      <w:hyperlink r:id="rId10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8277/14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28-27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23.02.2016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ערכאת הערעור תמנע מלהתערב בקביעתה של הערכאה הדיונית בכל הנוגע להעדפתה של עדות מומחה אחת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פני רעותה </w:t>
      </w:r>
      <w:r>
        <w:rPr>
          <w:rFonts w:cs="Century" w:ascii="Century" w:hAnsi="Century"/>
          <w:sz w:val="22"/>
          <w:rtl w:val="true"/>
        </w:rPr>
        <w:t>(</w:t>
      </w:r>
      <w:hyperlink r:id="rId10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10110/03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גמליאל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11.12.2006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220/17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דנקנר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29.08.2018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התערבות כאמור תיעשה אך במקרים חריגים בהם נפלה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טעות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ובולטת</w:t>
      </w:r>
      <w:r>
        <w:rPr>
          <w:rFonts w:ascii="Century" w:hAnsi="Century" w:cs="Century"/>
          <w:sz w:val="22"/>
          <w:sz w:val="22"/>
          <w:rtl w:val="true"/>
        </w:rPr>
        <w:t xml:space="preserve"> בהחלטת הערכאה הדיונית</w:t>
      </w:r>
      <w:r>
        <w:rPr>
          <w:rFonts w:cs="Century" w:ascii="Century" w:hAnsi="Century"/>
          <w:sz w:val="22"/>
          <w:rtl w:val="true"/>
        </w:rPr>
        <w:t>" (</w:t>
      </w:r>
      <w:hyperlink r:id="rId10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1872/16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18.05.2017</w:t>
      </w:r>
      <w:r>
        <w:rPr>
          <w:rFonts w:cs="Century" w:ascii="Century" w:hAnsi="Century"/>
          <w:sz w:val="22"/>
          <w:rtl w:val="true"/>
        </w:rPr>
        <w:t>)) [</w:t>
      </w:r>
      <w:r>
        <w:rPr>
          <w:rFonts w:ascii="Century" w:hAnsi="Century" w:cs="Century"/>
          <w:sz w:val="22"/>
          <w:sz w:val="22"/>
          <w:rtl w:val="true"/>
        </w:rPr>
        <w:t xml:space="preserve">הדגשה במקור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 xml:space="preserve">.]. 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אין זה המקרה שלפנינו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המשפט המחוזי העדיף את חוות דעתה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מימון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פני חוות דעתו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שיזף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שבחן לעומקם של דברים את שתי חוות הדעת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שמע את עדויות המומחים והתרשם מהם באופן בלתי אמצעי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ניתח בהרחבה את חוות הדעת של המומחים מכאן ומכאן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לשיקולים שצוינו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הכשרתה ומומחיותה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מימון בנושא הנדון עדיפות על אלו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שיזף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כי זו בקיאה בספרות הרלבנטית בנושא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כי מסקנתה מתיישבת עם ספרות זו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היא הצליחה לספק הסברים משכנעים לעמדות מנוגדות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והשיבה לשאלות בעניין זה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באופן מושכל ומנומק ותוך הפנייה אל הספרות המקצועית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71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בנוסף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שני המומחים היו תמימי דעים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בהיעדר ממצאים חבלתיים כאמור כדי לשלול בהכרח את עיקרי תלונתה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נוכח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כי מקרה זה נמנה עם אותם מקרים בהם ראוי שערכאת הערעור תתערב בהכרעה של הערכאה הדיונית בין שני עדים מומחים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טרם סיום חלק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ראיתי לנכון להביא את דברי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למשמעות הראייתית של היעדר ממצאים חבלתיים בבדיקת קרום בתולין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הבתולין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לבתוליהן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אין זו הפעם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שטענות הגנה שעניינן היעדר ממצאים פורנזיים בקרום הבתולין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מגיעות לפתחו של בית משפט זה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כאשר המסקנה שעולה מעמדתם של עדים מומחים משני צדדי המתרס היא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אין בהיעדר ממצאים כאמור כדי לשלול או לאשש אמיתות תלונה של נפגעת עבירות מין </w:t>
      </w:r>
      <w:r>
        <w:rPr>
          <w:rFonts w:cs="Century" w:ascii="Century" w:hAnsi="Century"/>
          <w:sz w:val="22"/>
          <w:rtl w:val="true"/>
        </w:rPr>
        <w:t>(</w:t>
      </w:r>
      <w:hyperlink r:id="rId10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6080/20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21.07.2021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7281/14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26.09.2016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ראו גם ב</w:t>
      </w:r>
      <w:hyperlink r:id="rId10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8507/18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09.09.2020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שם דובר בריבוי עבירות מין אשר בוצעו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פני תקופת זמן ארוכה שנמשכה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נעלמו מעיניי הקשיים הנוגעים לבדיקת קרום בתולין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בהיבט המשפטי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ראייתי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הן בהיבט החברתי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אנושי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מעבר לשאלת תרומתן הראייתית של בדיקות </w:t>
      </w:r>
      <w:r>
        <w:rPr>
          <w:rFonts w:ascii="Century" w:hAnsi="Century" w:cs="Century"/>
          <w:sz w:val="22"/>
          <w:sz w:val="22"/>
          <w:rtl w:val="true"/>
        </w:rPr>
        <w:t>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נכפות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ילדות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ונשים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וידוא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בתוליהן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הגורמים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הרפואיים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תמיד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יודעים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בדיקה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משמשת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המשתמע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Times New Roman" w:ascii="Times New Roman" w:hAnsi="Times New Roman"/>
          <w:szCs w:val="24"/>
        </w:rPr>
        <w:t xml:space="preserve">Ranit Mishori et al., </w:t>
      </w:r>
      <w:r>
        <w:rPr>
          <w:rFonts w:cs="Times New Roman" w:ascii="Times New Roman" w:hAnsi="Times New Roman"/>
          <w:i/>
          <w:iCs/>
          <w:szCs w:val="24"/>
        </w:rPr>
        <w:t>The Little Tissue that Couldn't – Dispelling Myths about the Hymen's Role in Determining Sexual History and Assault</w:t>
      </w:r>
      <w:r>
        <w:rPr>
          <w:rFonts w:cs="Times New Roman" w:ascii="Times New Roman" w:hAnsi="Times New Roman"/>
          <w:szCs w:val="24"/>
        </w:rPr>
        <w:t xml:space="preserve">, 16(1) </w:t>
      </w:r>
      <w:r>
        <w:rPr>
          <w:rFonts w:cs="Times New Roman" w:ascii="Times New Roman" w:hAnsi="Times New Roman"/>
          <w:smallCaps/>
          <w:szCs w:val="24"/>
        </w:rPr>
        <w:t>Repro. Health</w:t>
      </w:r>
      <w:r>
        <w:rPr>
          <w:rFonts w:cs="Times New Roman" w:ascii="Times New Roman" w:hAnsi="Times New Roman"/>
          <w:szCs w:val="24"/>
        </w:rPr>
        <w:t xml:space="preserve"> (2019)</w:t>
      </w:r>
      <w:r>
        <w:rPr>
          <w:rFonts w:cs="Century" w:ascii="Century" w:hAnsi="Century"/>
          <w:sz w:val="22"/>
        </w:rPr>
        <w:t>;</w:t>
      </w:r>
      <w:r>
        <w:rPr>
          <w:rFonts w:cs="Times New Roman" w:ascii="Times New Roman" w:hAnsi="Times New Roman"/>
          <w:szCs w:val="24"/>
        </w:rPr>
        <w:t xml:space="preserve">Jim Anderst et al., </w:t>
      </w:r>
      <w:r>
        <w:rPr>
          <w:rFonts w:cs="Times New Roman" w:ascii="Times New Roman" w:hAnsi="Times New Roman"/>
          <w:i/>
          <w:iCs/>
          <w:szCs w:val="24"/>
        </w:rPr>
        <w:t>Reports of Repetitive Penile-Genital Penetration Often Have no Definitive Evidence of Penetration</w:t>
      </w:r>
      <w:r>
        <w:rPr>
          <w:rFonts w:cs="Times New Roman" w:ascii="Times New Roman" w:hAnsi="Times New Roman"/>
          <w:szCs w:val="24"/>
        </w:rPr>
        <w:t xml:space="preserve">, 124(3) </w:t>
      </w:r>
      <w:r>
        <w:rPr>
          <w:rFonts w:cs="Miriam" w:ascii="Century" w:hAnsi="Century"/>
          <w:bCs/>
          <w:smallCaps/>
          <w:spacing w:val="0"/>
          <w:sz w:val="22"/>
          <w:szCs w:val="24"/>
        </w:rPr>
        <w:t>Pediatrics</w:t>
      </w:r>
      <w:r>
        <w:rPr>
          <w:rFonts w:cs="Times New Roman" w:ascii="Times New Roman" w:hAnsi="Times New Roman"/>
          <w:szCs w:val="24"/>
        </w:rPr>
        <w:t xml:space="preserve"> 403 (2009)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לתצהיר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בין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מוסדי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סוכנויות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מטעם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האומות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המאוחדות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הקורא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לאסור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ביצוע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בדיקות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קרום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בתולין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Century" w:ascii="Century" w:hAnsi="Century"/>
          <w:sz w:val="22"/>
        </w:rPr>
        <w:t xml:space="preserve">World Health Organization, </w:t>
      </w:r>
      <w:r>
        <w:rPr>
          <w:rFonts w:cs="Century" w:ascii="Century" w:hAnsi="Century"/>
          <w:i/>
          <w:iCs/>
          <w:sz w:val="22"/>
        </w:rPr>
        <w:t>Eliminating Virginity Testing: An Interagency Statement</w:t>
      </w:r>
      <w:r>
        <w:rPr>
          <w:rFonts w:cs="Century" w:ascii="Century" w:hAnsi="Century"/>
          <w:sz w:val="22"/>
        </w:rPr>
        <w:t>, WHO/RHR/18.15 (2018)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למקרה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המתאר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רציחתה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איסמהאן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רסלאן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פעילותה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המינית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שהתגלתה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בעקבות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בדיקת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קרום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בתולין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שתוצאתה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הגיעה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לידיעת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1003/92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רסלאן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23.01.1997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משהגעתי למסקנה אליה הגעתי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בשים לב לדרך בה הגעתי אליה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סבורני כי אין מקום לקבוע מסמרות בעניין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בעת הזו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נכון להשאיר סוגיה זו בצריך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עיון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שאנו נותנים דעתנו להשלכות של בדיקה זו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tabs>
          <w:tab w:val="clear" w:pos="720"/>
        </w:tabs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סוף חלק זה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לו תשמע דעתי נדחה את הערעור על הכרעת 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השיג הן על מתחם הענישה שנקבע בעניינו</w:t>
      </w:r>
      <w:r>
        <w:rPr>
          <w:rtl w:val="true"/>
        </w:rPr>
        <w:t xml:space="preserve">, </w:t>
      </w:r>
      <w:r>
        <w:rPr>
          <w:rtl w:val="true"/>
        </w:rPr>
        <w:t>הן על העונש שהושת עליו בגדרו</w:t>
      </w:r>
      <w:r>
        <w:rPr>
          <w:rtl w:val="true"/>
        </w:rPr>
        <w:t xml:space="preserve">, </w:t>
      </w:r>
      <w:r>
        <w:rPr>
          <w:rtl w:val="true"/>
        </w:rPr>
        <w:t>תוך שהוא טען כי בית המשפט המחוזי לא ערך איזון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במלוא השיקולים שעליו לשקול בעת קביעת שני אלה</w:t>
      </w:r>
      <w:r>
        <w:rPr>
          <w:rtl w:val="true"/>
        </w:rPr>
        <w:t xml:space="preserve">. </w:t>
      </w:r>
      <w:r>
        <w:rPr>
          <w:rtl w:val="true"/>
        </w:rPr>
        <w:t>בפרט טען המערער</w:t>
      </w:r>
      <w:r>
        <w:rPr>
          <w:rtl w:val="true"/>
        </w:rPr>
        <w:t xml:space="preserve">, </w:t>
      </w:r>
      <w:r>
        <w:rPr>
          <w:rtl w:val="true"/>
        </w:rPr>
        <w:t>כי מתחם הענישה שנקבע אינו תואם את מדיניות הענישה המקובלת במקרים דומים</w:t>
      </w:r>
      <w:r>
        <w:rPr>
          <w:rtl w:val="true"/>
        </w:rPr>
        <w:t xml:space="preserve">; </w:t>
      </w:r>
      <w:r>
        <w:rPr>
          <w:rtl w:val="true"/>
        </w:rPr>
        <w:t>וכי בקביעת העונש</w:t>
      </w:r>
      <w:r>
        <w:rPr>
          <w:rtl w:val="true"/>
        </w:rPr>
        <w:t xml:space="preserve">, </w:t>
      </w:r>
      <w:r>
        <w:rPr>
          <w:rtl w:val="true"/>
        </w:rPr>
        <w:t>בית המשפט שקל לחובתו את בחירתו לעמוד על חפותו</w:t>
      </w:r>
      <w:r>
        <w:rPr>
          <w:rtl w:val="true"/>
        </w:rPr>
        <w:t xml:space="preserve">, </w:t>
      </w:r>
      <w:r>
        <w:rPr>
          <w:rtl w:val="true"/>
        </w:rPr>
        <w:t>ולא שקל לזכותו שיקולים לקולא הקיימים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כפי שצוין לא אחת בפסיקת בית משפט זה</w:t>
      </w:r>
      <w:r>
        <w:rPr>
          <w:rtl w:val="true"/>
        </w:rPr>
        <w:t xml:space="preserve">, </w:t>
      </w:r>
      <w:r>
        <w:rPr>
          <w:rtl w:val="true"/>
        </w:rPr>
        <w:t>בכל הנוגע לערעור על גזר דין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בוחנת בראש ובראשונה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העונשית</w:t>
      </w:r>
      <w:r>
        <w:rPr>
          <w:rtl w:val="true"/>
        </w:rPr>
        <w:t xml:space="preserve">; </w:t>
      </w:r>
      <w:r>
        <w:rPr>
          <w:rtl w:val="true"/>
        </w:rPr>
        <w:t>ואף אם שגתה הערכאה הדיונית באופן שהפעילה את מנגנון הבניית שיקול הדעת</w:t>
      </w:r>
      <w:r>
        <w:rPr>
          <w:rtl w:val="true"/>
        </w:rPr>
        <w:t xml:space="preserve">, </w:t>
      </w:r>
      <w:r>
        <w:rPr>
          <w:rtl w:val="true"/>
        </w:rPr>
        <w:t xml:space="preserve">שאומץ במסגרת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אין בכך כדי להצדיק את קבלת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כל עוד התוצאה העונשית אינה מצדיקה התערבות </w:t>
      </w:r>
      <w:r>
        <w:rPr>
          <w:rtl w:val="true"/>
        </w:rPr>
        <w:t>(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18.07.2022</w:t>
      </w:r>
      <w:r>
        <w:rPr>
          <w:rtl w:val="true"/>
        </w:rPr>
        <w:t xml:space="preserve">);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09.06.2016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התערבות ערכאת הערעור בגזר הדין שהשיתה הערכאה הדיונית תיעשה במשורה</w:t>
      </w:r>
      <w:r>
        <w:rPr>
          <w:rtl w:val="true"/>
        </w:rPr>
        <w:t xml:space="preserve">, </w:t>
      </w:r>
      <w:r>
        <w:rPr>
          <w:rtl w:val="true"/>
        </w:rPr>
        <w:t>במקרים בהם ניכרת חריגה קיצונית ובולטת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או לחלופין</w:t>
      </w:r>
      <w:r>
        <w:rPr>
          <w:rtl w:val="true"/>
        </w:rPr>
        <w:t xml:space="preserve">, </w:t>
      </w:r>
      <w:r>
        <w:rPr>
          <w:rtl w:val="true"/>
        </w:rPr>
        <w:t xml:space="preserve">כאשר נפלה טעות מהותית או בולטת בגזר הדין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14.07.2022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איני סבור כי התוצאה העונשית אליה הגיע בית המשפט המחוזי מצדיקה את התערבותנו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המערער הורשע בביצוע עבירות מהחמורות עלי ספר</w:t>
      </w:r>
      <w:r>
        <w:rPr>
          <w:rtl w:val="true"/>
        </w:rPr>
        <w:t xml:space="preserve">, </w:t>
      </w:r>
      <w:r>
        <w:rPr>
          <w:rtl w:val="true"/>
        </w:rPr>
        <w:t>מעשי מין שביצע בבתו הקטינה על</w:t>
      </w:r>
      <w:r>
        <w:rPr>
          <w:rtl w:val="true"/>
        </w:rPr>
        <w:t>-</w:t>
      </w:r>
      <w:r>
        <w:rPr>
          <w:rtl w:val="true"/>
        </w:rPr>
        <w:t>פני תקופה שנמשכה כשנה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ותוך שימוש באלימות נגדה</w:t>
      </w:r>
      <w:r>
        <w:rPr>
          <w:rtl w:val="true"/>
        </w:rPr>
        <w:t xml:space="preserve">. </w:t>
      </w:r>
      <w:r>
        <w:rPr>
          <w:rtl w:val="true"/>
        </w:rPr>
        <w:t>על החומרה הגלומה בביצוע עבירות מסוג זה</w:t>
      </w:r>
      <w:r>
        <w:rPr>
          <w:rtl w:val="true"/>
        </w:rPr>
        <w:t xml:space="preserve">, </w:t>
      </w:r>
      <w:r>
        <w:rPr>
          <w:rtl w:val="true"/>
        </w:rPr>
        <w:t>הפגם החברתי והמוסרי בכך</w:t>
      </w:r>
      <w:r>
        <w:rPr>
          <w:rtl w:val="true"/>
        </w:rPr>
        <w:t xml:space="preserve">, </w:t>
      </w:r>
      <w:r>
        <w:rPr>
          <w:rtl w:val="true"/>
        </w:rPr>
        <w:t>הנזקים שהן גורמות והצורך לבטא את הוקעתן בחומרת העונש עמדתי בעניין אחר</w:t>
      </w:r>
      <w:r>
        <w:rPr>
          <w:rtl w:val="true"/>
        </w:rPr>
        <w:t xml:space="preserve">, </w:t>
      </w:r>
      <w:r>
        <w:rPr>
          <w:rtl w:val="true"/>
        </w:rPr>
        <w:t>בצייני כך</w:t>
      </w:r>
      <w:r>
        <w:rPr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עבירות מין הן מהעבירות החמורות שב</w:t>
      </w:r>
      <w:hyperlink r:id="rId1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בכלל ועבירת האונס בפרט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באינוס יש משום חילול הגוף וכבוד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הפשטת אדם מאנושיותו וחרוב האוטונומיה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אנס משתמש בזולתו ככלי לסיפוק צרכיו ויצריו המיניים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הופך אותו מסובייקט לאובייקט שתכלית קיומו מתמצית בריצוי צרכיו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החברתית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>.</w:t>
      </w:r>
    </w:p>
    <w:p>
      <w:pPr>
        <w:pStyle w:val="Ruller5"/>
        <w:spacing w:before="240" w:after="240"/>
        <w:ind w:end="1282"/>
        <w:jc w:val="both"/>
        <w:rPr/>
      </w:pPr>
      <w:r>
        <w:rPr>
          <w:color w:val="000000"/>
          <w:rtl w:val="true"/>
        </w:rPr>
        <w:t>על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האינטרסים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שלמות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הגוף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והנפש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מחייבים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אונס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ישקף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הסלידה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ממעשים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הוקעתם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והעושים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ליחיד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ולרבים</w:t>
      </w:r>
      <w:r>
        <w:rPr>
          <w:rtl w:val="true"/>
        </w:rPr>
        <w:t>" (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20-19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30.06.2022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מצאתי כי יש בפסקי הדין</w:t>
      </w:r>
      <w:r>
        <w:rPr>
          <w:rtl w:val="true"/>
        </w:rPr>
        <w:t xml:space="preserve">, </w:t>
      </w:r>
      <w:r>
        <w:rPr>
          <w:rtl w:val="true"/>
        </w:rPr>
        <w:t>מהם מבקש המערער להיבנות</w:t>
      </w:r>
      <w:r>
        <w:rPr>
          <w:rtl w:val="true"/>
        </w:rPr>
        <w:t xml:space="preserve">, </w:t>
      </w:r>
      <w:r>
        <w:rPr>
          <w:rtl w:val="true"/>
        </w:rPr>
        <w:t>כדי להצדיק התערבות בעונשו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 עולה מהם כי העונש שהושת על המערער חורג באופן קיצוני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בשים לב לכך</w:t>
      </w:r>
      <w:r>
        <w:rPr>
          <w:rtl w:val="true"/>
        </w:rPr>
        <w:t xml:space="preserve">, </w:t>
      </w:r>
      <w:r>
        <w:rPr>
          <w:rtl w:val="true"/>
        </w:rPr>
        <w:t>שהנסיבות של אותם מקרים</w:t>
      </w:r>
      <w:r>
        <w:rPr>
          <w:rtl w:val="true"/>
        </w:rPr>
        <w:t xml:space="preserve">, </w:t>
      </w:r>
      <w:r>
        <w:rPr>
          <w:rtl w:val="true"/>
        </w:rPr>
        <w:t>שונות בתכלית מאלו שבמקרה שלפנינו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31.03.2021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18.08.2019</w:t>
      </w:r>
      <w:r>
        <w:rPr>
          <w:rtl w:val="true"/>
        </w:rPr>
        <w:t xml:space="preserve">) </w:t>
      </w:r>
      <w:r>
        <w:rPr>
          <w:rtl w:val="true"/>
        </w:rPr>
        <w:t>עבירות המין לא לוו במעשי אלימות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06.01.2021</w:t>
      </w:r>
      <w:r>
        <w:rPr>
          <w:rtl w:val="true"/>
        </w:rPr>
        <w:t xml:space="preserve">) </w:t>
      </w:r>
      <w:r>
        <w:rPr>
          <w:rtl w:val="true"/>
        </w:rPr>
        <w:t>הנאשם נטל אחריות על מעשיו במהלך הערעור ועבירות המין לא לוו במעשי אלימות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26.07.2016</w:t>
      </w:r>
      <w:r>
        <w:rPr>
          <w:rtl w:val="true"/>
        </w:rPr>
        <w:t xml:space="preserve">) </w:t>
      </w:r>
      <w:r>
        <w:rPr>
          <w:rtl w:val="true"/>
        </w:rPr>
        <w:t>לא הייתה קרבה משפחתית בין הנאשם ובין הנפגעת</w:t>
      </w:r>
      <w:r>
        <w:rPr>
          <w:rtl w:val="true"/>
        </w:rPr>
        <w:t xml:space="preserve">, </w:t>
      </w:r>
      <w:r>
        <w:rPr>
          <w:rtl w:val="true"/>
        </w:rPr>
        <w:t>ועבירות המין לא לוו במעשי אלימות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08.11.2021</w:t>
      </w:r>
      <w:r>
        <w:rPr>
          <w:rtl w:val="true"/>
        </w:rPr>
        <w:t xml:space="preserve">) </w:t>
      </w:r>
      <w:r>
        <w:rPr>
          <w:rtl w:val="true"/>
        </w:rPr>
        <w:t>לא הייתה קרבה משפחתית בין הנאשם ובין הנפגעים</w:t>
      </w:r>
      <w:r>
        <w:rPr>
          <w:rtl w:val="true"/>
        </w:rPr>
        <w:t xml:space="preserve">, </w:t>
      </w:r>
      <w:r>
        <w:rPr>
          <w:rtl w:val="true"/>
        </w:rPr>
        <w:t>עבירות המין לא לוו במעשי אלימות</w:t>
      </w:r>
      <w:r>
        <w:rPr>
          <w:rtl w:val="true"/>
        </w:rPr>
        <w:t xml:space="preserve">, </w:t>
      </w:r>
      <w:r>
        <w:rPr>
          <w:rtl w:val="true"/>
        </w:rPr>
        <w:t>הנאשם הודה במיוחס לו ועונשו 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נוכח הכלל לפיו ערכאת הערעור אינה נוהגת למצות את הדין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מלאכת הענישה לעולם תעשה בהתאם למידותיו הפרטניות של כל מקרה ומקרה</w:t>
      </w:r>
      <w:r>
        <w:rPr>
          <w:rtl w:val="true"/>
        </w:rPr>
        <w:t xml:space="preserve">, </w:t>
      </w:r>
      <w:r>
        <w:rPr>
          <w:rtl w:val="true"/>
        </w:rPr>
        <w:t>בהתבסס על מגוון רחב של שיקולים ונסיבות</w:t>
      </w:r>
      <w:r>
        <w:rPr>
          <w:rtl w:val="true"/>
        </w:rPr>
        <w:t xml:space="preserve">; </w:t>
      </w:r>
      <w:r>
        <w:rPr>
          <w:rtl w:val="true"/>
        </w:rPr>
        <w:t xml:space="preserve">ואין מקום להסיק מדיניות ענישה על סמך השוואה עם מספר מוגבל של מקרים אשר נסיבותיהם שונות </w:t>
      </w:r>
      <w:r>
        <w:rPr>
          <w:rtl w:val="true"/>
        </w:rPr>
        <w:t>(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03.09.2015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אף לא מצאתי ממש בטענתו של המערער</w:t>
      </w:r>
      <w:r>
        <w:rPr>
          <w:rtl w:val="true"/>
        </w:rPr>
        <w:t xml:space="preserve">, </w:t>
      </w:r>
      <w:r>
        <w:rPr>
          <w:rtl w:val="true"/>
        </w:rPr>
        <w:t>כי בית המשפט שקל לחובתו את בחירתו לכפור במיוחס לו ולנהל הליך הוכחות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צוין באופן ברור ושאינו משתמע לשני פנים כי </w:t>
      </w:r>
      <w:r>
        <w:rPr>
          <w:rtl w:val="true"/>
        </w:rPr>
        <w:t>"</w:t>
      </w:r>
      <w:r>
        <w:rPr>
          <w:rtl w:val="true"/>
        </w:rPr>
        <w:t xml:space="preserve">כפירה באשמה ובחירת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לנהל הוכחות לא תיזקף לחובתו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 ניתן לזקוף לזכותו</w:t>
      </w:r>
      <w:r>
        <w:rPr>
          <w:rtl w:val="true"/>
        </w:rPr>
        <w:t xml:space="preserve">... </w:t>
      </w:r>
      <w:r>
        <w:rPr>
          <w:rtl w:val="true"/>
        </w:rPr>
        <w:t>את הנסיבות הנגזרות מהודאה באשמה והבעת חרטה</w:t>
      </w:r>
      <w:r>
        <w:rPr>
          <w:rtl w:val="true"/>
        </w:rPr>
        <w:t>..." (</w:t>
      </w:r>
      <w:r>
        <w:rPr>
          <w:rtl w:val="true"/>
        </w:rPr>
        <w:t xml:space="preserve">עמוד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סבורני כי טענותיו של המערער בכל הנוגע לשיקולים לקולא אינן משוללות כל יסוד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 אף שטענותיו של המערער ביחס לשיקולים אלה קיבלו התייחסות בגזר הדין</w:t>
      </w:r>
      <w:r>
        <w:rPr>
          <w:rtl w:val="true"/>
        </w:rPr>
        <w:t xml:space="preserve">, </w:t>
      </w:r>
      <w:r>
        <w:rPr>
          <w:rtl w:val="true"/>
        </w:rPr>
        <w:t>נדרש היה לתת להן ביטוי בקביעת העונש</w:t>
      </w:r>
      <w:r>
        <w:rPr>
          <w:rtl w:val="true"/>
        </w:rPr>
        <w:t xml:space="preserve">. </w:t>
      </w:r>
      <w:r>
        <w:rPr>
          <w:rtl w:val="true"/>
        </w:rPr>
        <w:t>בהתאם לכך דומה</w:t>
      </w:r>
      <w:r>
        <w:rPr>
          <w:rtl w:val="true"/>
        </w:rPr>
        <w:t xml:space="preserve">, </w:t>
      </w:r>
      <w:r>
        <w:rPr>
          <w:rtl w:val="true"/>
        </w:rPr>
        <w:t xml:space="preserve">כי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 לא יושמו במלואן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בפרט חובת ההנמקה הקבועה </w:t>
      </w:r>
      <w:hyperlink r:id="rId1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יד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וכידוע</w:t>
      </w:r>
      <w:r>
        <w:rPr>
          <w:rtl w:val="true"/>
        </w:rPr>
        <w:t>, "</w:t>
      </w:r>
      <w:r>
        <w:rPr>
          <w:rtl w:val="true"/>
        </w:rPr>
        <w:t>התוצאה האופרטיבית של פסק הדין היא חשובה</w:t>
      </w:r>
      <w:r>
        <w:rPr>
          <w:rtl w:val="true"/>
        </w:rPr>
        <w:t xml:space="preserve">, </w:t>
      </w:r>
      <w:r>
        <w:rPr>
          <w:rtl w:val="true"/>
        </w:rPr>
        <w:t>אך גם הדרך שמובילה אליה</w:t>
      </w:r>
      <w:r>
        <w:rPr>
          <w:rtl w:val="true"/>
        </w:rPr>
        <w:t>..." (</w:t>
      </w:r>
      <w:r>
        <w:rPr>
          <w:rtl w:val="true"/>
        </w:rPr>
        <w:t>דפנה ברק</w:t>
      </w:r>
      <w:r>
        <w:rPr>
          <w:rtl w:val="true"/>
        </w:rPr>
        <w:t>-</w:t>
      </w:r>
      <w:hyperlink r:id="rId120">
        <w:r>
          <w:rPr>
            <w:rStyle w:val="Hyperlink"/>
            <w:color w:val="0000FF"/>
            <w:u w:val="single"/>
            <w:rtl w:val="true"/>
          </w:rPr>
          <w:t>ארז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ההנמקה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השיפוטית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דילמות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וחדשות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tl w:val="true"/>
        </w:rPr>
        <w:t xml:space="preserve"> נב </w:t>
      </w:r>
      <w:r>
        <w:rPr/>
        <w:t>1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(</w:t>
      </w:r>
      <w:r>
        <w:rPr/>
        <w:t>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אין די בכך כדי להצדיק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סטייה מהעונש שהושת על המערער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אין ביישום חלקי של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 xml:space="preserve">כדי לחייב התערבות של ערכאת הערעור בתוצאה אליה הגיעה הערכאה הדיונית </w:t>
      </w:r>
      <w:r>
        <w:rPr>
          <w:rtl w:val="true"/>
        </w:rPr>
        <w:t>(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);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08.06.2014</w:t>
      </w:r>
      <w:r>
        <w:rPr>
          <w:rtl w:val="true"/>
        </w:rPr>
        <w:t xml:space="preserve">),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בית המשפט המחוזי נימק את השיקולים שהביאו אותו לגזור את העונש</w:t>
      </w:r>
      <w:r>
        <w:rPr>
          <w:rtl w:val="true"/>
        </w:rPr>
        <w:t xml:space="preserve">, </w:t>
      </w:r>
      <w:r>
        <w:rPr>
          <w:rtl w:val="true"/>
        </w:rPr>
        <w:t>באופן ש</w:t>
      </w:r>
      <w:r>
        <w:rPr>
          <w:rtl w:val="true"/>
        </w:rPr>
        <w:t>"</w:t>
      </w:r>
      <w:r>
        <w:rPr>
          <w:rtl w:val="true"/>
        </w:rPr>
        <w:t>ניתן להעביר את גזר הדין תחת שבט הביקורת הערעורית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כך נעשה</w:t>
      </w:r>
      <w:r>
        <w:rPr>
          <w:rtl w:val="true"/>
        </w:rPr>
        <w:t xml:space="preserve">, </w:t>
      </w:r>
      <w:r>
        <w:rPr>
          <w:rtl w:val="true"/>
        </w:rPr>
        <w:t>כאשר הגעתי למסקנה כי העונש שהושת על המערער הולם ותואם את מדיניות הענישה הראויה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בשים לב לכך</w:t>
      </w:r>
      <w:r>
        <w:rPr>
          <w:rtl w:val="true"/>
        </w:rPr>
        <w:t xml:space="preserve">, </w:t>
      </w:r>
      <w:r>
        <w:rPr>
          <w:rtl w:val="true"/>
        </w:rPr>
        <w:t>שבקביעת עונשו של מי שהורשע בביצוע עבירות מין בקרובת משפחה שהיא קטינה</w:t>
      </w:r>
      <w:r>
        <w:rPr>
          <w:rtl w:val="true"/>
        </w:rPr>
        <w:t xml:space="preserve">, </w:t>
      </w:r>
      <w:r>
        <w:rPr>
          <w:rtl w:val="true"/>
        </w:rPr>
        <w:t>עלינו לתת את משקל הבכורה לשיקולים של גמול והרתעה</w:t>
      </w:r>
      <w:r>
        <w:rPr>
          <w:rtl w:val="true"/>
        </w:rPr>
        <w:t xml:space="preserve">, </w:t>
      </w:r>
      <w:r>
        <w:rPr>
          <w:rtl w:val="true"/>
        </w:rPr>
        <w:t xml:space="preserve">תוך מתן משקל מופחת לנסיבותיו האישיות של העבריין </w:t>
      </w:r>
      <w:r>
        <w:rPr>
          <w:rtl w:val="true"/>
        </w:rPr>
        <w:t>(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07.02.2022</w:t>
      </w:r>
      <w:r>
        <w:rPr>
          <w:rtl w:val="true"/>
        </w:rPr>
        <w:t xml:space="preserve">); 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5421/12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29.08.2013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ולו תשמע דעתי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נדחה גם את הערעור על גזר 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אציע לחברותיי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ולהותיר את פסק דינו של בית המשפט המחוזי על 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          </w:t>
      </w: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2" w:name="Nitan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5.1.2023</w:t>
      </w:r>
      <w:r>
        <w:rPr>
          <w:rFonts w:cs="Century" w:ascii="Century" w:hAnsi="Century"/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                                     ש ו פ ט ת                                            ש ו פ 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21060380</w:t>
      </w:r>
      <w:r>
        <w:rPr>
          <w:sz w:val="16"/>
          <w:rtl w:val="true"/>
        </w:rPr>
        <w:t>_</w:t>
      </w:r>
      <w:r>
        <w:rPr>
          <w:sz w:val="16"/>
        </w:rPr>
        <w:t>C06.docx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אמ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54678313-6038/21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7"/>
      <w:footerReference w:type="default" r:id="rId1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6038/21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8"/>
        <w:rFonts w:ascii="FrankRuehl" w:hAnsi="FrankRuehl" w:cs="FrankRueh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4"/>
      <w:szCs w:val="28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P00">
    <w:name w:val="P00 תו"/>
    <w:qFormat/>
    <w:rPr>
      <w:szCs w:val="26"/>
      <w:lang w:val="en-IL" w:eastAsia="en-IL"/>
    </w:rPr>
  </w:style>
  <w:style w:type="character" w:styleId="term1">
    <w:name w:val="term_1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smallcaps">
    <w:name w:val="smallcaps"/>
    <w:qFormat/>
    <w:rPr/>
  </w:style>
  <w:style w:type="character" w:styleId="a7">
    <w:name w:val="a7"/>
    <w:qFormat/>
    <w:rPr>
      <w:rFonts w:ascii="Miriam" w:hAnsi="Miriam" w:cs="Miriam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header-2">
    <w:name w:val="header-2"/>
    <w:basedOn w:val="Normal"/>
    <w:qFormat/>
    <w:pPr>
      <w:keepNext w:val="true"/>
      <w:keepLines/>
      <w:widowControl w:val="false"/>
      <w:suppressAutoHyphens w:val="true"/>
      <w:overflowPunct w:val="true"/>
      <w:spacing w:before="240" w:after="0"/>
      <w:ind w:hanging="0" w:start="2835" w:end="0"/>
      <w:jc w:val="center"/>
      <w:textAlignment w:val="auto"/>
    </w:pPr>
    <w:rPr>
      <w:rFonts w:cs="Times New Roman"/>
      <w:szCs w:val="20"/>
      <w:lang w:val="en-IL" w:eastAsia="en-IL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1">
    <w:name w:val="פיסקת רשימה1"/>
    <w:basedOn w:val="Normal"/>
    <w:qFormat/>
    <w:pPr>
      <w:overflowPunct w:val="true"/>
      <w:autoSpaceDE w:val="true"/>
      <w:spacing w:lineRule="auto" w:line="360" w:before="0" w:after="240"/>
      <w:ind w:hanging="425" w:start="720" w:end="0"/>
      <w:jc w:val="both"/>
      <w:textAlignment w:val="auto"/>
    </w:pPr>
    <w:rPr>
      <w:rFonts w:ascii="Calibri" w:hAnsi="Calibri" w:cs="Arial"/>
      <w:sz w:val="22"/>
      <w:szCs w:val="22"/>
    </w:rPr>
  </w:style>
  <w:style w:type="paragraph" w:styleId="p0011">
    <w:name w:val="p00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5">
    <w:name w:val="פיסקת רשימה5"/>
    <w:basedOn w:val="Normal"/>
    <w:qFormat/>
    <w:pPr>
      <w:overflowPunct w:val="true"/>
      <w:autoSpaceDE w:val="true"/>
      <w:spacing w:lineRule="auto" w:line="360" w:before="0" w:after="240"/>
      <w:ind w:hanging="425" w:start="720" w:end="0"/>
      <w:jc w:val="both"/>
      <w:textAlignment w:val="auto"/>
    </w:pPr>
    <w:rPr>
      <w:rFonts w:ascii="Calibri" w:hAnsi="Calibri" w:cs="Arial"/>
      <w:sz w:val="22"/>
      <w:szCs w:val="22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פסקה לא ממוספרת"/>
    <w:basedOn w:val="Ruller41"/>
    <w:qFormat/>
    <w:pPr>
      <w:overflowPunct w:val="true"/>
      <w:autoSpaceDE w:val="true"/>
      <w:bidi w:val="0"/>
      <w:spacing w:before="240" w:after="420"/>
      <w:ind w:firstLine="799" w:start="0" w:end="0"/>
      <w:textAlignment w:val="auto"/>
    </w:pPr>
    <w:rPr>
      <w:rFonts w:ascii="Garamond" w:hAnsi="Garamond" w:cs="Garamond"/>
      <w:sz w:val="24"/>
    </w:rPr>
  </w:style>
  <w:style w:type="paragraph" w:styleId="Style15">
    <w:name w:val="פסקה ממוספרת"/>
    <w:basedOn w:val="Style14"/>
    <w:next w:val="Style14"/>
    <w:qFormat/>
    <w:pPr>
      <w:ind w:hanging="0" w:start="0" w:end="0"/>
    </w:pPr>
    <w:rPr/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72766" TargetMode="External"/><Relationship Id="rId3" Type="http://schemas.openxmlformats.org/officeDocument/2006/relationships/hyperlink" Target="http://www.nevo.co.il/safrut/book/49165" TargetMode="External"/><Relationship Id="rId4" Type="http://schemas.openxmlformats.org/officeDocument/2006/relationships/hyperlink" Target="http://www.nevo.co.il/safrut/book/49165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safrut/bookgroup/215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a.3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51.c.2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.b.2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40jd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53" TargetMode="External"/><Relationship Id="rId21" Type="http://schemas.openxmlformats.org/officeDocument/2006/relationships/hyperlink" Target="http://www.nevo.co.il/law/98569/54a.b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212" TargetMode="External"/><Relationship Id="rId24" Type="http://schemas.openxmlformats.org/officeDocument/2006/relationships/hyperlink" Target="http://www.nevo.co.il/case/26072766" TargetMode="External"/><Relationship Id="rId25" Type="http://schemas.openxmlformats.org/officeDocument/2006/relationships/hyperlink" Target="http://www.nevo.co.il/law/70301/351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345.a.3" TargetMode="External"/><Relationship Id="rId29" Type="http://schemas.openxmlformats.org/officeDocument/2006/relationships/hyperlink" Target="http://www.nevo.co.il/law/70301/351.a" TargetMode="External"/><Relationship Id="rId30" Type="http://schemas.openxmlformats.org/officeDocument/2006/relationships/hyperlink" Target="http://www.nevo.co.il/law/70301/347.b" TargetMode="External"/><Relationship Id="rId3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/351.c.2" TargetMode="External"/><Relationship Id="rId34" Type="http://schemas.openxmlformats.org/officeDocument/2006/relationships/hyperlink" Target="http://www.nevo.co.il/law/70301/348.b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01/379" TargetMode="External"/><Relationship Id="rId38" Type="http://schemas.openxmlformats.org/officeDocument/2006/relationships/hyperlink" Target="http://www.nevo.co.il/law/70301/382.b.2" TargetMode="External"/><Relationship Id="rId39" Type="http://schemas.openxmlformats.org/officeDocument/2006/relationships/hyperlink" Target="http://www.nevo.co.il/law/98569/54a.b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law/70301/40jc" TargetMode="External"/><Relationship Id="rId42" Type="http://schemas.openxmlformats.org/officeDocument/2006/relationships/hyperlink" Target="http://www.nevo.co.il/law/98569/53" TargetMode="External"/><Relationship Id="rId43" Type="http://schemas.openxmlformats.org/officeDocument/2006/relationships/hyperlink" Target="http://www.nevo.co.il/case/27499271" TargetMode="External"/><Relationship Id="rId44" Type="http://schemas.openxmlformats.org/officeDocument/2006/relationships/hyperlink" Target="http://www.nevo.co.il/case/27513386" TargetMode="External"/><Relationship Id="rId45" Type="http://schemas.openxmlformats.org/officeDocument/2006/relationships/hyperlink" Target="http://www.nevo.co.il/case/28384638" TargetMode="External"/><Relationship Id="rId46" Type="http://schemas.openxmlformats.org/officeDocument/2006/relationships/hyperlink" Target="http://www.nevo.co.il/case/27555147" TargetMode="External"/><Relationship Id="rId47" Type="http://schemas.openxmlformats.org/officeDocument/2006/relationships/hyperlink" Target="http://www.nevo.co.il/case/27555147" TargetMode="External"/><Relationship Id="rId48" Type="http://schemas.openxmlformats.org/officeDocument/2006/relationships/hyperlink" Target="http://www.nevo.co.il/case/6241043" TargetMode="External"/><Relationship Id="rId49" Type="http://schemas.openxmlformats.org/officeDocument/2006/relationships/hyperlink" Target="http://www.nevo.co.il/case/5583846" TargetMode="External"/><Relationship Id="rId50" Type="http://schemas.openxmlformats.org/officeDocument/2006/relationships/hyperlink" Target="http://www.nevo.co.il/case/27555147" TargetMode="External"/><Relationship Id="rId51" Type="http://schemas.openxmlformats.org/officeDocument/2006/relationships/hyperlink" Target="http://www.nevo.co.il/case/5951406" TargetMode="External"/><Relationship Id="rId52" Type="http://schemas.openxmlformats.org/officeDocument/2006/relationships/hyperlink" Target="http://www.nevo.co.il/case/5603199" TargetMode="External"/><Relationship Id="rId53" Type="http://schemas.openxmlformats.org/officeDocument/2006/relationships/hyperlink" Target="http://www.nevo.co.il/case/5896936" TargetMode="External"/><Relationship Id="rId54" Type="http://schemas.openxmlformats.org/officeDocument/2006/relationships/hyperlink" Target="http://www.nevo.co.il/case/5896936" TargetMode="External"/><Relationship Id="rId55" Type="http://schemas.openxmlformats.org/officeDocument/2006/relationships/hyperlink" Target="http://www.nevo.co.il/law/74903/212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case/6151033" TargetMode="External"/><Relationship Id="rId58" Type="http://schemas.openxmlformats.org/officeDocument/2006/relationships/hyperlink" Target="http://www.nevo.co.il/law/98569" TargetMode="External"/><Relationship Id="rId59" Type="http://schemas.openxmlformats.org/officeDocument/2006/relationships/hyperlink" Target="http://www.nevo.co.il/law/98569/54a.b" TargetMode="External"/><Relationship Id="rId60" Type="http://schemas.openxmlformats.org/officeDocument/2006/relationships/hyperlink" Target="http://www.nevo.co.il/case/27245032" TargetMode="External"/><Relationship Id="rId61" Type="http://schemas.openxmlformats.org/officeDocument/2006/relationships/hyperlink" Target="http://www.nevo.co.il/case/27245032" TargetMode="External"/><Relationship Id="rId62" Type="http://schemas.openxmlformats.org/officeDocument/2006/relationships/hyperlink" Target="http://www.nevo.co.il/case/17929311" TargetMode="External"/><Relationship Id="rId63" Type="http://schemas.openxmlformats.org/officeDocument/2006/relationships/hyperlink" Target="http://www.nevo.co.il/case/6246452" TargetMode="External"/><Relationship Id="rId64" Type="http://schemas.openxmlformats.org/officeDocument/2006/relationships/hyperlink" Target="http://www.nevo.co.il/case/6246452" TargetMode="External"/><Relationship Id="rId65" Type="http://schemas.openxmlformats.org/officeDocument/2006/relationships/hyperlink" Target="http://www.nevo.co.il/case/6199917" TargetMode="External"/><Relationship Id="rId66" Type="http://schemas.openxmlformats.org/officeDocument/2006/relationships/hyperlink" Target="http://www.nevo.co.il/case/6199917" TargetMode="External"/><Relationship Id="rId67" Type="http://schemas.openxmlformats.org/officeDocument/2006/relationships/hyperlink" Target="http://www.nevo.co.il/case/27132106" TargetMode="External"/><Relationship Id="rId68" Type="http://schemas.openxmlformats.org/officeDocument/2006/relationships/hyperlink" Target="http://www.nevo.co.il/law/98569/53" TargetMode="External"/><Relationship Id="rId69" Type="http://schemas.openxmlformats.org/officeDocument/2006/relationships/hyperlink" Target="http://www.nevo.co.il/case/6199917" TargetMode="External"/><Relationship Id="rId70" Type="http://schemas.openxmlformats.org/officeDocument/2006/relationships/hyperlink" Target="http://www.nevo.co.il/case/18742532" TargetMode="External"/><Relationship Id="rId71" Type="http://schemas.openxmlformats.org/officeDocument/2006/relationships/hyperlink" Target="http://www.nevo.co.il/case/6246452" TargetMode="External"/><Relationship Id="rId72" Type="http://schemas.openxmlformats.org/officeDocument/2006/relationships/hyperlink" Target="http://www.nevo.co.il/case/27555147" TargetMode="External"/><Relationship Id="rId73" Type="http://schemas.openxmlformats.org/officeDocument/2006/relationships/hyperlink" Target="http://www.nevo.co.il/case/2445330" TargetMode="External"/><Relationship Id="rId74" Type="http://schemas.openxmlformats.org/officeDocument/2006/relationships/hyperlink" Target="http://www.nevo.co.il/case/7697245" TargetMode="External"/><Relationship Id="rId75" Type="http://schemas.openxmlformats.org/officeDocument/2006/relationships/hyperlink" Target="http://www.nevo.co.il/case/17926072" TargetMode="External"/><Relationship Id="rId76" Type="http://schemas.openxmlformats.org/officeDocument/2006/relationships/hyperlink" Target="http://www.nevo.co.il/case/20301760" TargetMode="External"/><Relationship Id="rId77" Type="http://schemas.openxmlformats.org/officeDocument/2006/relationships/hyperlink" Target="http://www.nevo.co.il/case/17942669" TargetMode="External"/><Relationship Id="rId78" Type="http://schemas.openxmlformats.org/officeDocument/2006/relationships/hyperlink" Target="http://www.nevo.co.il/law/98569/54a.b" TargetMode="External"/><Relationship Id="rId79" Type="http://schemas.openxmlformats.org/officeDocument/2006/relationships/hyperlink" Target="http://www.nevo.co.il/law/70301/40jc" TargetMode="External"/><Relationship Id="rId80" Type="http://schemas.openxmlformats.org/officeDocument/2006/relationships/hyperlink" Target="http://www.nevo.co.il/case/6057204" TargetMode="External"/><Relationship Id="rId81" Type="http://schemas.openxmlformats.org/officeDocument/2006/relationships/hyperlink" Target="http://www.nevo.co.il/case/18773775" TargetMode="External"/><Relationship Id="rId82" Type="http://schemas.openxmlformats.org/officeDocument/2006/relationships/hyperlink" Target="http://www.nevo.co.il/case/5971479" TargetMode="External"/><Relationship Id="rId83" Type="http://schemas.openxmlformats.org/officeDocument/2006/relationships/hyperlink" Target="http://www.nevo.co.il/case/5896936" TargetMode="External"/><Relationship Id="rId84" Type="http://schemas.openxmlformats.org/officeDocument/2006/relationships/hyperlink" Target="http://www.nevo.co.il/case/7980154" TargetMode="External"/><Relationship Id="rId85" Type="http://schemas.openxmlformats.org/officeDocument/2006/relationships/hyperlink" Target="http://www.nevo.co.il/case/20787915" TargetMode="External"/><Relationship Id="rId86" Type="http://schemas.openxmlformats.org/officeDocument/2006/relationships/hyperlink" Target="http://www.nevo.co.il/case/17910663" TargetMode="External"/><Relationship Id="rId87" Type="http://schemas.openxmlformats.org/officeDocument/2006/relationships/hyperlink" Target="http://www.nevo.co.il/case/26875535" TargetMode="External"/><Relationship Id="rId88" Type="http://schemas.openxmlformats.org/officeDocument/2006/relationships/hyperlink" Target="http://www.nevo.co.il/case/27245032" TargetMode="External"/><Relationship Id="rId89" Type="http://schemas.openxmlformats.org/officeDocument/2006/relationships/hyperlink" Target="http://www.nevo.co.il/case/6246452" TargetMode="External"/><Relationship Id="rId90" Type="http://schemas.openxmlformats.org/officeDocument/2006/relationships/hyperlink" Target="http://www.nevo.co.il/law/98569/54a.b" TargetMode="External"/><Relationship Id="rId91" Type="http://schemas.openxmlformats.org/officeDocument/2006/relationships/hyperlink" Target="http://www.nevo.co.il/case/27652842" TargetMode="External"/><Relationship Id="rId92" Type="http://schemas.openxmlformats.org/officeDocument/2006/relationships/hyperlink" Target="http://www.nevo.co.il/case/5739234" TargetMode="External"/><Relationship Id="rId93" Type="http://schemas.openxmlformats.org/officeDocument/2006/relationships/hyperlink" Target="http://www.nevo.co.il/safrut/bookgroup/2156" TargetMode="External"/><Relationship Id="rId94" Type="http://schemas.openxmlformats.org/officeDocument/2006/relationships/hyperlink" Target="http://www.nevo.co.il/case/25274374" TargetMode="External"/><Relationship Id="rId95" Type="http://schemas.openxmlformats.org/officeDocument/2006/relationships/hyperlink" Target="http://www.nevo.co.il/safrut/bookgroup/2156" TargetMode="External"/><Relationship Id="rId96" Type="http://schemas.openxmlformats.org/officeDocument/2006/relationships/hyperlink" Target="http://www.nevo.co.il/case/5787186" TargetMode="External"/><Relationship Id="rId97" Type="http://schemas.openxmlformats.org/officeDocument/2006/relationships/hyperlink" Target="http://www.nevo.co.il/case/5918237" TargetMode="External"/><Relationship Id="rId98" Type="http://schemas.openxmlformats.org/officeDocument/2006/relationships/hyperlink" Target="http://www.nevo.co.il/case/5694020" TargetMode="External"/><Relationship Id="rId99" Type="http://schemas.openxmlformats.org/officeDocument/2006/relationships/hyperlink" Target="http://www.nevo.co.il/case/17913523" TargetMode="External"/><Relationship Id="rId100" Type="http://schemas.openxmlformats.org/officeDocument/2006/relationships/hyperlink" Target="http://www.nevo.co.il/case/18715274" TargetMode="External"/><Relationship Id="rId101" Type="http://schemas.openxmlformats.org/officeDocument/2006/relationships/hyperlink" Target="http://www.nevo.co.il/case/5768375" TargetMode="External"/><Relationship Id="rId102" Type="http://schemas.openxmlformats.org/officeDocument/2006/relationships/hyperlink" Target="http://www.nevo.co.il/case/22079573" TargetMode="External"/><Relationship Id="rId103" Type="http://schemas.openxmlformats.org/officeDocument/2006/relationships/hyperlink" Target="http://www.nevo.co.il/case/21015204" TargetMode="External"/><Relationship Id="rId104" Type="http://schemas.openxmlformats.org/officeDocument/2006/relationships/hyperlink" Target="http://www.nevo.co.il/case/26964729" TargetMode="External"/><Relationship Id="rId105" Type="http://schemas.openxmlformats.org/officeDocument/2006/relationships/hyperlink" Target="http://www.nevo.co.il/case/20613534" TargetMode="External"/><Relationship Id="rId106" Type="http://schemas.openxmlformats.org/officeDocument/2006/relationships/hyperlink" Target="http://www.nevo.co.il/case/25195360" TargetMode="External"/><Relationship Id="rId107" Type="http://schemas.openxmlformats.org/officeDocument/2006/relationships/hyperlink" Target="http://www.nevo.co.il/case/17910193" TargetMode="External"/><Relationship Id="rId108" Type="http://schemas.openxmlformats.org/officeDocument/2006/relationships/hyperlink" Target="http://www.nevo.co.il/case/27922123" TargetMode="External"/><Relationship Id="rId109" Type="http://schemas.openxmlformats.org/officeDocument/2006/relationships/hyperlink" Target="http://www.nevo.co.il/case/20683368" TargetMode="External"/><Relationship Id="rId110" Type="http://schemas.openxmlformats.org/officeDocument/2006/relationships/hyperlink" Target="http://www.nevo.co.il/case/28092428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case/27980952" TargetMode="External"/><Relationship Id="rId113" Type="http://schemas.openxmlformats.org/officeDocument/2006/relationships/hyperlink" Target="http://www.nevo.co.il/case/26538274" TargetMode="External"/><Relationship Id="rId114" Type="http://schemas.openxmlformats.org/officeDocument/2006/relationships/hyperlink" Target="http://www.nevo.co.il/case/22505618" TargetMode="External"/><Relationship Id="rId115" Type="http://schemas.openxmlformats.org/officeDocument/2006/relationships/hyperlink" Target="http://www.nevo.co.il/case/24263397" TargetMode="External"/><Relationship Id="rId116" Type="http://schemas.openxmlformats.org/officeDocument/2006/relationships/hyperlink" Target="http://www.nevo.co.il/case/18080699" TargetMode="External"/><Relationship Id="rId117" Type="http://schemas.openxmlformats.org/officeDocument/2006/relationships/hyperlink" Target="http://www.nevo.co.il/case/27513365" TargetMode="External"/><Relationship Id="rId118" Type="http://schemas.openxmlformats.org/officeDocument/2006/relationships/hyperlink" Target="http://www.nevo.co.il/case/16948372" TargetMode="External"/><Relationship Id="rId119" Type="http://schemas.openxmlformats.org/officeDocument/2006/relationships/hyperlink" Target="http://www.nevo.co.il/law/70301/40jd" TargetMode="External"/><Relationship Id="rId120" Type="http://schemas.openxmlformats.org/officeDocument/2006/relationships/hyperlink" Target="http://www.nevo.co.il/safrut/book/49165" TargetMode="External"/><Relationship Id="rId121" Type="http://schemas.openxmlformats.org/officeDocument/2006/relationships/hyperlink" Target="http://www.nevo.co.il/case/7667132" TargetMode="External"/><Relationship Id="rId122" Type="http://schemas.openxmlformats.org/officeDocument/2006/relationships/hyperlink" Target="http://www.nevo.co.il/case/13055021" TargetMode="External"/><Relationship Id="rId123" Type="http://schemas.openxmlformats.org/officeDocument/2006/relationships/hyperlink" Target="http://www.nevo.co.il/case/26830322" TargetMode="External"/><Relationship Id="rId124" Type="http://schemas.openxmlformats.org/officeDocument/2006/relationships/hyperlink" Target="http://www.nevo.co.il/case/6246338" TargetMode="External"/><Relationship Id="rId125" Type="http://schemas.openxmlformats.org/officeDocument/2006/relationships/hyperlink" Target="https://supreme.court.gov.il/" TargetMode="External"/><Relationship Id="rId126" Type="http://schemas.openxmlformats.org/officeDocument/2006/relationships/hyperlink" Target="http://www.nevo.co.il/advertisements/nevo-100.doc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numbering" Target="numbering.xml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2023-01-08T10:44:00Z</dcterms:created>
  <dc:creator>h4</dc:creator>
  <dc:description/>
  <cp:keywords/>
  <dc:language>en-IL</dc:language>
  <cp:lastModifiedBy>hofit</cp:lastModifiedBy>
  <cp:lastPrinted>2023-01-05T09:03:00Z</cp:lastPrinted>
  <dcterms:modified xsi:type="dcterms:W3CDTF">2023-01-08T10:44:00Z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2156:2</vt:lpwstr>
  </property>
  <property fmtid="{D5CDD505-2E9C-101B-9397-08002B2CF9AE}" pid="9" name="BOOKLISTTMP1">
    <vt:lpwstr>49165</vt:lpwstr>
  </property>
  <property fmtid="{D5CDD505-2E9C-101B-9397-08002B2CF9AE}" pid="10" name="CASESLISTTMP1">
    <vt:lpwstr>26072766:2;27499271;27513386;28384638;27555147:4;6241043;5583846;5951406;5603199;5896936:3;6151033;27245032:3;17929311;6246452:4;6199917:3;27132106;18742532;2445330;7697245;17926072;20301760;17942669;6057204;18773775;5971479;7980154;20787915;17910663</vt:lpwstr>
  </property>
  <property fmtid="{D5CDD505-2E9C-101B-9397-08002B2CF9AE}" pid="11" name="CASESLISTTMP2">
    <vt:lpwstr>26875535;27652842;5739234;25274374;5787186;5918237;5694020;17913523;18715274;5768375;22079573;21015204;26964729;20613534;25195360;17910193;27922123;20683368;28092428;27980952;26538274;22505618;24263397;18080699;27513365;16948372;7667132;13055021</vt:lpwstr>
  </property>
  <property fmtid="{D5CDD505-2E9C-101B-9397-08002B2CF9AE}" pid="12" name="CASESLISTTMP3">
    <vt:lpwstr>26830322;6246338</vt:lpwstr>
  </property>
  <property fmtid="{D5CDD505-2E9C-101B-9397-08002B2CF9AE}" pid="13" name="CITY">
    <vt:lpwstr/>
  </property>
  <property fmtid="{D5CDD505-2E9C-101B-9397-08002B2CF9AE}" pid="14" name="DATE">
    <vt:lpwstr>20230105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ע' ברון;ג' כנפי שטייניץ;ח' כבוב</vt:lpwstr>
  </property>
  <property fmtid="{D5CDD505-2E9C-101B-9397-08002B2CF9AE}" pid="18" name="LAWLISTTMP1">
    <vt:lpwstr>70301/351.a:2;345.a.1:3;345.a.3;347.b;345.b.1:2;351.c.2;348.b;379;382.b.2;40jc:2;40jd</vt:lpwstr>
  </property>
  <property fmtid="{D5CDD505-2E9C-101B-9397-08002B2CF9AE}" pid="19" name="LAWLISTTMP2">
    <vt:lpwstr>98569/054a.b:4;053:2</vt:lpwstr>
  </property>
  <property fmtid="{D5CDD505-2E9C-101B-9397-08002B2CF9AE}" pid="20" name="LAWLISTTMP3">
    <vt:lpwstr>74903/212</vt:lpwstr>
  </property>
  <property fmtid="{D5CDD505-2E9C-101B-9397-08002B2CF9AE}" pid="21" name="LAWYER">
    <vt:lpwstr>נועה עזרא רחמני;אורי דייגי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דיון פלילי</vt:lpwstr>
  </property>
  <property fmtid="{D5CDD505-2E9C-101B-9397-08002B2CF9AE}" pid="33" name="NOSE110">
    <vt:lpwstr/>
  </property>
  <property fmtid="{D5CDD505-2E9C-101B-9397-08002B2CF9AE}" pid="34" name="NOSE12">
    <vt:lpwstr>דיון פלילי</vt:lpwstr>
  </property>
  <property fmtid="{D5CDD505-2E9C-101B-9397-08002B2CF9AE}" pid="35" name="NOSE13">
    <vt:lpwstr>ראיות</vt:lpwstr>
  </property>
  <property fmtid="{D5CDD505-2E9C-101B-9397-08002B2CF9AE}" pid="36" name="NOSE14">
    <vt:lpwstr>ראיות</vt:lpwstr>
  </property>
  <property fmtid="{D5CDD505-2E9C-101B-9397-08002B2CF9AE}" pid="37" name="NOSE15">
    <vt:lpwstr>ראיות</vt:lpwstr>
  </property>
  <property fmtid="{D5CDD505-2E9C-101B-9397-08002B2CF9AE}" pid="38" name="NOSE16">
    <vt:lpwstr>עונשין</vt:lpwstr>
  </property>
  <property fmtid="{D5CDD505-2E9C-101B-9397-08002B2CF9AE}" pid="39" name="NOSE17">
    <vt:lpwstr>עונשין</vt:lpwstr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18;18;89;89;89;77;77</vt:lpwstr>
  </property>
  <property fmtid="{D5CDD505-2E9C-101B-9397-08002B2CF9AE}" pid="43" name="NOSE21">
    <vt:lpwstr>ערעור</vt:lpwstr>
  </property>
  <property fmtid="{D5CDD505-2E9C-101B-9397-08002B2CF9AE}" pid="44" name="NOSE210">
    <vt:lpwstr/>
  </property>
  <property fmtid="{D5CDD505-2E9C-101B-9397-08002B2CF9AE}" pid="45" name="NOSE22">
    <vt:lpwstr>ערעור</vt:lpwstr>
  </property>
  <property fmtid="{D5CDD505-2E9C-101B-9397-08002B2CF9AE}" pid="46" name="NOSE23">
    <vt:lpwstr>עדות</vt:lpwstr>
  </property>
  <property fmtid="{D5CDD505-2E9C-101B-9397-08002B2CF9AE}" pid="47" name="NOSE24">
    <vt:lpwstr>מהימנות</vt:lpwstr>
  </property>
  <property fmtid="{D5CDD505-2E9C-101B-9397-08002B2CF9AE}" pid="48" name="NOSE25">
    <vt:lpwstr>מהימנות</vt:lpwstr>
  </property>
  <property fmtid="{D5CDD505-2E9C-101B-9397-08002B2CF9AE}" pid="49" name="NOSE26">
    <vt:lpwstr>ענישה</vt:lpwstr>
  </property>
  <property fmtid="{D5CDD505-2E9C-101B-9397-08002B2CF9AE}" pid="50" name="NOSE27">
    <vt:lpwstr>ענישה</vt:lpwstr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504;504;1654;1635;1635;1446;1446</vt:lpwstr>
  </property>
  <property fmtid="{D5CDD505-2E9C-101B-9397-08002B2CF9AE}" pid="54" name="NOSE31">
    <vt:lpwstr>אי-התערבות בממצאים עובדתיים</vt:lpwstr>
  </property>
  <property fmtid="{D5CDD505-2E9C-101B-9397-08002B2CF9AE}" pid="55" name="NOSE310">
    <vt:lpwstr/>
  </property>
  <property fmtid="{D5CDD505-2E9C-101B-9397-08002B2CF9AE}" pid="56" name="NOSE32">
    <vt:lpwstr>אי-התערבות בהכרעה בין חוות דעת</vt:lpwstr>
  </property>
  <property fmtid="{D5CDD505-2E9C-101B-9397-08002B2CF9AE}" pid="57" name="NOSE33">
    <vt:lpwstr>קורבן עבירת מין</vt:lpwstr>
  </property>
  <property fmtid="{D5CDD505-2E9C-101B-9397-08002B2CF9AE}" pid="58" name="NOSE34">
    <vt:lpwstr>בחינתה על-ידי ערכאת הערעור</vt:lpwstr>
  </property>
  <property fmtid="{D5CDD505-2E9C-101B-9397-08002B2CF9AE}" pid="59" name="NOSE35">
    <vt:lpwstr>סתירות</vt:lpwstr>
  </property>
  <property fmtid="{D5CDD505-2E9C-101B-9397-08002B2CF9AE}" pid="60" name="NOSE36">
    <vt:lpwstr>מדיניות ענישה: עבירות מין בקטינים</vt:lpwstr>
  </property>
  <property fmtid="{D5CDD505-2E9C-101B-9397-08002B2CF9AE}" pid="61" name="NOSE37">
    <vt:lpwstr>מדיניות ענישה: עבירות מין במשפחה</vt:lpwstr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3849;17424;12270;10196;16884;16970;16241</vt:lpwstr>
  </property>
  <property fmtid="{D5CDD505-2E9C-101B-9397-08002B2CF9AE}" pid="65" name="PADIDATE">
    <vt:lpwstr>20230108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6038</vt:lpwstr>
  </property>
  <property fmtid="{D5CDD505-2E9C-101B-9397-08002B2CF9AE}" pid="71" name="PROCYEAR">
    <vt:lpwstr>21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410120230105</vt:lpwstr>
  </property>
  <property fmtid="{D5CDD505-2E9C-101B-9397-08002B2CF9AE}" pid="75" name="TYPE_N_DATE">
    <vt:lpwstr>41020230105</vt:lpwstr>
  </property>
  <property fmtid="{D5CDD505-2E9C-101B-9397-08002B2CF9AE}" pid="76" name="VOLUME">
    <vt:lpwstr/>
  </property>
  <property fmtid="{D5CDD505-2E9C-101B-9397-08002B2CF9AE}" pid="77" name="WORDNUMPAGES">
    <vt:lpwstr>35</vt:lpwstr>
  </property>
</Properties>
</file>