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6056/18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</w:t>
            </w:r>
            <w:r>
              <w:rPr>
                <w:rFonts w:ascii="David" w:hAnsi="David"/>
                <w:rtl w:val="true"/>
              </w:rPr>
              <w:t>בקש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די</w:t>
            </w:r>
            <w:r>
              <w:rPr>
                <w:sz w:val="24"/>
                <w:sz w:val="24"/>
                <w:szCs w:val="24"/>
                <w:rtl w:val="true"/>
              </w:rPr>
              <w:t>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57357-12-17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14.06.2018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31.03.2019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</w:t>
            </w:r>
            <w:r>
              <w:rPr>
                <w:rtl w:val="true"/>
              </w:rPr>
              <w:t>בקש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זעירא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</w:t>
            </w:r>
            <w:r>
              <w:rPr>
                <w:rtl w:val="true"/>
              </w:rPr>
              <w:t>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גזר הדין שהושת על המערער בגין הרשעתו בשוד קשישה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38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אין זה מקרה חריג המצדיק 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עמידה על הצורך בגזירת עונשים מחמירים בעבירות של שוד קשישים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כך שהעונש איננו חורג מרף הענישה המקובל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אין שום שיקול המצדיק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נגד קשישים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שוד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הדין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אשר השית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עונשים כדלקמן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6"/>
        </w:rPr>
        <w:t>38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מאסרים 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פיצויים לטובת נפגעת העבירה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של </w:t>
      </w:r>
      <w:r>
        <w:rPr>
          <w:rFonts w:cs="Times New Roman" w:ascii="Times New Roman" w:hAnsi="Times New Roman"/>
          <w:spacing w:val="0"/>
          <w:szCs w:val="26"/>
        </w:rPr>
        <w:t>7,000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וקנס בגובה </w:t>
      </w:r>
      <w:r>
        <w:rPr>
          <w:rFonts w:cs="Times New Roman" w:ascii="Times New Roman" w:hAnsi="Times New Roman"/>
          <w:spacing w:val="0"/>
          <w:szCs w:val="26"/>
        </w:rPr>
        <w:t>1,500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ימי מאסר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שטיין ובהסכמת השופטים הנדל ופוגלמן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אינה נוהגת להתערב בעונש שקבעה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של המערער לא נמנה עם אותם מקרים חריגים המצדיקים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חומרת מעשהו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בציינו כי פגיעה בקשישים ובחסרי ישע נמנית עם המעשים הנקלים והבזויים ביותר שידעה החברה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הפוגעים באופן חמור בביטחון האישי ומגלמים אכזריות ואדישות לנזק הנגרם לקורבן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תפקיד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להגן על חסרי ישע ועל קשישים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המהווים טרף קל ונוח לעבריינים בגזירת עונשים מחמירים ומרתיעים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הענישה היא לעולם אינדיבידואלית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ושומה 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לשקול את נסיבותיו האישיות של כל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אפילו מדובר בעבירה שקורבנה הוא קשיש ואולם בעבירות המבוצעות נגד אוכלוסיות חלשות עקרון הענישה האינדיבידואלית לרוב ייסוג אל מול 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שבמרכזם עקרונות הגמול וההרתעה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מקרה זה הוא דוגמא אחת לנזקים החמורים שנגרמים לגופו ולנפשו של קשיש כתוצאה מביצוע שוד גם כשהשוד איננו אלים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נמצא שום פגם בגזר הדין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בקביעת מתחם הענישה ולא במיקום עונשו של המערער בתוך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נדרש לכל השיקולים הרלבנטיים לקביעת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והעונש איננו חורג מרף הענישה המקובל בעבירות שוד המבוצעות נגד קשישים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במקרים אחרים הוטלו עונשים קלים יותר מזה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המגמה העכשווית בפסיקה היא להחמיר עם עבריינים שבוחרים לפגוע בקשישים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שהינה חיונית למיגור התופעה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אין להקל בעונש משום שהאלימות שנקט כלפי המתלוננת לא הי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תה קשה במיוחד ומשום שסכום הכסף שנטל ממנה היה נמוך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 להמעיט בנזק הנפשי החמור שנגרם למתלוננת ובפגיעה בביטחונה האישי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יתירה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באלימות בעוצמה נמוכה כדי לגרום לנזקים קשים לאדם קשיש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שנזקי המתלוננת לא היו קשים היא רק עניין של מזל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שבגינו לא מגיע למערער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הדין לגבי הקנס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שקל את נסיבותיו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ומכל מקום מדובר בקנס בשיעור נמוך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סיבה לבטלו או לשנותו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הערעור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ind w:end="0"/>
        <w:jc w:val="start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באר שבע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         </w:t>
      </w:r>
      <w:r>
        <w:rPr>
          <w:rtl w:val="true"/>
        </w:rPr>
        <w:t xml:space="preserve"> </w:t>
      </w:r>
      <w:r>
        <w:rPr/>
        <w:t>57357-12-17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טולילה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14.6.2018</w:t>
      </w:r>
      <w:r>
        <w:rPr>
          <w:rtl w:val="true"/>
        </w:rPr>
        <w:t xml:space="preserve">, </w:t>
      </w:r>
      <w:r>
        <w:rPr>
          <w:rtl w:val="true"/>
        </w:rPr>
        <w:t xml:space="preserve">אשר השית </w:t>
      </w:r>
      <w:r>
        <w:rPr>
          <w:sz w:val="22"/>
          <w:sz w:val="22"/>
          <w:rtl w:val="true"/>
        </w:rPr>
        <w:t>על המערער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בעקבות הרשעתו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 הסדר 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בעבירת שוד לפי </w:t>
      </w:r>
      <w:hyperlink r:id="rId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402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sz w:val="28"/>
          <w:sz w:val="28"/>
          <w:rtl w:val="true"/>
        </w:rPr>
        <w:t>עונשים כדלקמן</w:t>
      </w:r>
      <w:r>
        <w:rPr>
          <w:sz w:val="28"/>
          <w:rtl w:val="true"/>
        </w:rPr>
        <w:t xml:space="preserve">: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עבירות רכוש או אלימות מסוג עוון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מבית הכלא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רכוש או אלימות מסוג פשע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מבית הכלא</w:t>
      </w:r>
      <w:r>
        <w:rPr>
          <w:rtl w:val="true"/>
        </w:rPr>
        <w:t xml:space="preserve">; </w:t>
      </w:r>
      <w:r>
        <w:rPr>
          <w:rtl w:val="true"/>
        </w:rPr>
        <w:t xml:space="preserve">פיצויים לטובת נפגעת העבירה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 xml:space="preserve">בסך של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וכן קנס בגובה </w:t>
      </w:r>
      <w:r>
        <w:rPr/>
        <w:t>1,500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8.3.2018</w:t>
      </w:r>
      <w:r>
        <w:rPr>
          <w:rtl w:val="true"/>
        </w:rPr>
        <w:t xml:space="preserve"> </w:t>
      </w:r>
      <w:r>
        <w:rPr>
          <w:rtl w:val="true"/>
        </w:rPr>
        <w:t>הגישה המשיבה לבית משפט קמא כתב אישום מתוקן נגד המערער</w:t>
      </w:r>
      <w:r>
        <w:rPr>
          <w:rtl w:val="true"/>
        </w:rPr>
        <w:t xml:space="preserve">. </w:t>
      </w:r>
      <w:r>
        <w:rPr>
          <w:rtl w:val="true"/>
        </w:rPr>
        <w:t>כתב אישום זה ייחס למערער שוד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לפי האמור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17.12.2017</w:t>
      </w:r>
      <w:r>
        <w:rPr>
          <w:rtl w:val="true"/>
        </w:rPr>
        <w:t xml:space="preserve">, </w:t>
      </w:r>
      <w:r>
        <w:rPr>
          <w:rtl w:val="true"/>
        </w:rPr>
        <w:t xml:space="preserve">בסביבות השעה </w:t>
      </w:r>
      <w:r>
        <w:rPr/>
        <w:t>9:10</w:t>
      </w:r>
      <w:r>
        <w:rPr>
          <w:rtl w:val="true"/>
        </w:rPr>
        <w:t xml:space="preserve">, </w:t>
      </w:r>
      <w:r>
        <w:rPr>
          <w:rtl w:val="true"/>
        </w:rPr>
        <w:t>רכשה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קשישה בת </w:t>
      </w:r>
      <w:r>
        <w:rPr/>
        <w:t>90</w:t>
      </w:r>
      <w:r>
        <w:rPr>
          <w:rtl w:val="true"/>
        </w:rPr>
        <w:t xml:space="preserve">, </w:t>
      </w:r>
      <w:r>
        <w:rPr>
          <w:rtl w:val="true"/>
        </w:rPr>
        <w:t>מצרכי מזון במרכז מסחרי בבאר שבע</w:t>
      </w:r>
      <w:r>
        <w:rPr>
          <w:rtl w:val="true"/>
        </w:rPr>
        <w:t xml:space="preserve">. </w:t>
      </w:r>
      <w:r>
        <w:rPr>
          <w:rtl w:val="true"/>
        </w:rPr>
        <w:t xml:space="preserve">לאחר סיום הרכישה העבירה המתלוננת את כל המצרכים שרכשה ואת ארנקה שהכיל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לשקית</w:t>
      </w:r>
      <w:r>
        <w:rPr>
          <w:rtl w:val="true"/>
        </w:rPr>
        <w:t xml:space="preserve">, </w:t>
      </w:r>
      <w:r>
        <w:rPr>
          <w:rtl w:val="true"/>
        </w:rPr>
        <w:t>והחלה לחזור בהליכה לביתה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שהבחין במתלוננת ובתכולת השקית</w:t>
      </w:r>
      <w:r>
        <w:rPr>
          <w:rtl w:val="true"/>
        </w:rPr>
        <w:t xml:space="preserve">, </w:t>
      </w:r>
      <w:r>
        <w:rPr>
          <w:rtl w:val="true"/>
        </w:rPr>
        <w:t>משך אותה מידי המתלוננת וברח מהמקום</w:t>
      </w:r>
      <w:r>
        <w:rPr>
          <w:rtl w:val="true"/>
        </w:rPr>
        <w:t xml:space="preserve">. </w:t>
      </w:r>
      <w:r>
        <w:rPr>
          <w:rtl w:val="true"/>
        </w:rPr>
        <w:t>כתוצאה ממעשה זה נפלה המתלוננת ארצה</w:t>
      </w:r>
      <w:r>
        <w:rPr>
          <w:rtl w:val="true"/>
        </w:rPr>
        <w:t xml:space="preserve">, </w:t>
      </w:r>
      <w:r>
        <w:rPr>
          <w:rtl w:val="true"/>
        </w:rPr>
        <w:t>נחבלה בראשה</w:t>
      </w:r>
      <w:r>
        <w:rPr>
          <w:rtl w:val="true"/>
        </w:rPr>
        <w:t xml:space="preserve">, </w:t>
      </w:r>
      <w:r>
        <w:rPr>
          <w:rtl w:val="true"/>
        </w:rPr>
        <w:t>ונזקקה לטיפול רפואי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בישיבה שקיים בית משפט קמא ביום </w:t>
      </w:r>
      <w:r>
        <w:rPr/>
        <w:t>8.3.2018</w:t>
      </w:r>
      <w:r>
        <w:rPr>
          <w:rtl w:val="true"/>
        </w:rPr>
        <w:t xml:space="preserve"> </w:t>
      </w:r>
      <w:r>
        <w:rPr>
          <w:rtl w:val="true"/>
        </w:rPr>
        <w:t>הודה המערער בעובדות כתב</w:t>
      </w:r>
      <w:r>
        <w:rPr>
          <w:rtl w:val="true"/>
        </w:rPr>
        <w:t>-</w:t>
      </w:r>
      <w:r>
        <w:rPr>
          <w:rtl w:val="true"/>
        </w:rPr>
        <w:t>האישום המתוקן במסגרת הסדר טיעון שעשה עם המשיבה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הרשיע אפוא את המערער בעבירת שוד 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14.6.2019</w:t>
      </w:r>
      <w:r>
        <w:rPr>
          <w:rtl w:val="true"/>
        </w:rPr>
        <w:t xml:space="preserve"> </w:t>
      </w:r>
      <w:r>
        <w:rPr>
          <w:rtl w:val="true"/>
        </w:rPr>
        <w:t>גזר בית המשפט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הדין נקבע כי המערער פגע בערכים החברתיים המוגנים של קניינו של האדם</w:t>
      </w:r>
      <w:r>
        <w:rPr>
          <w:rtl w:val="true"/>
        </w:rPr>
        <w:t xml:space="preserve">, </w:t>
      </w:r>
      <w:r>
        <w:rPr>
          <w:rtl w:val="true"/>
        </w:rPr>
        <w:t>בטחונו האישי</w:t>
      </w:r>
      <w:r>
        <w:rPr>
          <w:rtl w:val="true"/>
        </w:rPr>
        <w:t xml:space="preserve">, </w:t>
      </w:r>
      <w:r>
        <w:rPr>
          <w:rtl w:val="true"/>
        </w:rPr>
        <w:t>כבודו וכן שלמות גופו ונפשו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עמד על הנזק הנפשי החמור שנגרם למתלוננת עקב ביצוע העבירה </w:t>
      </w:r>
      <w:r>
        <w:rPr>
          <w:rtl w:val="true"/>
        </w:rPr>
        <w:t>–</w:t>
      </w:r>
      <w:r>
        <w:rPr>
          <w:rtl w:val="true"/>
        </w:rPr>
        <w:t xml:space="preserve"> ניכור ותלישות</w:t>
      </w:r>
      <w:r>
        <w:rPr>
          <w:rtl w:val="true"/>
        </w:rPr>
        <w:t xml:space="preserve">, </w:t>
      </w:r>
      <w:r>
        <w:rPr>
          <w:rtl w:val="true"/>
        </w:rPr>
        <w:t>פגיעה בתפקוד</w:t>
      </w:r>
      <w:r>
        <w:rPr>
          <w:rtl w:val="true"/>
        </w:rPr>
        <w:t xml:space="preserve">, </w:t>
      </w:r>
      <w:r>
        <w:rPr>
          <w:rtl w:val="true"/>
        </w:rPr>
        <w:t xml:space="preserve">וכן ייאוש ותסכול רב </w:t>
      </w:r>
      <w:r>
        <w:rPr>
          <w:rtl w:val="true"/>
        </w:rPr>
        <w:t>–</w:t>
      </w:r>
      <w:r>
        <w:rPr>
          <w:rtl w:val="true"/>
        </w:rPr>
        <w:t xml:space="preserve"> וזאת לצד הנזק הפיזי שנגרם לה</w:t>
      </w:r>
      <w:r>
        <w:rPr>
          <w:rtl w:val="true"/>
        </w:rPr>
        <w:t xml:space="preserve">; </w:t>
      </w:r>
      <w:r>
        <w:rPr>
          <w:rtl w:val="true"/>
        </w:rPr>
        <w:t>על החומרה המיוחדת שבמעשי אלימות נגד קשישים וחסרי ישע</w:t>
      </w:r>
      <w:r>
        <w:rPr>
          <w:rtl w:val="true"/>
        </w:rPr>
        <w:t xml:space="preserve">; </w:t>
      </w:r>
      <w:r>
        <w:rPr>
          <w:rtl w:val="true"/>
        </w:rPr>
        <w:t>על הצורך למגר מעשים אלו באמצעות ענישה מרתיעה</w:t>
      </w:r>
      <w:r>
        <w:rPr>
          <w:rtl w:val="true"/>
        </w:rPr>
        <w:t xml:space="preserve">; </w:t>
      </w:r>
      <w:r>
        <w:rPr>
          <w:rtl w:val="true"/>
        </w:rPr>
        <w:t>ועל מגמת ההחמרה בענישה בגין עבירות דוגמת שוד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קמא הביא בחשבון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תוך שהוא מתייחס לכך שהעבירה לא בוצעה בצוותא</w:t>
      </w:r>
      <w:r>
        <w:rPr>
          <w:rtl w:val="true"/>
        </w:rPr>
        <w:t xml:space="preserve">, </w:t>
      </w:r>
      <w:r>
        <w:rPr>
          <w:rtl w:val="true"/>
        </w:rPr>
        <w:t>ולא בבית המתלוננת</w:t>
      </w:r>
      <w:r>
        <w:rPr>
          <w:rtl w:val="true"/>
        </w:rPr>
        <w:t xml:space="preserve">; </w:t>
      </w:r>
      <w:r>
        <w:rPr>
          <w:rtl w:val="true"/>
        </w:rPr>
        <w:t>שלא קדם לה תכנון כלשהו</w:t>
      </w:r>
      <w:r>
        <w:rPr>
          <w:rtl w:val="true"/>
        </w:rPr>
        <w:t xml:space="preserve">; </w:t>
      </w:r>
      <w:r>
        <w:rPr>
          <w:rtl w:val="true"/>
        </w:rPr>
        <w:t>שלא נעשה במהלכה שימוש בנשק</w:t>
      </w:r>
      <w:r>
        <w:rPr>
          <w:rtl w:val="true"/>
        </w:rPr>
        <w:t xml:space="preserve">; </w:t>
      </w:r>
      <w:r>
        <w:rPr>
          <w:rtl w:val="true"/>
        </w:rPr>
        <w:t>שלא נגרמו למתלוננת חבלות פיזיות קשות</w:t>
      </w:r>
      <w:r>
        <w:rPr>
          <w:rtl w:val="true"/>
        </w:rPr>
        <w:t xml:space="preserve">; </w:t>
      </w:r>
      <w:r>
        <w:rPr>
          <w:rtl w:val="true"/>
        </w:rPr>
        <w:t>ששוויו של הרכוש הגנוב נמוך</w:t>
      </w:r>
      <w:r>
        <w:rPr>
          <w:rtl w:val="true"/>
        </w:rPr>
        <w:t xml:space="preserve">; </w:t>
      </w:r>
      <w:r>
        <w:rPr>
          <w:rtl w:val="true"/>
        </w:rPr>
        <w:t>ושהאלימות בה נקט המערער כלפי המתלוננת הייתה קלה יחסית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בעניין נסיבה אחרונה זו צויין כי כשמדובר באלימות נגד קשישים די בהפעלת כוח מועט כדי לגרום לפגיעה פיזית קשה ואף למוות</w:t>
      </w:r>
      <w:r>
        <w:rPr>
          <w:rtl w:val="true"/>
        </w:rPr>
        <w:t xml:space="preserve">. </w:t>
      </w:r>
      <w:r>
        <w:rPr>
          <w:rtl w:val="true"/>
        </w:rPr>
        <w:t>בשים לב לכל אלה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מתחם הענישה ההולם בעניינו של המערער נע 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בבוחנו את הנסיבות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התייחס בית המשפט לעברו הפלילי העשיר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כולל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הרשעות קודמות בעבירות סמים ורכוש</w:t>
      </w:r>
      <w:r>
        <w:rPr>
          <w:rtl w:val="true"/>
        </w:rPr>
        <w:t xml:space="preserve">. </w:t>
      </w:r>
      <w:r>
        <w:rPr>
          <w:rtl w:val="true"/>
        </w:rPr>
        <w:t>בית המשפט נדרש גם לנסיבות חייו הקשות של המערער</w:t>
      </w:r>
      <w:r>
        <w:rPr>
          <w:rtl w:val="true"/>
        </w:rPr>
        <w:t xml:space="preserve">; </w:t>
      </w:r>
      <w:r>
        <w:rPr>
          <w:rtl w:val="true"/>
        </w:rPr>
        <w:t>להליך השיקום העצמאי שעבר</w:t>
      </w:r>
      <w:r>
        <w:rPr>
          <w:rtl w:val="true"/>
        </w:rPr>
        <w:t xml:space="preserve">; </w:t>
      </w:r>
      <w:r>
        <w:rPr>
          <w:rtl w:val="true"/>
        </w:rPr>
        <w:t>וכן להימנעותו מביצוע עבירות במהלך שש השנים שקדמו לביצוע העבירה נשוא כתב האישום</w:t>
      </w:r>
      <w:r>
        <w:rPr>
          <w:rtl w:val="true"/>
        </w:rPr>
        <w:t xml:space="preserve">. </w:t>
      </w:r>
      <w:r>
        <w:rPr>
          <w:rtl w:val="true"/>
        </w:rPr>
        <w:t>בית המשפט הסביר כי לנסיבות אלה יש לתת משקל נמוך יחסית נוכח הסתבכויותיו החוזרות והנשנות של המערער בפלילים</w:t>
      </w:r>
      <w:r>
        <w:rPr>
          <w:rtl w:val="true"/>
        </w:rPr>
        <w:t xml:space="preserve">, </w:t>
      </w:r>
      <w:r>
        <w:rPr>
          <w:rtl w:val="true"/>
        </w:rPr>
        <w:t>נוכח אי</w:t>
      </w:r>
      <w:r>
        <w:rPr>
          <w:rtl w:val="true"/>
        </w:rPr>
        <w:t>-</w:t>
      </w:r>
      <w:r>
        <w:rPr>
          <w:rtl w:val="true"/>
        </w:rPr>
        <w:t>יכולתו לעבור הליך שיקום משמעותי וכן נוכח העובדה שהמערער לא הביע חרטה מלאה על מעשהו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 שיקולים אלה</w:t>
      </w:r>
      <w:r>
        <w:rPr>
          <w:rtl w:val="true"/>
        </w:rPr>
        <w:t xml:space="preserve">, </w:t>
      </w:r>
      <w:r>
        <w:rPr>
          <w:rtl w:val="true"/>
        </w:rPr>
        <w:t>קבע בית משפט קמא כי יש למקם את עונשו של המערער בחלקו התחתון של השליש העליון של מתחם הענישה</w:t>
      </w:r>
      <w:r>
        <w:rPr>
          <w:rtl w:val="true"/>
        </w:rPr>
        <w:t xml:space="preserve">, </w:t>
      </w:r>
      <w:r>
        <w:rPr>
          <w:rtl w:val="true"/>
        </w:rPr>
        <w:t xml:space="preserve">וגזר </w:t>
      </w:r>
      <w:r>
        <w:rPr>
          <w:rFonts w:ascii="Century" w:hAnsi="Century" w:cs="Century"/>
          <w:sz w:val="22"/>
          <w:sz w:val="22"/>
          <w:rtl w:val="true"/>
        </w:rPr>
        <w:t>את דינו כפי שפורט לעיל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eastAsia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מכאן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טען לפנינו כי בית משפט קמא חרג בעניינו ממדיניות הענישה הנוהגת וקבע מתחם ענישה שאינו פרופורציונלי למעשהו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פסקי הדין שנסקרו בפסק דין קמא עוסקים במעשי שוד שבוצעו בנסיבות חמורות יותר מאלו של המקרה דנן</w:t>
      </w:r>
      <w:r>
        <w:rPr>
          <w:rtl w:val="true"/>
        </w:rPr>
        <w:t xml:space="preserve">: </w:t>
      </w:r>
      <w:r>
        <w:rPr>
          <w:rtl w:val="true"/>
        </w:rPr>
        <w:t>בחלקם קדם תכנון למעשה השוד</w:t>
      </w:r>
      <w:r>
        <w:rPr>
          <w:rtl w:val="true"/>
        </w:rPr>
        <w:t xml:space="preserve">; </w:t>
      </w:r>
      <w:r>
        <w:rPr>
          <w:rtl w:val="true"/>
        </w:rPr>
        <w:t>בחלקם ניטלו סכומים גבוהים יותר</w:t>
      </w:r>
      <w:r>
        <w:rPr>
          <w:rtl w:val="true"/>
        </w:rPr>
        <w:t xml:space="preserve">; </w:t>
      </w:r>
      <w:r>
        <w:rPr>
          <w:rtl w:val="true"/>
        </w:rPr>
        <w:t>ובחלקם האלימות אשר ננקטה כלפי המתלונן הייתה קשה הרבה יותר</w:t>
      </w:r>
      <w:r>
        <w:rPr>
          <w:rtl w:val="true"/>
        </w:rPr>
        <w:t xml:space="preserve">. </w:t>
      </w:r>
      <w:r>
        <w:rPr>
          <w:rtl w:val="true"/>
        </w:rPr>
        <w:t>המערער גם הציג לפנינו פסקי דין בהם נגזרו על מבצעי השוד עונשים קלים יותר משלו בשל נסיבות מקלות שונות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5754" w:leader="none"/>
        </w:tabs>
        <w:ind w:hanging="0" w:start="0" w:end="0"/>
        <w:jc w:val="both"/>
        <w:rPr/>
      </w:pPr>
      <w:r>
        <w:rPr>
          <w:rtl w:val="true"/>
        </w:rPr>
        <w:t>עוד טען המערער כי שגה בית משפט קמא בגזירת עונשו בתוך המתחם שנקבע והחמיר עמו יתר על מידה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בקביעת העונש ניתן משקל מופרז לשיקולי ההרתעה ולעברו הפלילי</w:t>
      </w:r>
      <w:r>
        <w:rPr>
          <w:rtl w:val="true"/>
        </w:rPr>
        <w:t xml:space="preserve">, </w:t>
      </w:r>
      <w:r>
        <w:rPr>
          <w:rtl w:val="true"/>
        </w:rPr>
        <w:t>ולא ניתן משקל ראוי להליך השיקום העצמאי שעבר ולהימנעותו מלעבור עבירה פלילית בשש השנים שקדמו לביצוע השוד</w:t>
      </w:r>
      <w:r>
        <w:rPr>
          <w:rtl w:val="true"/>
        </w:rPr>
        <w:t xml:space="preserve">. </w:t>
      </w:r>
      <w:r>
        <w:rPr>
          <w:rtl w:val="true"/>
        </w:rPr>
        <w:t>כמו כן הלין המערער לפנינו על כך שבית המשפט החמיר את עונשו בשל התרשמות שגויה כי העבירה בוצעה למען בצע כסף</w:t>
      </w:r>
      <w:r>
        <w:rPr>
          <w:rtl w:val="true"/>
        </w:rPr>
        <w:t xml:space="preserve">. </w:t>
      </w:r>
      <w:r>
        <w:rPr>
          <w:rtl w:val="true"/>
        </w:rPr>
        <w:t>המערער טען כי מעשהו היה מונע על ידי מצוקה כלכלית ונפשית אליה נקלע אחרי מות 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בית משפט קמא שגה בקבעו כי הוא לא מתחרט על מעשהו באופן מלא ולא לוקח אחריות עליו</w:t>
      </w:r>
      <w:r>
        <w:rPr>
          <w:rtl w:val="true"/>
        </w:rPr>
        <w:t xml:space="preserve">. </w:t>
      </w:r>
      <w:r>
        <w:rPr>
          <w:rtl w:val="true"/>
        </w:rPr>
        <w:t>המערער הבהיר לנו כי הוא מתבייש במעשהו ולוקח אחריות מלאה עליו</w:t>
      </w:r>
      <w:r>
        <w:rPr>
          <w:rtl w:val="true"/>
        </w:rPr>
        <w:t xml:space="preserve">; </w:t>
      </w:r>
      <w:r>
        <w:rPr>
          <w:rtl w:val="true"/>
        </w:rPr>
        <w:t>וכי חרף מצוקתו הכלכלית הוא קיבל על עצמו את תשלום הפיצויים שכאמור נפסקו לטובת 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הוסיף וטען כי בית משפט קמא שגה גם בחייבו בקנס כספי בנוסף לפיצויים שפסק לטובת המתלוננת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 המשפט לא נתן משקל ראוי לכך שהמערער ביצע את העבירה בהיותו דר</w:t>
      </w:r>
      <w:r>
        <w:rPr>
          <w:rtl w:val="true"/>
        </w:rPr>
        <w:t>-</w:t>
      </w:r>
      <w:r>
        <w:rPr>
          <w:rtl w:val="true"/>
        </w:rPr>
        <w:t>רחוב הרעב ללחם</w:t>
      </w:r>
      <w:r>
        <w:rPr>
          <w:rtl w:val="true"/>
        </w:rPr>
        <w:t xml:space="preserve">; </w:t>
      </w:r>
      <w:r>
        <w:rPr>
          <w:rtl w:val="true"/>
        </w:rPr>
        <w:t>לכך שהמערער הפיק תועלת כספית מועטה מביצוע העבירה</w:t>
      </w:r>
      <w:r>
        <w:rPr>
          <w:rtl w:val="true"/>
        </w:rPr>
        <w:t xml:space="preserve">; </w:t>
      </w:r>
      <w:r>
        <w:rPr>
          <w:rtl w:val="true"/>
        </w:rPr>
        <w:t>ולכך שהיחס בין הנזק אשר נגרם למתלוננת כתוצאה מביצוע העבירה לבין סכום הפיצויים והקנס איננו מידתי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טען המערער כי הקנס ממילא לא ישרת את תכליתו</w:t>
      </w:r>
      <w:r>
        <w:rPr>
          <w:rtl w:val="true"/>
        </w:rPr>
        <w:t xml:space="preserve">, </w:t>
      </w:r>
      <w:r>
        <w:rPr>
          <w:rtl w:val="true"/>
        </w:rPr>
        <w:t xml:space="preserve">שכן הוא לא יוכל לפרוע אותו במועדו ולהימנע ממאסר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בשל מצוקתו הכלכלית והקדימות הניתנת בדין לגביית הפיצויים המגיעים לנפגע 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מצדה סומכת את ידיה על פסק דינו של בית 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בדיון שהתקיים לפנינו ביום </w:t>
      </w:r>
      <w:r>
        <w:rPr/>
        <w:t>31.3.2019</w:t>
      </w:r>
      <w:r>
        <w:rPr>
          <w:rtl w:val="true"/>
        </w:rPr>
        <w:t xml:space="preserve"> </w:t>
      </w:r>
      <w:r>
        <w:rPr>
          <w:rtl w:val="true"/>
        </w:rPr>
        <w:t>טענה המשיבה כי עונש המאסר שנגזר על המערער הולם את נסיבות המקרה</w:t>
      </w:r>
      <w:r>
        <w:rPr>
          <w:rtl w:val="true"/>
        </w:rPr>
        <w:t xml:space="preserve">: </w:t>
      </w:r>
      <w:r>
        <w:rPr>
          <w:rtl w:val="true"/>
        </w:rPr>
        <w:t>העבירה בוצעה נגד קשישה</w:t>
      </w:r>
      <w:r>
        <w:rPr>
          <w:rtl w:val="true"/>
        </w:rPr>
        <w:t xml:space="preserve">, </w:t>
      </w:r>
      <w:r>
        <w:rPr>
          <w:rtl w:val="true"/>
        </w:rPr>
        <w:t>דבר שיש בו אכזריות מיוחדת</w:t>
      </w:r>
      <w:r>
        <w:rPr>
          <w:rtl w:val="true"/>
        </w:rPr>
        <w:t xml:space="preserve">; </w:t>
      </w:r>
      <w:r>
        <w:rPr>
          <w:rtl w:val="true"/>
        </w:rPr>
        <w:t>למתלוננת נגרמו נזקים גופניים ונפשיים</w:t>
      </w:r>
      <w:r>
        <w:rPr>
          <w:rtl w:val="true"/>
        </w:rPr>
        <w:t xml:space="preserve">; </w:t>
      </w:r>
      <w:r>
        <w:rPr>
          <w:rtl w:val="true"/>
        </w:rPr>
        <w:t xml:space="preserve">ולמערער עבר פלילי מכביד הכולל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. </w:t>
      </w:r>
      <w:r>
        <w:rPr>
          <w:rtl w:val="true"/>
        </w:rPr>
        <w:t>המשיבה טענה גם כי בניגוד לתמונה שהמערער ביקש לצייר לפנינו</w:t>
      </w:r>
      <w:r>
        <w:rPr>
          <w:rtl w:val="true"/>
        </w:rPr>
        <w:t xml:space="preserve">, </w:t>
      </w:r>
      <w:r>
        <w:rPr>
          <w:rtl w:val="true"/>
        </w:rPr>
        <w:t>הוא איננו נוטל אחריות למעשהו ואף לא מביע חרטה אמיתית על ביצועו</w:t>
      </w:r>
      <w:r>
        <w:rPr>
          <w:rtl w:val="true"/>
        </w:rPr>
        <w:t xml:space="preserve">. </w:t>
      </w:r>
      <w:r>
        <w:rPr>
          <w:rtl w:val="true"/>
        </w:rPr>
        <w:t>לעניין הקנס נטען כי אין מקום לבטלו</w:t>
      </w:r>
      <w:r>
        <w:rPr>
          <w:rtl w:val="true"/>
        </w:rPr>
        <w:t xml:space="preserve">, </w:t>
      </w:r>
      <w:r>
        <w:rPr>
          <w:rtl w:val="true"/>
        </w:rPr>
        <w:t>שכן מדובר בקנס בשיעור נמוך יחסית אשר מהווה רכיב חיוני בעונש על עבירה שבוצעה בשל תאוות בצע 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</w:t>
      </w:r>
      <w:r>
        <w:rPr/>
        <w:t>5.3.201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קיבלנו תסקיר עדכני בעניינו של המערער</w:t>
      </w:r>
      <w:r>
        <w:rPr>
          <w:rtl w:val="true"/>
        </w:rPr>
        <w:t xml:space="preserve">. </w:t>
      </w:r>
      <w:r>
        <w:rPr>
          <w:rtl w:val="true"/>
        </w:rPr>
        <w:t>תסקיר זה מבוסס על דיווח גורמי הטיפול בכלא בו מרצה המערער את עונשו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 </w:t>
      </w:r>
      <w:r>
        <w:rPr>
          <w:rtl w:val="true"/>
        </w:rPr>
        <w:t xml:space="preserve">וכן </w:t>
      </w:r>
      <w:r>
        <w:rPr>
          <w:rtl w:val="true"/>
        </w:rPr>
        <w:t>מדברי</w:t>
      </w:r>
      <w:r>
        <w:rPr>
          <w:rtl w:val="true"/>
        </w:rPr>
        <w:t xml:space="preserve"> </w:t>
      </w:r>
      <w:r>
        <w:rPr>
          <w:rtl w:val="true"/>
        </w:rPr>
        <w:t>נציגת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31</w:t>
      </w:r>
      <w:r>
        <w:rPr/>
        <w:t>.</w:t>
      </w:r>
      <w:r>
        <w:rPr/>
        <w:t>3</w:t>
      </w:r>
      <w:r>
        <w:rPr/>
        <w:t>.201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מביע חרטה על מעשיו באופן חלקי בלבד</w:t>
      </w:r>
      <w:r>
        <w:rPr>
          <w:rtl w:val="true"/>
        </w:rPr>
        <w:t xml:space="preserve">, </w:t>
      </w:r>
      <w:r>
        <w:rPr>
          <w:rtl w:val="true"/>
        </w:rPr>
        <w:t>תוך מזעור חומרת מעשיו ותוך הטלת האחריות עליהם על נסיבות חייו הקשות</w:t>
      </w:r>
      <w:r>
        <w:rPr>
          <w:rtl w:val="true"/>
        </w:rPr>
        <w:t xml:space="preserve">. </w:t>
      </w:r>
      <w:r>
        <w:rPr>
          <w:rtl w:val="true"/>
        </w:rPr>
        <w:t>שירות המבחן אמנם התרשם כי למערער יש מוטיבציה לצאת ממעגל הפשיעה</w:t>
      </w:r>
      <w:r>
        <w:rPr>
          <w:rtl w:val="true"/>
        </w:rPr>
        <w:t xml:space="preserve">, </w:t>
      </w:r>
      <w:r>
        <w:rPr>
          <w:rtl w:val="true"/>
        </w:rPr>
        <w:t>אך לצד זאת ציין כי המערער מסרב להשתלב במסגרת הטיפולית שהוצעה לו חרף חיוניותה לשיקומו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דין הערעור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בידוע הוא שערכאת הערעור אינה נוהגת להתערב בעונש שנקבע על ידי הערכאה הדיונית </w:t>
      </w:r>
      <w:r>
        <w:rPr>
          <w:rtl w:val="true"/>
        </w:rPr>
        <w:t>–</w:t>
      </w:r>
      <w:r>
        <w:rPr>
          <w:rtl w:val="true"/>
        </w:rPr>
        <w:t xml:space="preserve"> התערבות כאמור תוצדק במקרים חריגים</w:t>
      </w:r>
      <w:r>
        <w:rPr>
          <w:rtl w:val="true"/>
        </w:rPr>
        <w:t xml:space="preserve"> </w:t>
      </w:r>
      <w:r>
        <w:rPr>
          <w:rtl w:val="true"/>
        </w:rPr>
        <w:t xml:space="preserve">בלבד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3091/08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7563/08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4.3.2009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7439/08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4.3.2009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9437/08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אלגריסי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12.5.2009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שאסביר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עניינו של המערער דכאן לא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חריגים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מצדיקים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צורך להכביר במילים על חומרת מעשהו של המערער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בקשישים</w:t>
      </w:r>
      <w:r>
        <w:rPr>
          <w:rtl w:val="true"/>
        </w:rPr>
        <w:t xml:space="preserve"> ובחסרי ישע</w:t>
      </w:r>
      <w:r>
        <w:rPr>
          <w:rtl w:val="true"/>
        </w:rPr>
        <w:t xml:space="preserve"> </w:t>
      </w:r>
      <w:r>
        <w:rPr>
          <w:rtl w:val="true"/>
        </w:rPr>
        <w:t>נמנית עם המעשים הנקלים והבזויים ביותר שידעה החברה</w:t>
      </w:r>
      <w:r>
        <w:rPr>
          <w:rtl w:val="true"/>
        </w:rPr>
        <w:t xml:space="preserve">. </w:t>
      </w:r>
      <w:r>
        <w:rPr>
          <w:rtl w:val="true"/>
        </w:rPr>
        <w:t xml:space="preserve">מעשים אלו פוגעים באופן חמור בביטחונם האישי של הקורבנות </w:t>
      </w:r>
      <w:r>
        <w:rPr>
          <w:rtl w:val="true"/>
        </w:rPr>
        <w:t>–</w:t>
      </w:r>
      <w:r>
        <w:rPr>
          <w:rtl w:val="true"/>
        </w:rPr>
        <w:t xml:space="preserve"> ושל אוכלוסיות שלמות </w:t>
      </w:r>
      <w:r>
        <w:rPr>
          <w:rtl w:val="true"/>
        </w:rPr>
        <w:t>–</w:t>
      </w:r>
      <w:r>
        <w:rPr>
          <w:rtl w:val="true"/>
        </w:rPr>
        <w:t xml:space="preserve"> ובזכותם להתקיים בכבוד וללא מורא</w:t>
      </w:r>
      <w:r>
        <w:rPr>
          <w:rtl w:val="true"/>
        </w:rPr>
        <w:t xml:space="preserve">. </w:t>
      </w:r>
      <w:r>
        <w:rPr>
          <w:sz w:val="22"/>
          <w:sz w:val="22"/>
          <w:rtl w:val="true"/>
        </w:rPr>
        <w:t xml:space="preserve">מעשים אלו אף משקפים דפוס </w:t>
      </w:r>
      <w:r>
        <w:rPr>
          <w:rtl w:val="true"/>
        </w:rPr>
        <w:t xml:space="preserve">התנהגות אנטי סוציאלי אשר </w:t>
      </w:r>
      <w:r>
        <w:rPr>
          <w:sz w:val="22"/>
          <w:sz w:val="22"/>
          <w:rtl w:val="true"/>
        </w:rPr>
        <w:t xml:space="preserve">מגלם בתוכו אכזריות ואדישות לנזק הנגרם לקורבן העבירה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 xml:space="preserve">ראו </w:t>
      </w:r>
      <w:hyperlink r:id="rId1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3307/08</w:t>
        </w:r>
      </w:hyperlink>
      <w:r>
        <w:rPr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טועמי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4.3.2009</w:t>
      </w:r>
      <w:r>
        <w:rPr>
          <w:sz w:val="22"/>
          <w:rtl w:val="true"/>
        </w:rPr>
        <w:t>)</w:t>
      </w:r>
      <w:r>
        <w:rPr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לא אחת עמד בית משפט זה על תפקידו בהגנה על חסרי ישע ועל קשישים</w:t>
      </w:r>
      <w:r>
        <w:rPr>
          <w:rtl w:val="true"/>
        </w:rPr>
        <w:t xml:space="preserve">, </w:t>
      </w:r>
      <w:r>
        <w:rPr>
          <w:rtl w:val="true"/>
        </w:rPr>
        <w:t>שמטבע הדברים מהווים טרף קל ונוח לעבריינים</w:t>
      </w:r>
      <w:r>
        <w:rPr>
          <w:rtl w:val="true"/>
        </w:rPr>
        <w:t xml:space="preserve">. </w:t>
      </w:r>
      <w:r>
        <w:rPr>
          <w:rtl w:val="true"/>
        </w:rPr>
        <w:t>תפקידנו זה מחייב גזירת עונשים מחמירים ומרתיעים</w:t>
      </w:r>
      <w:r>
        <w:rPr>
          <w:rtl w:val="true"/>
        </w:rPr>
        <w:t xml:space="preserve">. </w:t>
      </w:r>
      <w:r>
        <w:rPr>
          <w:rtl w:val="true"/>
        </w:rPr>
        <w:t>אמנם הענישה היא לעולם אינדיבידואלית</w:t>
      </w:r>
      <w:r>
        <w:rPr>
          <w:rtl w:val="true"/>
        </w:rPr>
        <w:t xml:space="preserve">, </w:t>
      </w:r>
      <w:r>
        <w:rPr>
          <w:rtl w:val="true"/>
        </w:rPr>
        <w:t>ושומה על בית המשפט לשקול את נסיבותיו האישיות של כל נאשם ונאשם</w:t>
      </w:r>
      <w:r>
        <w:rPr>
          <w:rtl w:val="true"/>
        </w:rPr>
        <w:t xml:space="preserve">, </w:t>
      </w:r>
      <w:r>
        <w:rPr>
          <w:rtl w:val="true"/>
        </w:rPr>
        <w:t xml:space="preserve">אפילו מדובר בעבירה שקורבנה הוא קשיש </w:t>
      </w:r>
      <w:r>
        <w:rPr>
          <w:rtl w:val="true"/>
        </w:rPr>
        <w:t>(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6202/10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ישראילוב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</w:rPr>
        <w:t>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בעבירות המבוצעות נגד אוכלוסיות חלשות עיקרון הענישה האינדיבידואלית לרוב ייסוג אל מול אינטרסים כבדי משקל ושיקולי ענישה אחרים</w:t>
      </w:r>
      <w:r>
        <w:rPr>
          <w:rtl w:val="true"/>
        </w:rPr>
        <w:t xml:space="preserve">, </w:t>
      </w:r>
      <w:r>
        <w:rPr>
          <w:rtl w:val="true"/>
        </w:rPr>
        <w:t>שבמרכזם עקרונות הגמול וההרתעה</w:t>
      </w:r>
      <w:r>
        <w:rPr>
          <w:rtl w:val="true"/>
        </w:rPr>
        <w:t xml:space="preserve">. </w:t>
      </w:r>
      <w:r>
        <w:rPr>
          <w:rtl w:val="true"/>
        </w:rPr>
        <w:t xml:space="preserve">היטיב לנסח זאת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בפסק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אלייב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 ו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cs="Century" w:ascii="Century" w:hAnsi="Century"/>
          <w:sz w:val="22"/>
        </w:rPr>
        <w:t>12.12.2005</w:t>
      </w:r>
      <w:r>
        <w:rPr>
          <w:rFonts w:cs="Century" w:ascii="Century" w:hAnsi="Century"/>
          <w:sz w:val="22"/>
          <w:rtl w:val="true"/>
        </w:rPr>
        <w:t xml:space="preserve">)):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הקרבנות</w:t>
      </w:r>
      <w:r>
        <w:rPr>
          <w:rtl w:val="true"/>
        </w:rPr>
        <w:t xml:space="preserve">,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שאיתרע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שבמטלות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תמה אפוא שהפסיקה דהאידנא מצביעה על מגמת ענישה מחמירה ומרתיעה</w:t>
      </w:r>
      <w:r>
        <w:rPr>
          <w:rtl w:val="true"/>
        </w:rPr>
        <w:t xml:space="preserve">: </w:t>
      </w:r>
      <w:r>
        <w:rPr>
          <w:rtl w:val="true"/>
        </w:rPr>
        <w:t xml:space="preserve">מגמה זו היא חלק מהמאבק לעקירת התופעה של פגיעה בקשישים ובחסרי ישע מן השורש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 ו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עבדולייב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19-18</w:t>
      </w:r>
      <w:r>
        <w:rPr>
          <w:rtl w:val="true"/>
        </w:rPr>
        <w:t xml:space="preserve"> (</w:t>
      </w:r>
      <w:r>
        <w:rPr/>
        <w:t>22.10.2013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וכן 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5063/10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איסאקוב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 י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</w:rPr>
        <w:t>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ענישה כאמור היא כורח המציאות בימים שבהם מעשי שוד קשישים הולכים ופושים במקומותינו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304/85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תורג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מאן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המקרה דכאן הוא דוגמא אחת מיני רבות לנזקים החמורים שנגרמים לגופו ולנפשו של קשיש כתוצאה מביצועו של שוד גם כשהשוד איננו אלים במיוחד</w:t>
      </w:r>
      <w:r>
        <w:rPr>
          <w:rtl w:val="true"/>
        </w:rPr>
        <w:t xml:space="preserve">. </w:t>
      </w:r>
      <w:r>
        <w:rPr>
          <w:rtl w:val="true"/>
        </w:rPr>
        <w:t>למרות שהאלימות שננקטה כלפי המתלוננת הייתה בעוצמה נמוכה יחסית</w:t>
      </w:r>
      <w:r>
        <w:rPr>
          <w:rtl w:val="true"/>
        </w:rPr>
        <w:t xml:space="preserve">, </w:t>
      </w:r>
      <w:r>
        <w:rPr>
          <w:rtl w:val="true"/>
        </w:rPr>
        <w:t>ולמרות ששוויו הכספי של הרכוש שניטל ממנה היה לא גבוה</w:t>
      </w:r>
      <w:r>
        <w:rPr>
          <w:rtl w:val="true"/>
        </w:rPr>
        <w:t xml:space="preserve">, </w:t>
      </w:r>
      <w:r>
        <w:rPr>
          <w:rtl w:val="true"/>
        </w:rPr>
        <w:t>הנזק הנפשי שנגרם לה הוא חמור</w:t>
      </w:r>
      <w:r>
        <w:rPr>
          <w:rtl w:val="true"/>
        </w:rPr>
        <w:t xml:space="preserve">. </w:t>
      </w:r>
      <w:r>
        <w:rPr>
          <w:rtl w:val="true"/>
        </w:rPr>
        <w:t>תסקיר נפגעת העבירה מעלה כי עובר לביצוע העבירה המתלוננת חיה בבדידות ובעוני קשים</w:t>
      </w:r>
      <w:r>
        <w:rPr>
          <w:rtl w:val="true"/>
        </w:rPr>
        <w:t xml:space="preserve">: </w:t>
      </w:r>
      <w:r>
        <w:rPr>
          <w:rtl w:val="true"/>
        </w:rPr>
        <w:t xml:space="preserve">מדובר באלמנה בת </w:t>
      </w:r>
      <w:r>
        <w:rPr/>
        <w:t>91</w:t>
      </w:r>
      <w:r>
        <w:rPr>
          <w:rtl w:val="true"/>
        </w:rPr>
        <w:t xml:space="preserve">, </w:t>
      </w:r>
      <w:r>
        <w:rPr>
          <w:rtl w:val="true"/>
        </w:rPr>
        <w:t>שמתקיימת מקצבת זקנה של ביטוח לאומי ומתגוררת בגפה בדירה מוזנחת ללא אמצעי קיום בסיסיים</w:t>
      </w:r>
      <w:r>
        <w:rPr>
          <w:rtl w:val="true"/>
        </w:rPr>
        <w:t xml:space="preserve">. </w:t>
      </w:r>
      <w:r>
        <w:rPr>
          <w:rtl w:val="true"/>
        </w:rPr>
        <w:t>לאחר ביצוע העבירה חלה החרפה משמעותית במצבה</w:t>
      </w:r>
      <w:r>
        <w:rPr>
          <w:rtl w:val="true"/>
        </w:rPr>
        <w:t xml:space="preserve">, </w:t>
      </w:r>
      <w:r>
        <w:rPr>
          <w:rtl w:val="true"/>
        </w:rPr>
        <w:t>שכללה גם ירידה בתפקודה היומיומי</w:t>
      </w:r>
      <w:r>
        <w:rPr>
          <w:rtl w:val="true"/>
        </w:rPr>
        <w:t xml:space="preserve">. </w:t>
      </w:r>
      <w:r>
        <w:rPr>
          <w:rtl w:val="true"/>
        </w:rPr>
        <w:t>המתלוננת החלה להאמין כי סביבת מגוריה לא יכולה עוד להוות מקום מוגן ובטוח עבורה</w:t>
      </w:r>
      <w:r>
        <w:rPr>
          <w:rtl w:val="true"/>
        </w:rPr>
        <w:t xml:space="preserve">, </w:t>
      </w:r>
      <w:r>
        <w:rPr>
          <w:rtl w:val="true"/>
        </w:rPr>
        <w:t>ועל כן היא ממעטת לצאת מביתה</w:t>
      </w:r>
      <w:r>
        <w:rPr>
          <w:rtl w:val="true"/>
        </w:rPr>
        <w:t xml:space="preserve">. </w:t>
      </w:r>
      <w:r>
        <w:rPr>
          <w:rtl w:val="true"/>
        </w:rPr>
        <w:t>תחושות הניכור והתלישות שהמתלוננת חשה בעבר התעצמו</w:t>
      </w:r>
      <w:r>
        <w:rPr>
          <w:rtl w:val="true"/>
        </w:rPr>
        <w:t xml:space="preserve">, </w:t>
      </w:r>
      <w:r>
        <w:rPr>
          <w:rtl w:val="true"/>
        </w:rPr>
        <w:t>וחוסנה הרגשי נסדק ללא תקנה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מצאתי שום פגם בגזר דינו של בית משפט קמא</w:t>
      </w:r>
      <w:r>
        <w:rPr>
          <w:rtl w:val="true"/>
        </w:rPr>
        <w:t xml:space="preserve">: </w:t>
      </w:r>
      <w:r>
        <w:rPr>
          <w:rtl w:val="true"/>
        </w:rPr>
        <w:t>לא בקביעת מתחם הענישה ולא במיקום עונשו של המערער בתוך המתחם</w:t>
      </w:r>
      <w:r>
        <w:rPr>
          <w:rtl w:val="true"/>
        </w:rPr>
        <w:t xml:space="preserve">. </w:t>
      </w:r>
      <w:r>
        <w:rPr>
          <w:sz w:val="22"/>
          <w:sz w:val="22"/>
          <w:rtl w:val="true"/>
        </w:rPr>
        <w:t>בית משפט קמא נדרש לכל השיקולים הרלבנטיים לקביעת 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ונתן את דעתו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 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לחומרת מעשהו של המערער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לנזק שנגרם למתלוננת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לצורך בהרתעה כללית ואישית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לנסיבות חייו הקשות של המערער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לעברו הפלילי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ולתחזית השיקום שלו</w:t>
      </w:r>
      <w:r>
        <w:rPr>
          <w:sz w:val="22"/>
          <w:rtl w:val="true"/>
        </w:rPr>
        <w:t xml:space="preserve">. </w:t>
      </w:r>
      <w:r>
        <w:rPr>
          <w:rtl w:val="true"/>
        </w:rPr>
        <w:t>העונש שבית המשפט השית על המערער איננו חורג מרף הענישה המקובל בעבירות שוד המבוצעות נגד אוכלוסיית קשישים</w:t>
      </w:r>
      <w:r>
        <w:rPr>
          <w:rtl w:val="true"/>
        </w:rPr>
        <w:t xml:space="preserve">. </w:t>
      </w:r>
      <w:r>
        <w:rPr>
          <w:rtl w:val="true"/>
        </w:rPr>
        <w:t>המערער הצביע אמנם על מקרים כאלה או אחרים בהם הוטלו עונשים קלים יותר מזה שנגזר עליו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sz w:val="22"/>
          <w:sz w:val="22"/>
          <w:rtl w:val="true"/>
        </w:rPr>
        <w:t xml:space="preserve"> המגמה העכשווית בפסיקתו של בית משפט זה היא להחמיר עם עבריינים שבוחרים לפגוע בקשישים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כפי שכבר ציינתי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מגמה זו הינה חיונית למיגור התופעה</w:t>
      </w:r>
      <w:r>
        <w:rPr>
          <w:sz w:val="22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בידי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טענת המערער</w:t>
      </w:r>
      <w:r>
        <w:rPr>
          <w:rtl w:val="true"/>
        </w:rPr>
        <w:t xml:space="preserve"> </w:t>
      </w:r>
      <w:r>
        <w:rPr>
          <w:rtl w:val="true"/>
        </w:rPr>
        <w:t>כי יש להקל בעונשו משום שהאלימות שנקט כלפי המתלוננת לא היתה קשה במיוחד ומשום שסכום הכסף שנטל ממנה היה נמוך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אל לנו להמעיט בנזק הנפשי החמור שנגרם למתלוננת וכן בפגיעה בביטחונה האישי וביכולתה להלך ברחוב ללא מורא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5213/06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וונדמו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9.5.2007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3.9.2008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יתירה מכך</w:t>
      </w:r>
      <w:r>
        <w:rPr>
          <w:rtl w:val="true"/>
        </w:rPr>
        <w:t xml:space="preserve">: </w:t>
      </w:r>
      <w:r>
        <w:rPr>
          <w:rtl w:val="true"/>
        </w:rPr>
        <w:t>כפי שציין בית משפט קמא בפסק דינו</w:t>
      </w:r>
      <w:r>
        <w:rPr>
          <w:rtl w:val="true"/>
        </w:rPr>
        <w:t xml:space="preserve">, </w:t>
      </w:r>
      <w:r>
        <w:rPr>
          <w:rtl w:val="true"/>
        </w:rPr>
        <w:t>די באלימות בעוצמה נמוכה כדי לגרום לנזקים קשים לאדם קשיש</w:t>
      </w:r>
      <w:r>
        <w:rPr>
          <w:rtl w:val="true"/>
        </w:rPr>
        <w:t xml:space="preserve">. </w:t>
      </w:r>
      <w:r>
        <w:rPr>
          <w:rtl w:val="true"/>
        </w:rPr>
        <w:t>בהקשר זה חשוב שנזכור כי בעקבות מעשה השוד שבוצע על ידי המערער המתלוננת נפלה ארצה ונחבלה בראשה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העובדה שנזקי המתלוננת לא היו קשים היא רק עניין של מזל</w:t>
      </w:r>
      <w:r>
        <w:rPr>
          <w:rtl w:val="true"/>
        </w:rPr>
        <w:t xml:space="preserve">, </w:t>
      </w:r>
      <w:r>
        <w:rPr>
          <w:rtl w:val="true"/>
        </w:rPr>
        <w:t>שבגינו לא מגיע למערער שום הקלה בעונש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הוא הדין לגבי הקנס שהושת על המערער</w:t>
      </w:r>
      <w:r>
        <w:rPr>
          <w:rtl w:val="true"/>
        </w:rPr>
        <w:t xml:space="preserve">. </w:t>
      </w:r>
      <w:r>
        <w:rPr>
          <w:rtl w:val="true"/>
        </w:rPr>
        <w:t>המערער טוען כי מצבו הכלכלי רעוע וכי לא יספיק לשלם את הקנס במועדו</w:t>
      </w:r>
      <w:r>
        <w:rPr>
          <w:rtl w:val="true"/>
        </w:rPr>
        <w:t xml:space="preserve">, </w:t>
      </w:r>
      <w:r>
        <w:rPr>
          <w:rtl w:val="true"/>
        </w:rPr>
        <w:t>אך בכך לא סגי</w:t>
      </w:r>
      <w:r>
        <w:rPr>
          <w:rtl w:val="true"/>
        </w:rPr>
        <w:t xml:space="preserve">. </w:t>
      </w:r>
      <w:r>
        <w:rPr>
          <w:rtl w:val="true"/>
        </w:rPr>
        <w:t>בית משפט קמא שקל את נסיבותיו האישיות של המערער בהטילו עליו את הקנס</w:t>
      </w:r>
      <w:r>
        <w:rPr>
          <w:rtl w:val="true"/>
        </w:rPr>
        <w:t xml:space="preserve">. </w:t>
      </w:r>
      <w:r>
        <w:rPr>
          <w:rtl w:val="true"/>
        </w:rPr>
        <w:t>לזאת אוסיף כי מדובר בקנס בשיעור נמוך</w:t>
      </w:r>
      <w:r>
        <w:rPr>
          <w:rtl w:val="true"/>
        </w:rPr>
        <w:t xml:space="preserve">, </w:t>
      </w:r>
      <w:r>
        <w:rPr>
          <w:rtl w:val="true"/>
        </w:rPr>
        <w:t>וגם מסיבה זו איני רואה כל סיבה לבטלו או לשנותו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אני מציע אפוא לחבריי שנדחה את הערעור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יא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16.5.2019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18060560</w:t>
      </w:r>
      <w:r>
        <w:rPr>
          <w:sz w:val="16"/>
          <w:rtl w:val="true"/>
        </w:rPr>
        <w:t>_</w:t>
      </w:r>
      <w:r>
        <w:rPr>
          <w:sz w:val="16"/>
        </w:rPr>
        <w:t>F06.docx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54678313-6056/18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6056/18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שלמה אדרי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2.a" TargetMode="External"/><Relationship Id="rId4" Type="http://schemas.openxmlformats.org/officeDocument/2006/relationships/hyperlink" Target="http://www.nevo.co.il/law/70301/402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2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2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875466" TargetMode="External"/><Relationship Id="rId11" Type="http://schemas.openxmlformats.org/officeDocument/2006/relationships/hyperlink" Target="http://www.nevo.co.il/case/6107146" TargetMode="External"/><Relationship Id="rId12" Type="http://schemas.openxmlformats.org/officeDocument/2006/relationships/hyperlink" Target="http://www.nevo.co.il/case/5993689" TargetMode="External"/><Relationship Id="rId13" Type="http://schemas.openxmlformats.org/officeDocument/2006/relationships/hyperlink" Target="http://www.nevo.co.il/case/6152855" TargetMode="External"/><Relationship Id="rId14" Type="http://schemas.openxmlformats.org/officeDocument/2006/relationships/hyperlink" Target="http://www.nevo.co.il/case/5887913" TargetMode="External"/><Relationship Id="rId15" Type="http://schemas.openxmlformats.org/officeDocument/2006/relationships/hyperlink" Target="http://www.nevo.co.il/case/6054321" TargetMode="External"/><Relationship Id="rId16" Type="http://schemas.openxmlformats.org/officeDocument/2006/relationships/hyperlink" Target="http://www.nevo.co.il/case/5815848" TargetMode="External"/><Relationship Id="rId17" Type="http://schemas.openxmlformats.org/officeDocument/2006/relationships/hyperlink" Target="http://www.nevo.co.il/case/6040836" TargetMode="External"/><Relationship Id="rId18" Type="http://schemas.openxmlformats.org/officeDocument/2006/relationships/hyperlink" Target="http://www.nevo.co.il/case/5991341" TargetMode="External"/><Relationship Id="rId19" Type="http://schemas.openxmlformats.org/officeDocument/2006/relationships/hyperlink" Target="http://www.nevo.co.il/case/17935696" TargetMode="External"/><Relationship Id="rId20" Type="http://schemas.openxmlformats.org/officeDocument/2006/relationships/hyperlink" Target="http://www.nevo.co.il/case/5999999" TargetMode="External"/><Relationship Id="rId21" Type="http://schemas.openxmlformats.org/officeDocument/2006/relationships/hyperlink" Target="http://www.nevo.co.il/case/5580628" TargetMode="External"/><Relationship Id="rId22" Type="http://schemas.openxmlformats.org/officeDocument/2006/relationships/hyperlink" Target="http://supreme.court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2019-05-20T08:31:00Z</dcterms:created>
  <dc:creator>h4</dc:creator>
  <dc:description/>
  <cp:keywords/>
  <dc:language>en-IL</dc:language>
  <cp:lastModifiedBy>orly</cp:lastModifiedBy>
  <cp:lastPrinted>2019-05-16T15:17:00Z</cp:lastPrinted>
  <dcterms:modified xsi:type="dcterms:W3CDTF">2019-05-20T08:31:00Z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שלמה אדרי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5875466;6107146;5993689;6152855;5887913;6054321;5815848;6040836;5991341;17935696;5999999;5580628</vt:lpwstr>
  </property>
  <property fmtid="{D5CDD505-2E9C-101B-9397-08002B2CF9AE}" pid="9" name="CITY">
    <vt:lpwstr/>
  </property>
  <property fmtid="{D5CDD505-2E9C-101B-9397-08002B2CF9AE}" pid="10" name="DATE">
    <vt:lpwstr>20190516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פוגלמן;א' שטיין</vt:lpwstr>
  </property>
  <property fmtid="{D5CDD505-2E9C-101B-9397-08002B2CF9AE}" pid="14" name="LAWLISTTMP1">
    <vt:lpwstr>70301/402.a:3</vt:lpwstr>
  </property>
  <property fmtid="{D5CDD505-2E9C-101B-9397-08002B2CF9AE}" pid="15" name="LAWYER">
    <vt:lpwstr>מריה ציבלין;נועה זעירא;ברכה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נגד קשישים</vt:lpwstr>
  </property>
  <property fmtid="{D5CDD505-2E9C-101B-9397-08002B2CF9AE}" pid="49" name="NOSE310">
    <vt:lpwstr/>
  </property>
  <property fmtid="{D5CDD505-2E9C-101B-9397-08002B2CF9AE}" pid="50" name="NOSE32">
    <vt:lpwstr>מדיניות ענישה: שוד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מדיניות ענישה: שיקולים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14903;15019;8982;8994</vt:lpwstr>
  </property>
  <property fmtid="{D5CDD505-2E9C-101B-9397-08002B2CF9AE}" pid="59" name="PADIDATE">
    <vt:lpwstr>20190520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6056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410120190516</vt:lpwstr>
  </property>
  <property fmtid="{D5CDD505-2E9C-101B-9397-08002B2CF9AE}" pid="69" name="TYPE_N_DATE">
    <vt:lpwstr>41020190516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