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6080/20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  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58056-06-18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15.7.2020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Century" w:ascii="Century" w:hAnsi="Century"/>
                <w:b/>
                <w:sz w:val="24"/>
                <w:szCs w:val="24"/>
                <w:rtl w:val="true"/>
              </w:rPr>
              <w:t xml:space="preserve">' 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szCs w:val="24"/>
                <w:rtl w:val="true"/>
              </w:rPr>
              <w:t>פינקלשטיין</w:t>
            </w:r>
            <w:r>
              <w:rPr>
                <w:rFonts w:cs="Century" w:ascii="Century" w:hAnsi="Century"/>
                <w:b/>
                <w:sz w:val="24"/>
                <w:szCs w:val="24"/>
                <w:rtl w:val="true"/>
              </w:rPr>
              <w:t xml:space="preserve">, 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szCs w:val="24"/>
                <w:rtl w:val="true"/>
              </w:rPr>
              <w:t>ל</w:t>
            </w:r>
            <w:r>
              <w:rPr>
                <w:rFonts w:cs="Century" w:ascii="Century" w:hAnsi="Century"/>
                <w:b/>
                <w:sz w:val="24"/>
                <w:szCs w:val="24"/>
                <w:rtl w:val="true"/>
              </w:rPr>
              <w:t xml:space="preserve">' 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rFonts w:cs="Century" w:ascii="Century" w:hAnsi="Century"/>
                <w:b/>
                <w:sz w:val="24"/>
                <w:szCs w:val="24"/>
                <w:rtl w:val="true"/>
              </w:rPr>
              <w:t xml:space="preserve">, 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Century" w:ascii="Century" w:hAnsi="Century"/>
                <w:b/>
                <w:sz w:val="24"/>
                <w:szCs w:val="24"/>
                <w:rtl w:val="true"/>
              </w:rPr>
              <w:t xml:space="preserve">' </w:t>
            </w:r>
            <w:r>
              <w:rPr>
                <w:rFonts w:ascii="Century" w:hAnsi="Century" w:cs="Century"/>
                <w:b/>
                <w:b/>
                <w:sz w:val="24"/>
                <w:sz w:val="24"/>
                <w:szCs w:val="24"/>
                <w:rtl w:val="true"/>
              </w:rPr>
              <w:t>אמיר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26.4.2021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rtl w:val="true"/>
              </w:rPr>
              <w:t xml:space="preserve">     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זמיר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לינור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אוליאל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קלנברג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נכדותיו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בתדירות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לשאלות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נכדותיו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בתדירות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190,000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FrankRuehl"/>
          <w:sz w:val="24"/>
          <w:sz w:val="24"/>
          <w:szCs w:val="26"/>
          <w:rtl w:val="true"/>
        </w:rPr>
        <w:t>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ברק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ארז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 xml:space="preserve">: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הלכת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הושמעה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המצמצם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כאלה</w:t>
      </w:r>
      <w:r>
        <w:rPr>
          <w:rFonts w:cs="FrankRuehl"/>
          <w:sz w:val="24"/>
          <w:szCs w:val="26"/>
          <w:rtl w:val="true"/>
        </w:rPr>
        <w:t>, "</w:t>
      </w:r>
      <w:r>
        <w:rPr>
          <w:rFonts w:cs="FrankRuehl"/>
          <w:sz w:val="24"/>
          <w:sz w:val="24"/>
          <w:szCs w:val="26"/>
          <w:rtl w:val="true"/>
        </w:rPr>
        <w:t>זוכה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חסינות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בהשוואה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לסוגים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והתעוררה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התהייה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להעצים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שווא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יוענק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מהעדים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קפדנות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שאליה</w:t>
      </w:r>
      <w:r>
        <w:rPr>
          <w:rFonts w:cs="FrankRuehl"/>
          <w:sz w:val="24"/>
          <w:sz w:val="24"/>
          <w:szCs w:val="26"/>
          <w:rtl w:val="true"/>
        </w:rPr>
        <w:t>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לעמדת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ובראשונה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המיעוט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לעדויותיהם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במילים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סותרות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התעוררו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בהצטברותם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מרבית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ונדחו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וחלקן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המיעוט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מהצבעה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ופרכות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להתייחסותה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המפורטת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והמהימנות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ויודגש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שיוותרו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מסוימים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עיבוד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לשחזר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שבמוקד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ועדיין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הגרעין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והחיזוקים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מאפשרים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ובמילים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שמעוררות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תמיהות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נתמכת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הימצאותם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לתיאור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הנכדה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מפתח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ואשר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מפורט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ומנומק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שנרקמה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ההדרגתי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היתכנות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מפתח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הכנסת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תפקודו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לאיסוף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לאיתור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שיובילו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לזיכויו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המחדלים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קיפחו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לפשוט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מנגנון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לצלמו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רופא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לבסוף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ואופיים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הישנותן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והימשכותן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פגיעתו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נכדותיו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החופשית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הנכדות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וקרבתו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ההדוקה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FrankRuehl"/>
          <w:sz w:val="24"/>
          <w:sz w:val="24"/>
          <w:szCs w:val="26"/>
          <w:rtl w:val="true"/>
        </w:rPr>
        <w:t>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ברק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ארז</w:t>
      </w:r>
      <w:r>
        <w:rPr>
          <w:rFonts w:cs="FrankRuehl"/>
          <w:sz w:val="24"/>
          <w:szCs w:val="26"/>
          <w:rtl w:val="true"/>
        </w:rPr>
        <w:t>: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לגישתה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לצמצום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בנושאים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הותרתו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הצטרפה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בחוות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ברק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ארז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4"/>
          <w:szCs w:val="24"/>
          <w:u w:val="single"/>
        </w:rPr>
      </w:pPr>
      <w:r>
        <w:rPr>
          <w:rFonts w:cs="Miriam" w:ascii="Century" w:hAnsi="Century"/>
          <w:b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מרכז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לוד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פינקלשטיין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סגנית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ברודי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ר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אמיר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58056-06-18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14.5.2020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15.7.2020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בגדרם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במרבית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נכדותיו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לנפגעות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עובדות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כמתואר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1938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העיקריות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האֵם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FrankRuehl" w:hAnsi="FrankRuehl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מבוגר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האח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ניהלו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דתי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חרדי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הסבתא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התגוררו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והוריהן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גדול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מההזדמנויות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המוקדמות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יציאתם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החינוך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אורולוגית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הושתל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1983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תותב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הופעל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מנגנון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</w:rPr>
      </w:pP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מחברותיה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חמשת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השביעי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מתייחסים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ה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קטינות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2005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חברותיה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2016-2011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המוקדמות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נכדותיו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לפתוח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להיכנס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בחשאי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מיטתה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לפשוט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להפשיל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כותונתה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נשכב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נשכב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לנכדתו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ממתקים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תחילה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תדירות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>-</w:t>
      </w:r>
      <w:r>
        <w:rPr>
          <w:rtl w:val="true"/>
        </w:rPr>
        <w:t>שלוש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בשבוע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eastAsia="Calibri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eastAsia="Calibri"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וסת</w:t>
      </w:r>
      <w:r>
        <w:rPr>
          <w:rtl w:val="true"/>
        </w:rPr>
        <w:t xml:space="preserve">";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ביחידות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5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>).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</w:t>
      </w:r>
      <w:r>
        <w:rPr>
          <w:rFonts w:ascii="Century" w:hAnsi="Century" w:cs="Miriam"/>
          <w:b/>
          <w:b/>
          <w:rtl w:val="true"/>
        </w:rPr>
        <w:t>שני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יוחסו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ריבוי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במיטתה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הבוקר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המוקדמות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ושלח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אצבעותיו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בכוונה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להחדירן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בתגובה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ודחפה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לקראת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,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סמוכה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התעוררה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לעיתים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יוחסו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ריבוי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8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סעיפים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351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hyperlink r:id="rId19"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345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hyperlink r:id="rId20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וסעיף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-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25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2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2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סעיפים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351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ג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hyperlink r:id="rId23"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348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hyperlink r:id="rId24"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345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>
          <w:rFonts w:ascii="Century" w:hAnsi="Century" w:cs="Miriam"/>
          <w:b/>
          <w:spacing w:val="10"/>
          <w:sz w:val="24"/>
          <w:szCs w:val="28"/>
        </w:rPr>
      </w:pPr>
      <w:r>
        <w:rPr>
          <w:rFonts w:cs="Miriam" w:ascii="Century" w:hAnsi="Century"/>
          <w:b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</w:t>
      </w:r>
      <w:r>
        <w:rPr>
          <w:rFonts w:ascii="Century" w:hAnsi="Century" w:cs="Miriam"/>
          <w:b/>
          <w:b/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יוחסה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שהתרחש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קרא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לחדרו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והצי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מנגנון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התותב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יוחסה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5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351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2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start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הרביעי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יוחסו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2018-2011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ובביתו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בצמוד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בסלון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בחדרה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ליטף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ורגליה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נצמד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לגופה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לרצונה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יוחסה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hyperlink r:id="rId27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סעיפים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351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ג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hyperlink r:id="rId28"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348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hyperlink r:id="rId29"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345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3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start"/>
        <w:rPr>
          <w:rFonts w:ascii="Century" w:hAnsi="Century" w:cs="Miriam"/>
          <w:b/>
          <w:spacing w:val="10"/>
          <w:sz w:val="24"/>
          <w:szCs w:val="28"/>
        </w:rPr>
      </w:pPr>
      <w:r>
        <w:rPr>
          <w:rFonts w:cs="Miriam" w:ascii="Century" w:hAnsi="Century"/>
          <w:b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החמישי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וצפתה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בטלויזיה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הלימודים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הספר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ואשתו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הנטען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התכופף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כורסא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בסלון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הכניס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לחצאית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שלבשה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באזור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יוחסה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hyperlink r:id="rId31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סעיפים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351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ג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hyperlink r:id="rId32"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348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hyperlink r:id="rId33"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345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34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השישי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יוחסו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2018-2017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הנטען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הצמיד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מחץ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בהזדמנות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לבגדיה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יוחסה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בקטין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hyperlink r:id="rId35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סעיפים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351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ג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6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348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7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345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3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3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ריבוי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>
          <w:rFonts w:ascii="Century" w:hAnsi="Century" w:cs="Miriam"/>
          <w:b/>
          <w:spacing w:val="10"/>
          <w:sz w:val="24"/>
          <w:szCs w:val="28"/>
        </w:rPr>
      </w:pPr>
      <w:r>
        <w:rPr>
          <w:rFonts w:cs="Miriam" w:ascii="Century" w:hAnsi="Century"/>
          <w:b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אישומים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השביעי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והשמיני</w:t>
      </w:r>
      <w:r>
        <w:rPr>
          <w:rFonts w:cs="Times New Roman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יוחסו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מתלוננות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ה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בהזדמנויות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ושונות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הספק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וממילא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במוקד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entury" w:hAnsi="Century" w:cs="Miriam"/>
          <w:b/>
          <w:spacing w:val="10"/>
          <w:sz w:val="24"/>
          <w:szCs w:val="28"/>
        </w:rPr>
      </w:pPr>
      <w:r>
        <w:rPr>
          <w:rFonts w:cs="Miriam" w:ascii="Century" w:hAnsi="Century"/>
          <w:b/>
          <w:spacing w:val="10"/>
          <w:sz w:val="24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הכרעת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spacing w:lineRule="auto" w:line="360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הרשיע את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שמיעת 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במרבית העבירות שיוחסו לו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וזיכה אותו במקצתן </w:t>
      </w:r>
      <w:r>
        <w:rPr>
          <w:rFonts w:ascii="FrankRuehl" w:hAnsi="FrankRuehl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כפי שיפורט להלן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סגנית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ברודי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הצטרף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פינקלשטיין</w:t>
      </w:r>
      <w:r>
        <w:rPr>
          <w:rtl w:val="true"/>
        </w:rPr>
        <w:t xml:space="preserve">, </w:t>
      </w:r>
      <w:r>
        <w:rPr>
          <w:rtl w:val="true"/>
        </w:rPr>
        <w:t>הרשיעה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מעשים מגונים במתלוננת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והשלישי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מעשה מגונה בפני המתלוננת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כמו גם בעבירה נוספת באישום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השישי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מעשה מגונה במתלוננת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כנגד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החולקת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הרביעי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והחמישי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מעשים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מגונים במתלוננת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וכן במקרה אחד באישום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השישי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מעשה מגונה במתלוננת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וזוכה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השביעי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והשמיני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וניסיונות לכך במתלוננות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וכן </w:t>
      </w:r>
      <w:r>
        <w:rPr>
          <w:rFonts w:ascii="Century" w:hAnsi="Century" w:cs="Century"/>
          <w:sz w:val="22"/>
          <w:sz w:val="22"/>
          <w:rtl w:val="true"/>
        </w:rPr>
        <w:t>מ</w:t>
      </w:r>
      <w:r>
        <w:rPr>
          <w:rFonts w:ascii="Century" w:hAnsi="Century" w:cs="Century"/>
          <w:sz w:val="22"/>
          <w:sz w:val="22"/>
          <w:rtl w:val="true"/>
        </w:rPr>
        <w:t xml:space="preserve">עבירה אחת באישום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ניסיון אינוס במתלוננת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נסמכה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בעיקרה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גרסאותיהן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שהובאו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לעדויותיהן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לחקירת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בהיותה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13.5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בהיותה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סדור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גבוהה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והותירה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נבונה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בוגרת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דייקנית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ואותנטית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ארוכה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ומתישה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453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הצעיר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והקושי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הניכר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המיעוט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הבהיר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שותף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להתרשמות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החיובית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וקבע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בדייקנות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אותנטי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הנשיקה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בחזהּ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התרחש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שהגזימה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העצימה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מיטתה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ונדחף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pacing w:val="10"/>
          <w:sz w:val="24"/>
          <w:szCs w:val="28"/>
        </w:rPr>
      </w:pPr>
      <w:r>
        <w:rPr>
          <w:rFonts w:cs="Miriam" w:ascii="Century" w:hAnsi="Century"/>
          <w:b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באריכות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מניפולטיבית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נחשף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התביעה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448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הכחיש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לחלוטין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המיוחס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הכפיש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נהג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באלימות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השלילית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חיזוקים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ובכללם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הבחינה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בנכדתה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הדגימה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שביצע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מטפס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למיטתה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בוקר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חשיפת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התכנסה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בעצמה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מיעטה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נעדרה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הספר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סירבה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לאכול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וירדה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ממשקלה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לנתונים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כגון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הרפואי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מבריחת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ילדותה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ייחסה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שעברה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ֵם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שלפיהם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התעלמה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מתמרורי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האזהרה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והכתה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חטא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חיבק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ונישק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צנועים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זדונית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שנרקמה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שלפיהן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להיכנס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במפתח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התקופה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תפקודו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השגוי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מתיישבת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התמודדות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חשיפת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הקהילה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לעובדת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סוציאלית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ולמשטרה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בעדותה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שחוותה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מששמעה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אהוב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המדורג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שתואר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מתוכננת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שנרקמה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כנגדו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המניעים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האפשריים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פגיעתו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כלכלי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בעטיו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האפשרות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סיפרה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כוזבים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משחדל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שלפיהן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ייתכן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התרחשו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תקופה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ממושכת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שהתגלו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',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ומתנות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התפתתה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התנהגותו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מאיימת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והחלישה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שפחדה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לצעוק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תישמע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נפרד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יחידת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שירותים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נעולה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הצעיר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ותינוק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שהצטרף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בסמוך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לאֵם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בחדרה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מעדותיותיהם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אימהּ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והאח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עמוקה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ולעיתים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התקשתה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להתעורר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מצפצופי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סנסור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שהושמעו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לעיתים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הסתלק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הזדמנויות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באמצע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התעורר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בקרבם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דעת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המיעוט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זיכתה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מחמ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הספק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שיוחסו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המיעוט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באישומים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Century" w:hAnsi="Century" w:cs="Miriam"/>
          <w:b/>
          <w:b/>
          <w:rtl w:val="true"/>
        </w:rPr>
        <w:t>רביעי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החמישי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המתייחסים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המתואר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השישי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המיעוט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הבהיר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למרבית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טעמיה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והנמקותיה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שותף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להתרשמות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החיובית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ולהתרשמות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השלילית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אמיר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המיעוט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האליבי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ההיתכנות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הרפואית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המיניות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שבוצעו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המיעוט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מבוטל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סימני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מכריע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בעיניו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המיעוט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המצטבר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ההיתכנות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למשפחת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דיברה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מאפשרת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הספק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אמיר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 </w:t>
      </w:r>
    </w:p>
    <w:p>
      <w:pPr>
        <w:pStyle w:val="Normal"/>
        <w:ind w:end="0"/>
        <w:jc w:val="start"/>
        <w:rPr>
          <w:rFonts w:ascii="Century" w:hAnsi="Century" w:cs="Miriam"/>
          <w:b/>
          <w:spacing w:val="10"/>
          <w:sz w:val="24"/>
          <w:szCs w:val="28"/>
        </w:rPr>
      </w:pPr>
      <w:r>
        <w:rPr>
          <w:rFonts w:cs="Miriam" w:ascii="Century" w:hAnsi="Century"/>
          <w:b/>
          <w:spacing w:val="10"/>
          <w:sz w:val="24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דינו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בנימוקיו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לחומרא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שחוו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ב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כתוצאה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ממעשי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שתוארו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בתסקירי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שהוגשו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המשפחתית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הקטינות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ההדוקה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והנכדים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ובפרט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חופשית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מעמדו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החברתי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הקהילה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החרדית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כגבאי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הכנסת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בישוב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נשקלו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82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פלילי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הרפואי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בבעיות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רפואיות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חריגות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למעצרו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תפקד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המישורים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התפלל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יומיומי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הכנסת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בפעילות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ציבורית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השיקולים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הרלוונטיים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ב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תמצית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ind w:end="0"/>
        <w:jc w:val="start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בכלליות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היעדר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היתכנות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הנעילה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מלהיכנס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מלהיכנס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</w:t>
      </w:r>
      <w:r>
        <w:rPr>
          <w:rFonts w:ascii="Century" w:hAnsi="Century" w:cs="FrankRuehl"/>
          <w:spacing w:val="10"/>
          <w:szCs w:val="28"/>
          <w:rtl w:val="true"/>
        </w:rPr>
        <w:t>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במפתח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סוגיית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מפתח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האֵם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במרבית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ויטרינת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סגורה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אליבי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להתפלל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בבירור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מתפלל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לטובתו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ולבדוק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פיזית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והכרחית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שליחתו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רופא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מומחה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כלפיו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רפואי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והמנגנון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זימנה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הרופא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החתום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המסמך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סבירות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לעמדתו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הותירו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בבדיקתה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הפתולוגית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הבתולין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שפשופים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הסנגור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התקופה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תלמידה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מצטיינת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בטיעוניו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במהימנותה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לזיכויו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המיעוט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והמנגנון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המושתל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חיצונית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במנגנון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להבדלים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מובהקים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בחקירותיה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ההיפך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הנכון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גרסאותיה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שניהלה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לחילופין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לטענתו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ובייחוד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המבוגר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ותרומתו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מנגד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 w:val="18"/>
          <w:szCs w:val="28"/>
        </w:rPr>
      </w:pPr>
      <w:r>
        <w:rPr>
          <w:rFonts w:cs="FrankRuehl" w:ascii="Century" w:hAnsi="Century"/>
          <w:spacing w:val="10"/>
          <w:sz w:val="1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בטיעוניה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וקביעותיה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ניסוחו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סנגורו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להתגונן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פתיחת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לגביהם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רלוונטית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הבהירה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שמיוחסת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ברשותו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בתשובתו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מוקדם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בבוקר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המוקדמות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בארבע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בבוקר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הנכדות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בבוקר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תפקודו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פיזית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שנשאל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רפואית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בתנאים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וסירב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להיבדק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הרופא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מגרסתה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המנגנון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המסמכים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מנגנון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סבירות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שתתגלה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המיעוט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במשפחה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שלפיהן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מזדחל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למיטתה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להשערת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</w:t>
      </w:r>
      <w:r>
        <w:rPr>
          <w:rFonts w:ascii="Century" w:hAnsi="Century" w:cs="FrankRuehl"/>
          <w:spacing w:val="10"/>
          <w:szCs w:val="28"/>
          <w:rtl w:val="true"/>
        </w:rPr>
        <w:t>יקפה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שהטעות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המנגנון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אשכיו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שעשוי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אוחז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בזיכרונה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בנכדותיו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הארוכה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לקטינות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ind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ששמעתי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התלבטות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לחברותיי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pacing w:val="10"/>
          <w:szCs w:val="28"/>
        </w:rPr>
      </w:pPr>
      <w:r>
        <w:rPr>
          <w:rFonts w:cs="Miriam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אמצעי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ומהשתלבותן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במארג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1781/19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קדיוליץ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2020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4121/20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2021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</w:rPr>
      </w:pP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בנפגעות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4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6375/02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בבקוב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412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2004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הטעם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הדיסקרטי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בנוכחות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חיצוניים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ולקורבן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הגרסאות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ולבכר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אמצעית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hyperlink r:id="rId4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8507/18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9.9.2020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b/>
          <w:spacing w:val="10"/>
          <w:szCs w:val="28"/>
        </w:rPr>
      </w:pPr>
      <w:r>
        <w:rPr>
          <w:rFonts w:cs="FrankRuehl" w:ascii="Century" w:hAnsi="Century"/>
          <w:b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למאפיינים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ייחודיים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קורבנות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המדגישים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הניתנת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לסממנים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חיצוניים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הדיבור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התנהגותו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ותגובותיו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הנשאלות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מיוחדת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</w:rPr>
      </w:pP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הושמעה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הביקורת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המצמצם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כאלה</w:t>
      </w:r>
      <w:r>
        <w:rPr>
          <w:rFonts w:cs="FrankRuehl" w:ascii="Century" w:hAnsi="Century"/>
          <w:spacing w:val="10"/>
          <w:szCs w:val="28"/>
          <w:rtl w:val="true"/>
        </w:rPr>
        <w:t>, "</w:t>
      </w:r>
      <w:r>
        <w:rPr>
          <w:rFonts w:ascii="Century" w:hAnsi="Century" w:cs="FrankRuehl"/>
          <w:spacing w:val="10"/>
          <w:szCs w:val="28"/>
          <w:rtl w:val="true"/>
        </w:rPr>
        <w:t>זוכה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חסינות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בהשוואה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לסוגים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והתעוררה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התהייה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שכזו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להעצים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3250/10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סה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482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גרוניס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2012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גישת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יוענק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קפדנות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שאליה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לדעתי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Miriam"/>
          <w:b/>
          <w:b/>
          <w:rtl w:val="true"/>
        </w:rPr>
        <w:t>בחינה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קפדנית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המצומצמת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המבוססים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אמצעית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4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8271/14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רצון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18.7.2016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4453/16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20.7.2017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יניב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ואקי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6"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u w:val="single"/>
            <w:rtl w:val="true"/>
          </w:rPr>
          <w:t>ראיות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cs="FrankRuehl" w:ascii="Century" w:hAnsi="Century"/>
          <w:spacing w:val="10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485-482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2020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שבחנתי את נימוקי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עיקרי הטיעון מטעם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טיעוני באי כוח הצדדים בפנינו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הגעתי לכלל מסקנה כי אין זה מסוג המקרים המצדיקים התערבות בממצאי מהימנות שקבע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מעדותם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, </w:t>
      </w:r>
      <w:r>
        <w:rPr>
          <w:rtl w:val="true"/>
        </w:rPr>
        <w:t>האח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והסבתא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מבוססת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ובראשונה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ודחיית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המיעוט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לעדויותיהם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סותרות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תמיהות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התעוררו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Miriam"/>
          <w:b/>
          <w:b/>
          <w:rtl w:val="true"/>
        </w:rPr>
        <w:t>הצטברותם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קבעתי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firstLine="518"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משמעותו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'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הצטברותן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ולקבוע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." 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/>
        <w:t>30.12.2019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תמיהה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המאשימה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שבכוחו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לזיכוי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וראו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4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7220/05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נימר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27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31.5.2007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נאמרו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אבום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פנימיות</w:t>
      </w:r>
      <w:r>
        <w:rPr>
          <w:rtl w:val="true"/>
        </w:rPr>
        <w:t xml:space="preserve">'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חיצוניות</w:t>
      </w:r>
      <w:r>
        <w:rPr>
          <w:rtl w:val="true"/>
        </w:rPr>
        <w:t xml:space="preserve">' </w:t>
      </w:r>
      <w:r>
        <w:rPr>
          <w:rtl w:val="true"/>
        </w:rPr>
        <w:t>בגרסה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יוצר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ולבדו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ומדוקדקת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והראיות</w:t>
      </w:r>
      <w:r>
        <w:rPr>
          <w:rtl w:val="true"/>
        </w:rPr>
        <w:t>." (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8649/11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(</w:t>
      </w:r>
      <w:r>
        <w:rPr/>
        <w:t>20.12.2012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מדוקדקת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שמרבית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נדונו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ונדחו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וחלקן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המיעוט</w:t>
      </w:r>
      <w:r>
        <w:rPr>
          <w:rFonts w:cs="FrankRuehl" w:ascii="Century" w:hAnsi="Century"/>
          <w:spacing w:val="10"/>
          <w:szCs w:val="28"/>
          <w:rtl w:val="true"/>
        </w:rPr>
        <w:t>).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להיבנות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מהצבעה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ופרכות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להתייחסותה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המפורטת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המהימנות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Century" w:ascii="Century" w:hAnsi="Century"/>
          <w:szCs w:val="28"/>
          <w:rtl w:val="true"/>
        </w:rPr>
        <w:t xml:space="preserve">  </w:t>
      </w:r>
    </w:p>
    <w:p>
      <w:pPr>
        <w:pStyle w:val="Ruller5"/>
        <w:ind w:end="1282"/>
        <w:jc w:val="both"/>
        <w:rPr>
          <w:rFonts w:ascii="Century" w:hAnsi="Century" w:eastAsia="Calibri" w:cs="Century"/>
          <w:spacing w:val="10"/>
          <w:szCs w:val="28"/>
        </w:rPr>
      </w:pPr>
      <w:r>
        <w:rPr>
          <w:rFonts w:eastAsia="Calibri" w:cs="Century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ואדגיש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שיוותרו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עיבוד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ולעיתים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שבמוקד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ועדיין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5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ע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2331/08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קסטרו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20.4.2009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23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הגרעין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הכוללת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והחיזוקים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מאפשרים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ובמילים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שמעוררות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תמיהות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מסקנתי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נתמכת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הימצאותם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ומנומק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להמחשת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זילברטל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דגון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Fonts w:cs="Miriam"/>
          <w:b/>
          <w:b/>
          <w:spacing w:val="0"/>
          <w:szCs w:val="24"/>
          <w:rtl w:val="true"/>
        </w:rPr>
        <w:t>הצטברות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התצרף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כאפשרי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הצטברותם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</w:t>
      </w:r>
      <w:r>
        <w:rPr>
          <w:rtl w:val="true"/>
        </w:rPr>
        <w:t xml:space="preserve">, </w:t>
      </w:r>
      <w:r>
        <w:rPr>
          <w:rtl w:val="true"/>
        </w:rPr>
        <w:t>מרוב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עצים</w:t>
      </w:r>
      <w:r>
        <w:rPr>
          <w:rtl w:val="true"/>
        </w:rPr>
        <w:t xml:space="preserve">, </w:t>
      </w:r>
      <w:r>
        <w:rPr>
          <w:rtl w:val="true"/>
        </w:rPr>
        <w:t>להיכשל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עץ</w:t>
      </w:r>
      <w:r>
        <w:rPr>
          <w:rtl w:val="true"/>
        </w:rPr>
        <w:t xml:space="preserve">'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יער</w:t>
      </w:r>
      <w:r>
        <w:rPr>
          <w:rtl w:val="true"/>
        </w:rPr>
        <w:t>'." 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6427/10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דגון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(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 (</w:t>
      </w:r>
      <w:r>
        <w:rPr/>
        <w:t>6.8.2013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10"/>
          <w:szCs w:val="16"/>
        </w:rPr>
      </w:pPr>
      <w:r>
        <w:rPr>
          <w:rFonts w:cs="FrankRuehl" w:ascii="Century" w:hAnsi="Century"/>
          <w:spacing w:val="10"/>
          <w:sz w:val="10"/>
          <w:szCs w:val="16"/>
          <w:rtl w:val="true"/>
        </w:rPr>
      </w:r>
    </w:p>
    <w:p>
      <w:pPr>
        <w:pStyle w:val="Ruller42"/>
        <w:numPr>
          <w:ilvl w:val="0"/>
          <w:numId w:val="0"/>
        </w:numPr>
        <w:overflowPunct w:val="false"/>
        <w:autoSpaceDE w:val="false"/>
        <w:spacing w:before="0" w:after="360"/>
        <w:ind w:hanging="0" w:start="0" w:end="0"/>
        <w:jc w:val="both"/>
        <w:textAlignment w:val="baseline"/>
        <w:rPr>
          <w:rFonts w:ascii="Century" w:hAnsi="Century" w:cs="Century"/>
        </w:rPr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ומכאן אפנה לטענותיו של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overflowPunct w:val="false"/>
        <w:autoSpaceDE w:val="false"/>
        <w:spacing w:before="0" w:after="360"/>
        <w:ind w:hanging="0" w:start="0" w:end="0"/>
        <w:jc w:val="both"/>
        <w:textAlignment w:val="baseline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לטענת המערער בדבר עלילה שנרקמה נגדו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קובע כי לא מצאתי בה טעם של ממש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טענה זו אינה עולה בקנה אחד עם האופן ההדרגתי שבו נחשפו האירועים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4"/>
          <w:szCs w:val="28"/>
        </w:rPr>
      </w:pP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שהדגשתי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4"/>
          <w:szCs w:val="28"/>
          <w:rtl w:val="true"/>
        </w:rPr>
        <w:t>:</w:t>
      </w:r>
    </w:p>
    <w:p>
      <w:pPr>
        <w:pStyle w:val="Normal"/>
        <w:ind w:end="0"/>
        <w:jc w:val="start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והגיונית</w:t>
      </w:r>
      <w:r>
        <w:rPr>
          <w:rtl w:val="true"/>
        </w:rPr>
        <w:t>' (</w:t>
      </w:r>
      <w:hyperlink r:id="rId5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4528/18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(</w:t>
      </w:r>
      <w:r>
        <w:rPr/>
        <w:t>16.6.2019</w:t>
      </w:r>
      <w:r>
        <w:rPr>
          <w:rtl w:val="true"/>
        </w:rPr>
        <w:t xml:space="preserve">)).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קנוניה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שנרקחה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וסבתה</w:t>
      </w:r>
      <w:r>
        <w:rPr>
          <w:rFonts w:eastAsia="Arial TUR" w:cs="Arial TUR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." 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(</w:t>
      </w:r>
      <w:r>
        <w:rPr/>
        <w:t>29.7.2020</w:t>
      </w:r>
      <w:r>
        <w:rPr>
          <w:rtl w:val="true"/>
        </w:rPr>
        <w:t xml:space="preserve">)).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0D0D0D"/>
        </w:rPr>
      </w:pPr>
      <w:r>
        <w:rPr/>
        <w:t>25</w:t>
      </w:r>
      <w:r>
        <w:rPr>
          <w:rtl w:val="true"/>
        </w:rPr>
        <w:t>.</w:t>
        <w:tab/>
      </w:r>
      <w:r>
        <w:rPr>
          <w:color w:val="0D0D0D"/>
          <w:rtl w:val="true"/>
        </w:rPr>
        <w:t>באופן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דומה</w:t>
      </w:r>
      <w:r>
        <w:rPr>
          <w:color w:val="0D0D0D"/>
          <w:rtl w:val="true"/>
        </w:rPr>
        <w:t xml:space="preserve">, </w:t>
      </w:r>
      <w:r>
        <w:rPr>
          <w:color w:val="0D0D0D"/>
          <w:rtl w:val="true"/>
        </w:rPr>
        <w:t>טענות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המערער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בדבר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אי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היתכנות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ביצוע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המעשים</w:t>
      </w:r>
      <w:r>
        <w:rPr>
          <w:color w:val="0D0D0D"/>
          <w:rtl w:val="true"/>
        </w:rPr>
        <w:t xml:space="preserve">, </w:t>
      </w:r>
      <w:r>
        <w:rPr>
          <w:color w:val="0D0D0D"/>
          <w:rtl w:val="true"/>
        </w:rPr>
        <w:t>מחמת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היעדר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מפתח</w:t>
      </w:r>
      <w:r>
        <w:rPr>
          <w:color w:val="0D0D0D"/>
          <w:rtl w:val="true"/>
        </w:rPr>
        <w:t xml:space="preserve">, </w:t>
      </w:r>
      <w:r>
        <w:rPr>
          <w:color w:val="0D0D0D"/>
          <w:rtl w:val="true"/>
        </w:rPr>
        <w:t>מחמת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ששהה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בבית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הכנסת</w:t>
      </w:r>
      <w:r>
        <w:rPr>
          <w:color w:val="0D0D0D"/>
          <w:rtl w:val="true"/>
        </w:rPr>
        <w:t xml:space="preserve">, </w:t>
      </w:r>
      <w:r>
        <w:rPr>
          <w:color w:val="0D0D0D"/>
          <w:rtl w:val="true"/>
        </w:rPr>
        <w:t>ומחמת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חוסר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תפקודו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המיני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–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דינן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להידחות</w:t>
      </w:r>
      <w:r>
        <w:rPr>
          <w:color w:val="0D0D0D"/>
          <w:rtl w:val="true"/>
        </w:rPr>
        <w:t xml:space="preserve">. </w:t>
      </w:r>
      <w:r>
        <w:rPr>
          <w:color w:val="0D0D0D"/>
          <w:rtl w:val="true"/>
        </w:rPr>
        <w:t>מדובר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בטענות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אשר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נדחו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כולן</w:t>
      </w:r>
      <w:r>
        <w:rPr>
          <w:color w:val="0D0D0D"/>
          <w:rtl w:val="true"/>
        </w:rPr>
        <w:t xml:space="preserve">, </w:t>
      </w:r>
      <w:r>
        <w:rPr>
          <w:color w:val="0D0D0D"/>
          <w:rtl w:val="true"/>
        </w:rPr>
        <w:t>אחת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לאחת</w:t>
      </w:r>
      <w:r>
        <w:rPr>
          <w:color w:val="0D0D0D"/>
          <w:rtl w:val="true"/>
        </w:rPr>
        <w:t xml:space="preserve">, </w:t>
      </w:r>
      <w:r>
        <w:rPr>
          <w:color w:val="0D0D0D"/>
          <w:rtl w:val="true"/>
        </w:rPr>
        <w:t>בערכאה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הדיונית</w:t>
      </w:r>
      <w:r>
        <w:rPr>
          <w:color w:val="0D0D0D"/>
          <w:rtl w:val="true"/>
        </w:rPr>
        <w:t xml:space="preserve">, </w:t>
      </w:r>
      <w:r>
        <w:rPr>
          <w:color w:val="0D0D0D"/>
          <w:rtl w:val="true"/>
        </w:rPr>
        <w:t>ומהוות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נגזרת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ישירה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של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מידת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אי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האמון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שנתן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בית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המשפט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המחוזי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לדברי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המערער</w:t>
      </w:r>
      <w:r>
        <w:rPr>
          <w:color w:val="0D0D0D"/>
          <w:rtl w:val="true"/>
        </w:rPr>
        <w:t xml:space="preserve">. </w:t>
      </w:r>
      <w:r>
        <w:rPr>
          <w:color w:val="0D0D0D"/>
          <w:rtl w:val="true"/>
        </w:rPr>
        <w:t>כך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למשל</w:t>
      </w:r>
      <w:r>
        <w:rPr>
          <w:color w:val="0D0D0D"/>
          <w:rtl w:val="true"/>
        </w:rPr>
        <w:t xml:space="preserve">, </w:t>
      </w:r>
      <w:r>
        <w:rPr>
          <w:color w:val="0D0D0D"/>
          <w:rtl w:val="true"/>
        </w:rPr>
        <w:t>לגבי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טענת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היעדר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המפתח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והאפשרות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להיכנס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לבית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הנכדות</w:t>
      </w:r>
      <w:r>
        <w:rPr>
          <w:color w:val="0D0D0D"/>
          <w:rtl w:val="true"/>
        </w:rPr>
        <w:t xml:space="preserve">, </w:t>
      </w:r>
      <w:r>
        <w:rPr>
          <w:color w:val="0D0D0D"/>
          <w:rtl w:val="true"/>
        </w:rPr>
        <w:t>נקבע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כי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מדובר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בטענה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כבושה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שנבנתה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בהתאם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לראיות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שהוצגו</w:t>
      </w:r>
      <w:r>
        <w:rPr>
          <w:color w:val="0D0D0D"/>
          <w:rtl w:val="true"/>
        </w:rPr>
        <w:t xml:space="preserve">. </w:t>
      </w:r>
      <w:r>
        <w:rPr>
          <w:color w:val="0D0D0D"/>
          <w:rtl w:val="true"/>
        </w:rPr>
        <w:t>בנוסף</w:t>
      </w:r>
      <w:r>
        <w:rPr>
          <w:color w:val="0D0D0D"/>
          <w:rtl w:val="true"/>
        </w:rPr>
        <w:t xml:space="preserve">, </w:t>
      </w:r>
      <w:r>
        <w:rPr>
          <w:color w:val="0D0D0D"/>
          <w:rtl w:val="true"/>
        </w:rPr>
        <w:t>לא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ניתן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להתעלם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מעדותה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הנוקבת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של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color w:val="0D0D0D"/>
          <w:rtl w:val="true"/>
        </w:rPr>
        <w:t xml:space="preserve"> </w:t>
      </w:r>
      <w:r>
        <w:rPr>
          <w:color w:val="0D0D0D"/>
          <w:rtl w:val="true"/>
        </w:rPr>
        <w:t>בעניין</w:t>
      </w:r>
      <w:r>
        <w:rPr>
          <w:rFonts w:eastAsia="Arial TUR" w:cs="Arial TUR"/>
          <w:color w:val="0D0D0D"/>
          <w:rtl w:val="true"/>
        </w:rPr>
        <w:t xml:space="preserve"> </w:t>
      </w:r>
      <w:r>
        <w:rPr>
          <w:color w:val="0D0D0D"/>
          <w:rtl w:val="true"/>
        </w:rPr>
        <w:t>זה</w:t>
      </w:r>
      <w:r>
        <w:rPr>
          <w:color w:val="0D0D0D"/>
          <w:rtl w:val="true"/>
        </w:rPr>
        <w:t>:</w:t>
      </w:r>
    </w:p>
    <w:p>
      <w:pPr>
        <w:pStyle w:val="Ruller41"/>
        <w:ind w:end="0"/>
        <w:jc w:val="both"/>
        <w:rPr>
          <w:color w:val="0D0D0D"/>
        </w:rPr>
      </w:pPr>
      <w:r>
        <w:rPr>
          <w:color w:val="0D0D0D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"...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מהדלת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מהשער</w:t>
      </w:r>
      <w:r>
        <w:rPr>
          <w:rtl w:val="true"/>
        </w:rPr>
        <w:t xml:space="preserve">. </w:t>
      </w:r>
      <w:r>
        <w:rPr>
          <w:rtl w:val="true"/>
        </w:rPr>
        <w:t>ואתה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מהדלת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שבטוח</w:t>
      </w:r>
      <w:r>
        <w:rPr>
          <w:rtl w:val="true"/>
        </w:rPr>
        <w:t>..." (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146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24-21</w:t>
      </w:r>
      <w:r>
        <w:rPr>
          <w:rtl w:val="true"/>
        </w:rPr>
        <w:t xml:space="preserve">;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447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לפתוח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מבחוץ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נקודתית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הנכדות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בשבתות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אלול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הנכדות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שגרתי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במפתח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באמצע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בשנתיים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שקדמו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התלונה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בארגון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וויטרינה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בסלון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מקולקלת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בסביבות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6:00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אמרותיה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בערב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האליבי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שבמענה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והודיע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בפיו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אליבי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מסוייגת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סותרת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בארבע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בוקר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הנכדות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וחוזר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להתפלל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הכנסת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גיאוגרפית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הנכדות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הסניגור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היורדות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</w:t>
      </w:r>
      <w:r>
        <w:rPr>
          <w:rFonts w:ascii="Century" w:hAnsi="Century" w:cs="FrankRuehl"/>
          <w:spacing w:val="10"/>
          <w:szCs w:val="28"/>
          <w:rtl w:val="true"/>
        </w:rPr>
        <w:t>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cs="FrankRuehl"/>
          <w:spacing w:val="10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רציונליות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הטראומה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חוו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נפגעי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פוגמת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עדותם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ובשלמותה</w:t>
      </w:r>
      <w:r>
        <w:rPr>
          <w:rFonts w:cs="FrankRuehl" w:ascii="Century" w:hAnsi="Century"/>
          <w:spacing w:val="10"/>
          <w:szCs w:val="28"/>
          <w:rtl w:val="true"/>
        </w:rPr>
        <w:t>.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5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7307/18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11.11.2019</w:t>
      </w:r>
      <w:r>
        <w:rPr>
          <w:rFonts w:cs="FrankRuehl" w:ascii="Century" w:hAnsi="Century"/>
          <w:spacing w:val="10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5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6643/05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14-12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3.7.2007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)).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קוהרנטי</w:t>
      </w:r>
      <w:r>
        <w:rPr>
          <w:rtl w:val="true"/>
        </w:rPr>
        <w:t xml:space="preserve">, </w:t>
      </w:r>
      <w:r>
        <w:rPr>
          <w:rtl w:val="true"/>
        </w:rPr>
        <w:t>עקבי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.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לסתירות</w:t>
      </w:r>
      <w:r>
        <w:rPr>
          <w:rtl w:val="true"/>
        </w:rPr>
        <w:t xml:space="preserve">, </w:t>
      </w:r>
      <w:r>
        <w:rPr>
          <w:rtl w:val="true"/>
        </w:rPr>
        <w:t>לפרכות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חללים</w:t>
      </w:r>
      <w:r>
        <w:rPr>
          <w:rtl w:val="true"/>
        </w:rPr>
        <w:t xml:space="preserve">' </w:t>
      </w:r>
      <w:r>
        <w:rPr>
          <w:rtl w:val="true"/>
        </w:rPr>
        <w:t>המתגלים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בילדים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גרעין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' </w:t>
      </w:r>
      <w:r>
        <w:rPr>
          <w:rtl w:val="true"/>
        </w:rPr>
        <w:t>מבוסס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ואמין</w:t>
      </w:r>
      <w:r>
        <w:rPr>
          <w:rtl w:val="true"/>
        </w:rPr>
        <w:t>." (</w:t>
      </w:r>
      <w:r>
        <w:rPr>
          <w:rtl w:val="true"/>
        </w:rPr>
        <w:t>יניב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ואקי</w:t>
      </w:r>
      <w:r>
        <w:rPr>
          <w:rFonts w:eastAsia="Arial TUR" w:cs="Arial TUR"/>
          <w:rtl w:val="true"/>
        </w:rPr>
        <w:t xml:space="preserve"> </w:t>
      </w:r>
      <w:hyperlink r:id="rId5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428-427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תדירות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הארוכה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לדיוק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מירבי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בייחוד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מתארת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שהשתרעה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גדול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תזכור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ומדויק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לתקופות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החמישי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לבודד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ספציפי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הנגדית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כמהימנה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240" w:after="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יתירה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דינאמיקה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אותנטי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מהחדרת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("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עצם</w:t>
      </w:r>
      <w:r>
        <w:rPr>
          <w:rFonts w:cs="FrankRuehl" w:ascii="Century" w:hAnsi="Century"/>
          <w:spacing w:val="10"/>
          <w:szCs w:val="28"/>
          <w:rtl w:val="true"/>
        </w:rPr>
        <w:t xml:space="preserve">") </w:t>
      </w:r>
      <w:r>
        <w:rPr>
          <w:rFonts w:ascii="Century" w:hAnsi="Century" w:cs="FrankRuehl"/>
          <w:spacing w:val="10"/>
          <w:szCs w:val="28"/>
          <w:rtl w:val="true"/>
        </w:rPr>
        <w:t>עמוק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לתוכה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ההחדרות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("</w:t>
      </w:r>
      <w:r>
        <w:rPr>
          <w:rFonts w:ascii="Century" w:hAnsi="Century" w:cs="FrankRuehl"/>
          <w:spacing w:val="10"/>
          <w:szCs w:val="28"/>
          <w:rtl w:val="true"/>
        </w:rPr>
        <w:t>מקדימה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מאחורה</w:t>
      </w:r>
      <w:r>
        <w:rPr>
          <w:rFonts w:cs="FrankRuehl" w:ascii="Century" w:hAnsi="Century"/>
          <w:spacing w:val="10"/>
          <w:szCs w:val="28"/>
          <w:rtl w:val="true"/>
        </w:rPr>
        <w:t xml:space="preserve">"),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החולשה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לזוז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לצעוק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הדגמות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האקט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סופג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תגובותיו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שייתפס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 xml:space="preserve">-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ובממתקים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מרצונה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</w:p>
    <w:p>
      <w:pPr>
        <w:pStyle w:val="Normal"/>
        <w:spacing w:lineRule="auto" w:line="360" w:before="240" w:after="0"/>
        <w:ind w:end="0"/>
        <w:jc w:val="both"/>
        <w:rPr>
          <w:rFonts w:ascii="Century" w:hAnsi="Century" w:cs="FrankRuehl"/>
          <w:spacing w:val="10"/>
          <w:sz w:val="18"/>
          <w:szCs w:val="28"/>
        </w:rPr>
      </w:pPr>
      <w:r>
        <w:rPr>
          <w:rFonts w:cs="FrankRuehl" w:ascii="Century" w:hAnsi="Century"/>
          <w:spacing w:val="10"/>
          <w:sz w:val="18"/>
          <w:szCs w:val="28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"...</w:t>
      </w:r>
      <w:r>
        <w:rPr>
          <w:rtl w:val="true"/>
        </w:rPr>
        <w:t>והייתי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השוקולד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.)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נשכבת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במיטה</w:t>
      </w:r>
      <w:r>
        <w:rPr>
          <w:rtl w:val="true"/>
        </w:rPr>
        <w:t xml:space="preserve">...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25-21</w:t>
      </w:r>
      <w:r>
        <w:rPr>
          <w:rtl w:val="true"/>
        </w:rPr>
        <w:t xml:space="preserve">). 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28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הכפשתו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ואדגיש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הפניית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מאשימה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נותרו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הפוגע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מעמידות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מאד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לתיאורה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בטלוויזיה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מכופף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לחצאיתה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ותגובתה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צעקתי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צעקות</w:t>
      </w:r>
      <w:r>
        <w:rPr>
          <w:rFonts w:cs="FrankRuehl" w:ascii="Century" w:hAnsi="Century"/>
          <w:spacing w:val="10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הבטן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התבטאותה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כלפיו</w:t>
      </w:r>
      <w:r>
        <w:rPr>
          <w:rFonts w:cs="FrankRuehl" w:ascii="Century" w:hAnsi="Century"/>
          <w:spacing w:val="10"/>
          <w:szCs w:val="28"/>
          <w:rtl w:val="true"/>
        </w:rPr>
        <w:t>, "</w:t>
      </w:r>
      <w:r>
        <w:rPr>
          <w:rFonts w:ascii="Century" w:hAnsi="Century" w:cs="FrankRuehl"/>
          <w:spacing w:val="10"/>
          <w:szCs w:val="28"/>
          <w:rtl w:val="true"/>
        </w:rPr>
        <w:t>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מרושע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אומנם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הכחישה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הכריז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עוינת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והעדיף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נדמה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למשמעות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תפיסתו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29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ובעקבותיה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ראיה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מסייעת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אובייקטיבית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5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8680/11</w:t>
        </w:r>
      </w:hyperlink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5.6.2013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5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5348/15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3.4.2016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תפקדה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כרגיל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רמז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האֵם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שהבינה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בדיעבד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הדחיקה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המאוחרת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מארבעה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מרכזיים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האחד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חינוך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rtl w:val="true"/>
        </w:rPr>
        <w:t>השלישי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Miriam"/>
          <w:b/>
          <w:b/>
          <w:rtl w:val="true"/>
        </w:rPr>
        <w:t>הרביעי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הבינה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מחברותיה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שבעבר</w:t>
      </w:r>
      <w:r>
        <w:rPr>
          <w:rFonts w:cs="FrankRuehl" w:ascii="Century" w:hAnsi="Century"/>
          <w:spacing w:val="10"/>
          <w:szCs w:val="28"/>
          <w:rtl w:val="true"/>
        </w:rPr>
        <w:t>, "</w:t>
      </w:r>
      <w:r>
        <w:rPr>
          <w:rFonts w:ascii="Century" w:hAnsi="Century" w:cs="FrankRuehl"/>
          <w:spacing w:val="10"/>
          <w:szCs w:val="28"/>
          <w:rtl w:val="true"/>
        </w:rPr>
        <w:t>כשהייתה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קטנה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צנועים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בסדר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שסבא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ומחבק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הכפול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ומעוררת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תמיהה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ההסברים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ראשית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cs="FrankRuehl"/>
          <w:spacing w:val="10"/>
          <w:szCs w:val="28"/>
          <w:rtl w:val="true"/>
        </w:rPr>
        <w:t>יברי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לכאורה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שנית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סיטואציה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המבוגר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והאהוב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ומתקבל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שהשפיע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פשוטו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כמשמעו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שלישית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מנגנון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התותב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בלחיצה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</w:rPr>
      </w:pPr>
      <w:r>
        <w:rPr>
          <w:rFonts w:cs="Miriam" w:ascii="Century" w:hAnsi="Century"/>
          <w:b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רביעית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נשמע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חמישית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לחריגות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ותומכת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במהימנותה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31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הסניגור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שפשוף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ששקלתי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שבשקילת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הקערה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לזיכוי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לממצאי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מהבדיקה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הבתולין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ותקין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ובמעשי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מעוררת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תמיהות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הרהרתי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בייחוד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ותדירותן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בסיכום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נכתב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הבדיקה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הרופאה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שבדקה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</w:t>
      </w:r>
      <w:r>
        <w:rPr>
          <w:rFonts w:cs="Miriam" w:ascii="Century" w:hAnsi="Century"/>
          <w:b/>
          <w:rtl w:val="true"/>
        </w:rPr>
        <w:t>'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להימצאותו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ותקין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הבתולין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בגיל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הבתולין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אלסטי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רירי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בהצטלקות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שארתיים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הטבעת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למחדלי החקירה להם 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אעיר מספר הערות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החקירה המשטרתית לא נועדה אך ורק לאיסוף ראיות להרשעתו של חשוד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לאיתור ראיות שיובילו לגילוי האמת העובדתית </w:t>
      </w:r>
      <w:r>
        <w:rPr>
          <w:rFonts w:cs="Century" w:ascii="Century" w:hAnsi="Century"/>
          <w:rtl w:val="true"/>
        </w:rPr>
        <w:t>(</w:t>
      </w:r>
      <w:hyperlink r:id="rId5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721/80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לה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466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1981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כל מחדל בחקירה גורם בהכרח לזיכוי הנאשם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כאשר קיימת תשתית ראייתית מספקת להוכחת אשמתו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בקיומם של מחדלי חקירה כשלעצמם כדי לגרום לזיכויו </w:t>
      </w:r>
      <w:r>
        <w:rPr>
          <w:rFonts w:cs="Century" w:ascii="Century" w:hAnsi="Century"/>
          <w:rtl w:val="true"/>
        </w:rPr>
        <w:t>(</w:t>
      </w:r>
      <w:hyperlink r:id="rId6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5386/05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אלחורטי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18.5.2006</w:t>
      </w:r>
      <w:r>
        <w:rPr>
          <w:rFonts w:cs="Century" w:ascii="Century" w:hAnsi="Century"/>
          <w:rtl w:val="true"/>
        </w:rPr>
        <w:t xml:space="preserve">)).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קיפחו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tl w:val="true"/>
        </w:rPr>
        <w:t xml:space="preserve">" </w:t>
      </w:r>
      <w:r>
        <w:rPr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9284/17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חורש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0"/>
          <w:szCs w:val="24"/>
          <w:rtl w:val="true"/>
        </w:rPr>
        <w:t>'</w:t>
      </w:r>
      <w:r>
        <w:rPr>
          <w:rFonts w:cs="Century" w:ascii="Century" w:hAnsi="Century"/>
          <w:sz w:val="2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0"/>
          <w:sz w:val="2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5.3.2020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33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ההתנהלות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מכבדת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לפשוט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מנגנון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לצלמו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רופא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בפרטיותו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ראויה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היחידה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המנגנון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אינטימיים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cs="FrankRuehl"/>
          <w:spacing w:val="10"/>
          <w:szCs w:val="28"/>
          <w:rtl w:val="true"/>
        </w:rPr>
        <w:t>יעתר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לבקשה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מוצג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34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סטייה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6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6807/17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24.4.2018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6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968/20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22.3.2021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16"/>
        </w:rPr>
      </w:pP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והראויה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ואופיים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הישנותן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והימשכותן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פגיעתו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נכדותיו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החופשית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הנכדות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וקרבתו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ההדוקה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16"/>
          <w:szCs w:val="28"/>
        </w:rPr>
      </w:pPr>
      <w:r>
        <w:rPr>
          <w:rFonts w:cs="FrankRuehl" w:ascii="Century" w:hAnsi="Century"/>
          <w:spacing w:val="10"/>
          <w:sz w:val="16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35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לחברותיי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>
                <w:rFonts w:ascii="Century" w:hAnsi="Century" w:cs="Century"/>
              </w:rPr>
            </w:pPr>
            <w:r>
              <w:rPr>
                <w:rFonts w:ascii="Century" w:hAnsi="Century" w:cs="Century"/>
                <w:rtl w:val="true"/>
              </w:rPr>
              <w:t>ש ו פ ט</w:t>
            </w:r>
          </w:p>
          <w:p>
            <w:pPr>
              <w:pStyle w:val="Ruller41"/>
              <w:ind w:end="0"/>
              <w:jc w:val="end"/>
              <w:rPr>
                <w:rFonts w:ascii="Century" w:hAnsi="Century" w:cs="Century"/>
              </w:rPr>
            </w:pPr>
            <w:r>
              <w:rPr>
                <w:rFonts w:cs="Century" w:ascii="Century" w:hAnsi="Century"/>
                <w:rtl w:val="true"/>
              </w:rPr>
            </w:r>
          </w:p>
        </w:tc>
      </w:tr>
    </w:tbl>
    <w:p>
      <w:pPr>
        <w:pStyle w:val="BODYVERDICT"/>
        <w:keepNext w:val="true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Miriam"/>
          <w:sz w:val="24"/>
          <w:sz w:val="24"/>
          <w:szCs w:val="24"/>
          <w:u w:val="single"/>
          <w:rtl w:val="true"/>
        </w:rPr>
        <w:t>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  <w:u w:val="single"/>
        </w:rPr>
      </w:pPr>
      <w:r>
        <w:rPr>
          <w:rFonts w:cs="FrankRuehl" w:ascii="Century" w:hAnsi="Century"/>
          <w:spacing w:val="10"/>
          <w:sz w:val="24"/>
          <w:szCs w:val="28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התמקדו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בהיבטים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שהצטברה</w:t>
      </w:r>
      <w:r>
        <w:rPr>
          <w:rtl w:val="true"/>
        </w:rPr>
        <w:t xml:space="preserve">. </w:t>
      </w:r>
      <w:r>
        <w:rPr>
          <w:rtl w:val="true"/>
        </w:rPr>
        <w:t>עדויותיהן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הדיוקים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ומסתברים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לתדירותם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הושפעו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ונכדתו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מנקודת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מבטי</w:t>
      </w:r>
      <w:r>
        <w:rPr>
          <w:rtl w:val="true"/>
        </w:rPr>
        <w:t xml:space="preserve">,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שהכירה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הפריזה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מפתח</w:t>
      </w:r>
      <w:r>
        <w:rPr>
          <w:rtl w:val="true"/>
        </w:rPr>
        <w:t xml:space="preserve">).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לשאלות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כשלעצמי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שאי</w:t>
      </w:r>
      <w:r>
        <w:rPr>
          <w:rtl w:val="true"/>
        </w:rPr>
        <w:t>-</w:t>
      </w:r>
      <w:r>
        <w:rPr>
          <w:rtl w:val="true"/>
        </w:rPr>
        <w:t>הופעתם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גילוים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היתכנות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8507/18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(</w:t>
      </w:r>
      <w:r>
        <w:rPr/>
        <w:t>9.9.2020</w:t>
      </w:r>
      <w:r>
        <w:rPr>
          <w:rtl w:val="true"/>
        </w:rPr>
        <w:t xml:space="preserve">); </w:t>
      </w:r>
      <w:hyperlink r:id="rId6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433/13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2.6.2014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לצמצום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>
                <w:rFonts w:ascii="Century" w:hAnsi="Century" w:cs="Century"/>
              </w:rPr>
            </w:pPr>
            <w:r>
              <w:rPr>
                <w:rFonts w:ascii="Century" w:hAnsi="Century" w:cs="Century"/>
                <w:rtl w:val="true"/>
              </w:rPr>
              <w:t>ש ו פ ט ת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BODYVERDICT"/>
        <w:keepNext w:val="true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  <w:u w:val="single"/>
        </w:rPr>
      </w:pPr>
      <w:r>
        <w:rPr>
          <w:rFonts w:cs="FrankRuehl" w:ascii="Century" w:hAnsi="Century"/>
          <w:spacing w:val="10"/>
          <w:sz w:val="24"/>
          <w:szCs w:val="28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מצטרפת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אלרון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בחוות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המפורטת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ההערות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שהוסיפה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ברק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ארז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מקובלות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הוחלט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אלרון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bookmarkStart w:id="21" w:name="Nitan"/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cs="FrankRuehl" w:ascii="Century" w:hAnsi="Century"/>
          <w:spacing w:val="10"/>
          <w:szCs w:val="28"/>
          <w:rtl w:val="true"/>
        </w:rPr>
        <w:t>, ‏</w:t>
      </w:r>
      <w:r>
        <w:rPr>
          <w:rFonts w:ascii="Century" w:hAnsi="Century" w:cs="FrankRuehl"/>
          <w:spacing w:val="10"/>
          <w:szCs w:val="28"/>
          <w:rtl w:val="true"/>
        </w:rPr>
        <w:t>י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התשפ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(‏</w:t>
      </w:r>
      <w:r>
        <w:rPr>
          <w:rFonts w:cs="FrankRuehl" w:ascii="Century" w:hAnsi="Century"/>
          <w:spacing w:val="10"/>
          <w:szCs w:val="28"/>
        </w:rPr>
        <w:t>21.7.2021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bookmarkEnd w:id="21"/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"/>
          <w:szCs w:val="10"/>
        </w:rPr>
      </w:pPr>
      <w:r>
        <w:rPr>
          <w:rFonts w:cs="FrankRuehl" w:ascii="Century" w:hAnsi="Century"/>
          <w:spacing w:val="10"/>
          <w:sz w:val="2"/>
          <w:szCs w:val="1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rFonts w:ascii="Century" w:hAnsi="Century" w:cs="Century"/>
                <w:rtl w:val="true"/>
              </w:rPr>
              <w:t>ה נ ש י א ה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ascii="Century" w:hAnsi="Century" w:cs="Century"/>
                <w:rtl w:val="true"/>
              </w:rPr>
              <w:t>ש ו פ ט ת</w:t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Fonts w:ascii="Century" w:hAnsi="Century" w:cs="Century"/>
                <w:rtl w:val="true"/>
              </w:rPr>
              <w:t>ש ו פ 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20060800</w:t>
      </w:r>
      <w:r>
        <w:rPr>
          <w:sz w:val="16"/>
          <w:rtl w:val="true"/>
        </w:rPr>
        <w:t>_</w:t>
      </w:r>
      <w:r>
        <w:rPr>
          <w:sz w:val="16"/>
        </w:rPr>
        <w:t>J16.docx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6">
        <w:r>
          <w:rPr>
            <w:rStyle w:val="Hyperlink"/>
            <w:sz w:val="16"/>
          </w:rPr>
          <w:t>https://supreme.court.gov.il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 w:val="22"/>
          <w:szCs w:val="22"/>
        </w:rPr>
        <w:t>54678313-6080/20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8"/>
      <w:footerReference w:type="default" r:id="rId6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6080/20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HeaderChar">
    <w:name w:val="Header Char"/>
    <w:qFormat/>
    <w:rPr>
      <w:rFonts w:cs="David"/>
      <w:szCs w:val="24"/>
    </w:rPr>
  </w:style>
  <w:style w:type="character" w:styleId="FooterChar">
    <w:name w:val="Footer Char"/>
    <w:qFormat/>
    <w:rPr>
      <w:rFonts w:cs="David"/>
      <w:szCs w:val="24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4" w:before="0" w:after="160"/>
      <w:ind w:hanging="0" w:start="720" w:end="0"/>
      <w:contextualSpacing/>
      <w:textAlignment w:val="auto"/>
    </w:pPr>
    <w:rPr>
      <w:rFonts w:ascii="Calibri" w:hAnsi="Calibri" w:eastAsia="Calibri" w:cs="Arial"/>
      <w:sz w:val="22"/>
      <w:szCs w:val="22"/>
    </w:rPr>
  </w:style>
  <w:style w:type="paragraph" w:styleId="Ruller42">
    <w:name w:val="Ruller 4 ממוספר"/>
    <w:basedOn w:val="Normal"/>
    <w:next w:val="Normal"/>
    <w:qFormat/>
    <w:pPr>
      <w:numPr>
        <w:ilvl w:val="0"/>
        <w:numId w:val="1"/>
      </w:numPr>
      <w:overflowPunct w:val="true"/>
      <w:autoSpaceDE w:val="true"/>
      <w:spacing w:lineRule="auto" w:line="360" w:before="0" w:after="420"/>
      <w:jc w:val="both"/>
      <w:textAlignment w:val="auto"/>
    </w:pPr>
    <w:rPr>
      <w:rFonts w:ascii="Garamond" w:hAnsi="Garamond" w:cs="FrankRuehl"/>
      <w:spacing w:val="10"/>
      <w:sz w:val="24"/>
      <w:szCs w:val="2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332749" TargetMode="External"/><Relationship Id="rId3" Type="http://schemas.openxmlformats.org/officeDocument/2006/relationships/hyperlink" Target="http://www.nevo.co.il/safrut/bookgroup/4173" TargetMode="External"/><Relationship Id="rId4" Type="http://schemas.openxmlformats.org/officeDocument/2006/relationships/hyperlink" Target="http://www.nevo.co.il/safrut/bookgroup/417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345.a.3" TargetMode="External"/><Relationship Id="rId8" Type="http://schemas.openxmlformats.org/officeDocument/2006/relationships/hyperlink" Target="http://www.nevo.co.il/law/70301/347.b" TargetMode="External"/><Relationship Id="rId9" Type="http://schemas.openxmlformats.org/officeDocument/2006/relationships/hyperlink" Target="http://www.nevo.co.il/law/70301/348.a" TargetMode="External"/><Relationship Id="rId10" Type="http://schemas.openxmlformats.org/officeDocument/2006/relationships/hyperlink" Target="http://www.nevo.co.il/law/70301/351.a" TargetMode="External"/><Relationship Id="rId11" Type="http://schemas.openxmlformats.org/officeDocument/2006/relationships/hyperlink" Target="http://www.nevo.co.il/law/70301/351.c.1" TargetMode="External"/><Relationship Id="rId12" Type="http://schemas.openxmlformats.org/officeDocument/2006/relationships/hyperlink" Target="http://www.nevo.co.il/law/70301/351.d" TargetMode="External"/><Relationship Id="rId13" Type="http://schemas.openxmlformats.org/officeDocument/2006/relationships/hyperlink" Target="http://www.nevo.co.il/case/24332749" TargetMode="External"/><Relationship Id="rId14" Type="http://schemas.openxmlformats.org/officeDocument/2006/relationships/hyperlink" Target="http://www.nevo.co.il/law/70301/351.a" TargetMode="External"/><Relationship Id="rId15" Type="http://schemas.openxmlformats.org/officeDocument/2006/relationships/hyperlink" Target="http://www.nevo.co.il/law/70301/345.a.3" TargetMode="External"/><Relationship Id="rId16" Type="http://schemas.openxmlformats.org/officeDocument/2006/relationships/hyperlink" Target="http://www.nevo.co.il/law/70301/347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51.a" TargetMode="External"/><Relationship Id="rId19" Type="http://schemas.openxmlformats.org/officeDocument/2006/relationships/hyperlink" Target="http://www.nevo.co.il/law/70301/345.a.3" TargetMode="External"/><Relationship Id="rId20" Type="http://schemas.openxmlformats.org/officeDocument/2006/relationships/hyperlink" Target="http://www.nevo.co.il/law/70301/25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51.c.1" TargetMode="External"/><Relationship Id="rId23" Type="http://schemas.openxmlformats.org/officeDocument/2006/relationships/hyperlink" Target="http://www.nevo.co.il/law/70301/348.a" TargetMode="External"/><Relationship Id="rId24" Type="http://schemas.openxmlformats.org/officeDocument/2006/relationships/hyperlink" Target="http://www.nevo.co.il/law/70301/345.a.3" TargetMode="External"/><Relationship Id="rId25" Type="http://schemas.openxmlformats.org/officeDocument/2006/relationships/hyperlink" Target="http://www.nevo.co.il/law/70301/351.d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51.c.1" TargetMode="External"/><Relationship Id="rId28" Type="http://schemas.openxmlformats.org/officeDocument/2006/relationships/hyperlink" Target="http://www.nevo.co.il/law/70301/348.a" TargetMode="External"/><Relationship Id="rId29" Type="http://schemas.openxmlformats.org/officeDocument/2006/relationships/hyperlink" Target="http://www.nevo.co.il/law/70301/345.a.3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351.c.1" TargetMode="External"/><Relationship Id="rId32" Type="http://schemas.openxmlformats.org/officeDocument/2006/relationships/hyperlink" Target="http://www.nevo.co.il/law/70301/348.a" TargetMode="External"/><Relationship Id="rId33" Type="http://schemas.openxmlformats.org/officeDocument/2006/relationships/hyperlink" Target="http://www.nevo.co.il/law/70301/345.a.3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351.c.1" TargetMode="External"/><Relationship Id="rId36" Type="http://schemas.openxmlformats.org/officeDocument/2006/relationships/hyperlink" Target="http://www.nevo.co.il/law/70301/348.a" TargetMode="External"/><Relationship Id="rId37" Type="http://schemas.openxmlformats.org/officeDocument/2006/relationships/hyperlink" Target="http://www.nevo.co.il/law/70301/345.a.3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25524768" TargetMode="External"/><Relationship Id="rId40" Type="http://schemas.openxmlformats.org/officeDocument/2006/relationships/hyperlink" Target="http://www.nevo.co.il/case/26781969" TargetMode="External"/><Relationship Id="rId41" Type="http://schemas.openxmlformats.org/officeDocument/2006/relationships/hyperlink" Target="http://www.nevo.co.il/case/5758600" TargetMode="External"/><Relationship Id="rId42" Type="http://schemas.openxmlformats.org/officeDocument/2006/relationships/hyperlink" Target="http://www.nevo.co.il/case/25195360" TargetMode="External"/><Relationship Id="rId43" Type="http://schemas.openxmlformats.org/officeDocument/2006/relationships/hyperlink" Target="http://www.nevo.co.il/case/5951406" TargetMode="External"/><Relationship Id="rId44" Type="http://schemas.openxmlformats.org/officeDocument/2006/relationships/hyperlink" Target="http://www.nevo.co.il/case/20000871" TargetMode="External"/><Relationship Id="rId45" Type="http://schemas.openxmlformats.org/officeDocument/2006/relationships/hyperlink" Target="http://www.nevo.co.il/case/21477255" TargetMode="External"/><Relationship Id="rId46" Type="http://schemas.openxmlformats.org/officeDocument/2006/relationships/hyperlink" Target="http://www.nevo.co.il/safrut/bookgroup/4173" TargetMode="External"/><Relationship Id="rId47" Type="http://schemas.openxmlformats.org/officeDocument/2006/relationships/hyperlink" Target="http://www.nevo.co.il/case/25305600" TargetMode="External"/><Relationship Id="rId48" Type="http://schemas.openxmlformats.org/officeDocument/2006/relationships/hyperlink" Target="http://www.nevo.co.il/case/6098589" TargetMode="External"/><Relationship Id="rId49" Type="http://schemas.openxmlformats.org/officeDocument/2006/relationships/hyperlink" Target="http://www.nevo.co.il/case/5608534" TargetMode="External"/><Relationship Id="rId50" Type="http://schemas.openxmlformats.org/officeDocument/2006/relationships/hyperlink" Target="http://www.nevo.co.il/case/5826383" TargetMode="External"/><Relationship Id="rId51" Type="http://schemas.openxmlformats.org/officeDocument/2006/relationships/hyperlink" Target="http://www.nevo.co.il/case/5774854" TargetMode="External"/><Relationship Id="rId52" Type="http://schemas.openxmlformats.org/officeDocument/2006/relationships/hyperlink" Target="http://www.nevo.co.il/case/24287809" TargetMode="External"/><Relationship Id="rId53" Type="http://schemas.openxmlformats.org/officeDocument/2006/relationships/hyperlink" Target="http://www.nevo.co.il/case/25800799" TargetMode="External"/><Relationship Id="rId54" Type="http://schemas.openxmlformats.org/officeDocument/2006/relationships/hyperlink" Target="http://www.nevo.co.il/case/25059769" TargetMode="External"/><Relationship Id="rId55" Type="http://schemas.openxmlformats.org/officeDocument/2006/relationships/hyperlink" Target="http://www.nevo.co.il/case/6129410" TargetMode="External"/><Relationship Id="rId56" Type="http://schemas.openxmlformats.org/officeDocument/2006/relationships/hyperlink" Target="http://www.nevo.co.il/safrut/bookgroup/4173" TargetMode="External"/><Relationship Id="rId57" Type="http://schemas.openxmlformats.org/officeDocument/2006/relationships/hyperlink" Target="http://www.nevo.co.il/case/6248583" TargetMode="External"/><Relationship Id="rId58" Type="http://schemas.openxmlformats.org/officeDocument/2006/relationships/hyperlink" Target="http://www.nevo.co.il/case/20489991" TargetMode="External"/><Relationship Id="rId59" Type="http://schemas.openxmlformats.org/officeDocument/2006/relationships/hyperlink" Target="http://www.nevo.co.il/case/17930772" TargetMode="External"/><Relationship Id="rId60" Type="http://schemas.openxmlformats.org/officeDocument/2006/relationships/hyperlink" Target="http://www.nevo.co.il/case/6009110" TargetMode="External"/><Relationship Id="rId61" Type="http://schemas.openxmlformats.org/officeDocument/2006/relationships/hyperlink" Target="http://www.nevo.co.il/case/23506677" TargetMode="External"/><Relationship Id="rId62" Type="http://schemas.openxmlformats.org/officeDocument/2006/relationships/hyperlink" Target="http://www.nevo.co.il/case/23507449" TargetMode="External"/><Relationship Id="rId63" Type="http://schemas.openxmlformats.org/officeDocument/2006/relationships/hyperlink" Target="http://www.nevo.co.il/case/26430898" TargetMode="External"/><Relationship Id="rId64" Type="http://schemas.openxmlformats.org/officeDocument/2006/relationships/hyperlink" Target="http://www.nevo.co.il/case/25195360" TargetMode="External"/><Relationship Id="rId65" Type="http://schemas.openxmlformats.org/officeDocument/2006/relationships/hyperlink" Target="http://www.nevo.co.il/case/6245562" TargetMode="External"/><Relationship Id="rId66" Type="http://schemas.openxmlformats.org/officeDocument/2006/relationships/hyperlink" Target="https://supreme.court.gov.il/" TargetMode="External"/><Relationship Id="rId67" Type="http://schemas.openxmlformats.org/officeDocument/2006/relationships/hyperlink" Target="http://www.nevo.co.il/advertisements/nevo-100.doc" TargetMode="External"/><Relationship Id="rId68" Type="http://schemas.openxmlformats.org/officeDocument/2006/relationships/header" Target="header1.xml"/><Relationship Id="rId69" Type="http://schemas.openxmlformats.org/officeDocument/2006/relationships/footer" Target="footer1.xml"/><Relationship Id="rId70" Type="http://schemas.openxmlformats.org/officeDocument/2006/relationships/numbering" Target="numbering.xm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2023-07-10T10:59:00Z</dcterms:created>
  <dc:creator> </dc:creator>
  <dc:description/>
  <cp:keywords/>
  <dc:language>en-IL</dc:language>
  <cp:lastModifiedBy>h1</cp:lastModifiedBy>
  <cp:lastPrinted>2021-07-21T08:15:00Z</cp:lastPrinted>
  <dcterms:modified xsi:type="dcterms:W3CDTF">2023-07-10T10:59:00Z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4173:4</vt:lpwstr>
  </property>
  <property fmtid="{D5CDD505-2E9C-101B-9397-08002B2CF9AE}" pid="5" name="CASESLISTTMP1">
    <vt:lpwstr>24332749:2;26781969;5758600;25195360:2;5951406;20000871;21477255;25305600;6098589;5608534;5826383;5774854;24287809;25800799;25059769;6129410;6248583;20489991;17930772;6009110;23506677;23507449;26430898;6245562</vt:lpwstr>
  </property>
  <property fmtid="{D5CDD505-2E9C-101B-9397-08002B2CF9AE}" pid="6" name="DATE">
    <vt:lpwstr>20210721</vt:lpwstr>
  </property>
  <property fmtid="{D5CDD505-2E9C-101B-9397-08002B2CF9AE}" pid="7" name="ISABSTRACT">
    <vt:lpwstr>Y</vt:lpwstr>
  </property>
  <property fmtid="{D5CDD505-2E9C-101B-9397-08002B2CF9AE}" pid="8" name="JUDGE">
    <vt:lpwstr>ד' ברק ארז;י' אלרון;א' חיות</vt:lpwstr>
  </property>
  <property fmtid="{D5CDD505-2E9C-101B-9397-08002B2CF9AE}" pid="9" name="LAWLISTTMP1">
    <vt:lpwstr>70301/351.a:2;345.a.3:6;347.b;025;351.c.1:4;348.a:4;351.d</vt:lpwstr>
  </property>
  <property fmtid="{D5CDD505-2E9C-101B-9397-08002B2CF9AE}" pid="10" name="LAWYER">
    <vt:lpwstr>לינור בן אוליאל;אבי כהן;יפה זמיר;פרידה וול;תמי קלנברג</vt:lpwstr>
  </property>
  <property fmtid="{D5CDD505-2E9C-101B-9397-08002B2CF9AE}" pid="11" name="METAKZER">
    <vt:lpwstr>נעה</vt:lpwstr>
  </property>
  <property fmtid="{D5CDD505-2E9C-101B-9397-08002B2CF9AE}" pid="12" name="NOSE11">
    <vt:lpwstr>עונשין</vt:lpwstr>
  </property>
  <property fmtid="{D5CDD505-2E9C-101B-9397-08002B2CF9AE}" pid="13" name="NOSE12">
    <vt:lpwstr>ראיות</vt:lpwstr>
  </property>
  <property fmtid="{D5CDD505-2E9C-101B-9397-08002B2CF9AE}" pid="14" name="NOSE13">
    <vt:lpwstr>ראיות</vt:lpwstr>
  </property>
  <property fmtid="{D5CDD505-2E9C-101B-9397-08002B2CF9AE}" pid="15" name="NOSE14">
    <vt:lpwstr>עונשין</vt:lpwstr>
  </property>
  <property fmtid="{D5CDD505-2E9C-101B-9397-08002B2CF9AE}" pid="16" name="NOSE15">
    <vt:lpwstr>עונשין</vt:lpwstr>
  </property>
  <property fmtid="{D5CDD505-2E9C-101B-9397-08002B2CF9AE}" pid="17" name="NOSE16">
    <vt:lpwstr>עונשין</vt:lpwstr>
  </property>
  <property fmtid="{D5CDD505-2E9C-101B-9397-08002B2CF9AE}" pid="18" name="NOSE17">
    <vt:lpwstr>דיון פלילי</vt:lpwstr>
  </property>
  <property fmtid="{D5CDD505-2E9C-101B-9397-08002B2CF9AE}" pid="19" name="NOSE1ID">
    <vt:lpwstr>77;89;89;77;77;77;18</vt:lpwstr>
  </property>
  <property fmtid="{D5CDD505-2E9C-101B-9397-08002B2CF9AE}" pid="20" name="NOSE21">
    <vt:lpwstr>עבירות</vt:lpwstr>
  </property>
  <property fmtid="{D5CDD505-2E9C-101B-9397-08002B2CF9AE}" pid="21" name="NOSE22">
    <vt:lpwstr>מהימנות</vt:lpwstr>
  </property>
  <property fmtid="{D5CDD505-2E9C-101B-9397-08002B2CF9AE}" pid="22" name="NOSE23">
    <vt:lpwstr>עדות</vt:lpwstr>
  </property>
  <property fmtid="{D5CDD505-2E9C-101B-9397-08002B2CF9AE}" pid="23" name="NOSE24">
    <vt:lpwstr>ענישה</vt:lpwstr>
  </property>
  <property fmtid="{D5CDD505-2E9C-101B-9397-08002B2CF9AE}" pid="24" name="NOSE25">
    <vt:lpwstr>ענישה</vt:lpwstr>
  </property>
  <property fmtid="{D5CDD505-2E9C-101B-9397-08002B2CF9AE}" pid="25" name="NOSE26">
    <vt:lpwstr>ענישה</vt:lpwstr>
  </property>
  <property fmtid="{D5CDD505-2E9C-101B-9397-08002B2CF9AE}" pid="26" name="NOSE27">
    <vt:lpwstr>חקירה במשטרה</vt:lpwstr>
  </property>
  <property fmtid="{D5CDD505-2E9C-101B-9397-08002B2CF9AE}" pid="27" name="NOSE2ID">
    <vt:lpwstr>1443;1635;1654;1446;1446;1446;475</vt:lpwstr>
  </property>
  <property fmtid="{D5CDD505-2E9C-101B-9397-08002B2CF9AE}" pid="28" name="NOSE31">
    <vt:lpwstr>עבירות מין במשפחה</vt:lpwstr>
  </property>
  <property fmtid="{D5CDD505-2E9C-101B-9397-08002B2CF9AE}" pid="29" name="NOSE32">
    <vt:lpwstr>בחינתה על-ידי ערכאת הערעור</vt:lpwstr>
  </property>
  <property fmtid="{D5CDD505-2E9C-101B-9397-08002B2CF9AE}" pid="30" name="NOSE33">
    <vt:lpwstr>קורבן עבירת מין</vt:lpwstr>
  </property>
  <property fmtid="{D5CDD505-2E9C-101B-9397-08002B2CF9AE}" pid="31" name="NOSE34">
    <vt:lpwstr>מדיניות ענישה: עבירות מין במשפחה</vt:lpwstr>
  </property>
  <property fmtid="{D5CDD505-2E9C-101B-9397-08002B2CF9AE}" pid="32" name="NOSE35">
    <vt:lpwstr>מדיניות ענישה: שיקולים לחומרה</vt:lpwstr>
  </property>
  <property fmtid="{D5CDD505-2E9C-101B-9397-08002B2CF9AE}" pid="33" name="NOSE36">
    <vt:lpwstr>מדיניות ענישה: התערבות ערכאת ערעור</vt:lpwstr>
  </property>
  <property fmtid="{D5CDD505-2E9C-101B-9397-08002B2CF9AE}" pid="34" name="NOSE37">
    <vt:lpwstr>מחדלי חקירה</vt:lpwstr>
  </property>
  <property fmtid="{D5CDD505-2E9C-101B-9397-08002B2CF9AE}" pid="35" name="NOSE3ID">
    <vt:lpwstr>12407;10196;12270;16241;8995;8982;3672</vt:lpwstr>
  </property>
  <property fmtid="{D5CDD505-2E9C-101B-9397-08002B2CF9AE}" pid="36" name="PADIDATE">
    <vt:lpwstr>20210722</vt:lpwstr>
  </property>
  <property fmtid="{D5CDD505-2E9C-101B-9397-08002B2CF9AE}" pid="37" name="PADIMAIL">
    <vt:lpwstr>YES</vt:lpwstr>
  </property>
  <property fmtid="{D5CDD505-2E9C-101B-9397-08002B2CF9AE}" pid="38" name="PROCESS">
    <vt:lpwstr>עפ</vt:lpwstr>
  </property>
  <property fmtid="{D5CDD505-2E9C-101B-9397-08002B2CF9AE}" pid="39" name="PROCNUM">
    <vt:lpwstr>6080</vt:lpwstr>
  </property>
  <property fmtid="{D5CDD505-2E9C-101B-9397-08002B2CF9AE}" pid="40" name="PROCYEAR">
    <vt:lpwstr>20</vt:lpwstr>
  </property>
  <property fmtid="{D5CDD505-2E9C-101B-9397-08002B2CF9AE}" pid="41" name="PSAKDIN">
    <vt:lpwstr>פסק-דין</vt:lpwstr>
  </property>
  <property fmtid="{D5CDD505-2E9C-101B-9397-08002B2CF9AE}" pid="42" name="TYPE">
    <vt:lpwstr>1</vt:lpwstr>
  </property>
  <property fmtid="{D5CDD505-2E9C-101B-9397-08002B2CF9AE}" pid="43" name="TYPE_ABS_DATE">
    <vt:lpwstr>410120210721</vt:lpwstr>
  </property>
  <property fmtid="{D5CDD505-2E9C-101B-9397-08002B2CF9AE}" pid="44" name="TYPE_N_DATE">
    <vt:lpwstr>41020210721</vt:lpwstr>
  </property>
  <property fmtid="{D5CDD505-2E9C-101B-9397-08002B2CF9AE}" pid="45" name="WORDNUMPAGES">
    <vt:lpwstr>26</vt:lpwstr>
  </property>
</Properties>
</file>