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6095/20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נעם סולברג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דוד מינץ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יחיאל כשר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ואסאם טאהא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משיבים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עזבון המנוח יוסף גסט ז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ascii="David" w:hAnsi="David"/>
                <w:rtl w:val="true"/>
              </w:rPr>
              <w:t>ערעור על הכרעת הדין של בית המשפט המחוזי בחיפה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15.7.2020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37706-12-17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>שניתן 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כב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השופטים כ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סעב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ליפשיץ 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ג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 xml:space="preserve">ציגלר  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ו באייר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ג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6.5.2024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משה גלעד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ה </w:t>
            </w: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בשם המשיב </w:t>
            </w: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איתמר גלבפיש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עביר בכר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441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אלון הראל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 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הגישה הכלכלית למשפט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עורך אוריאל פרוקצ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),  (</w:t>
        </w:r>
        <w:r>
          <w:rPr>
            <w:rStyle w:val="Hyperlink"/>
            <w:rFonts w:cs="FrankRuehl" w:ascii="FrankRuehl" w:hAnsi="FrankRuehl"/>
            <w:u w:val="none"/>
          </w:rPr>
          <w:t>2012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637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inks_Kitvei_End"/>
      <w:bookmarkStart w:id="5" w:name="Links_Kitvei_End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6" w:name="Links_Start"/>
      <w:bookmarkEnd w:id="6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</w:rPr>
          <w:t>311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u w:val="none"/>
          </w:rPr>
          <w:t>53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3" w:name="ABSTRACT_START"/>
      <w:bookmarkEnd w:id="1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שעונשו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שעשוי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בנוסחו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לחקיקת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בנוסחו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– "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עכורים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סיכמו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האיזור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לנתק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הוּכח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שיחתם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מובהק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דקות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שחלף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וכלל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עסקינן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לדבריה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סולברג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מינץ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התחולה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יִמצא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מנדבכיו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בעולמם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זוכים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לכותרת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תג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ענישתי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שמשכנה</w:t>
      </w:r>
      <w:r>
        <w:rPr>
          <w:rFonts w:cs="Times New Roman"/>
          <w:szCs w:val="26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ושעונשה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הנעדרת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תוארה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במרכזן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בהיבט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תפירת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שהעדרה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מליקויי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לרפורמה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שעוגנה</w:t>
      </w:r>
      <w:r>
        <w:rPr>
          <w:rFonts w:cs="Times New Roman"/>
          <w:szCs w:val="26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ושעונשה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המחליפה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המהותית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שמתגלה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לסביבתם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לתחולתה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יִחודי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המחלוקת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[...]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שדרוג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בהיבטי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וגמול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שעושהו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צעדיו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שקלם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ולבסוף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מזדהה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עִמו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איתנה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מדובר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גבוהים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בנפשו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המבצע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נתגלו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עכבות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להיפוכו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שבגדרו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עידנא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דריתחא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מגירוי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פתאומי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התמונה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היוצר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נתגבשה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שנקבעה</w:t>
      </w:r>
      <w:r>
        <w:rPr>
          <w:rFonts w:cs="Times New Roman"/>
          <w:szCs w:val="26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צמצום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קפדני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ומפורט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שנתגבשה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ומעמיקה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בכבישת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האתגרים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מחד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גיסא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יש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להקנות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לסעיף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וחלופותיו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פרשנות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רחבה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דיה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מנת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שיחול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אותם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מקרים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המגלמים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מידת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האשם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וטיב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ההתנהגות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המצדיקים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זאת</w:t>
      </w:r>
      <w:r>
        <w:rPr>
          <w:rFonts w:cs="FrankRuehl"/>
          <w:szCs w:val="26"/>
          <w:shd w:fill="FFFFFF" w:val="clear"/>
          <w:rtl w:val="true"/>
        </w:rPr>
        <w:t xml:space="preserve">; </w:t>
      </w:r>
      <w:r>
        <w:rPr>
          <w:rFonts w:cs="FrankRuehl"/>
          <w:szCs w:val="26"/>
          <w:shd w:fill="FFFFFF" w:val="clear"/>
          <w:rtl w:val="true"/>
        </w:rPr>
        <w:t>מאידך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גיסא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אם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נפרשו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בהרחבה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יתרה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נמצא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עצמנו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קרובים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</w:t>
      </w:r>
      <w:r>
        <w:rPr>
          <w:rFonts w:cs="FrankRuehl"/>
          <w:szCs w:val="26"/>
          <w:shd w:fill="FFFFFF" w:val="clear"/>
          <w:rtl w:val="true"/>
        </w:rPr>
        <w:t>"</w:t>
      </w:r>
      <w:r>
        <w:rPr>
          <w:rFonts w:cs="FrankRuehl"/>
          <w:szCs w:val="26"/>
          <w:shd w:fill="FFFFFF" w:val="clear"/>
          <w:rtl w:val="true"/>
        </w:rPr>
        <w:t>נקודת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ההתחלה</w:t>
      </w:r>
      <w:r>
        <w:rPr>
          <w:rFonts w:cs="FrankRuehl"/>
          <w:szCs w:val="26"/>
          <w:shd w:fill="FFFFFF" w:val="clear"/>
          <w:rtl w:val="true"/>
        </w:rPr>
        <w:t xml:space="preserve">" </w:t>
      </w:r>
      <w:r>
        <w:rPr>
          <w:rFonts w:cs="FrankRuehl"/>
          <w:szCs w:val="26"/>
          <w:shd w:fill="FFFFFF" w:val="clear"/>
          <w:rtl w:val="true"/>
        </w:rPr>
        <w:t>שקדמה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לרפורמה</w:t>
      </w: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shd w:fill="FFFFFF" w:val="clear"/>
          <w:rtl w:val="true"/>
        </w:rPr>
        <w:t>ובאשר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למקרה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דנן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מצומצמת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מצומצמת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משמעותה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לעֹברה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הנזכרת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ששררה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בוססו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שבדבריהם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שגיבשה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מיתרון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>, "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FrankRuehl"/>
          <w:szCs w:val="26"/>
          <w:rtl w:val="true"/>
        </w:rPr>
        <w:t xml:space="preserve">";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מנטאלי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להצטיידות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ששימש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הסתכלותו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מכוניתו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כדרכן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שעשויה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והיגיון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היוצא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גוברת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והחלטי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גובש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המודל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כשלעצמה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נבחנות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שקובצו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כמכלול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ונבדק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לכאורית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המסבכת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הלכאורית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הלכאורית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FrankRuehl"/>
          <w:szCs w:val="26"/>
          <w:rtl w:val="true"/>
        </w:rPr>
        <w:t xml:space="preserve">"; </w:t>
      </w:r>
      <w:r>
        <w:rPr>
          <w:rFonts w:cs="FrankRuehl"/>
          <w:szCs w:val="26"/>
          <w:rtl w:val="true"/>
        </w:rPr>
        <w:t>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מבוססת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חלון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שבמהלכו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ששררה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שנפרשה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המפלילה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שנתגבשה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ריאלית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במבחני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התרחיש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ולהֹרגו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העזר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שעליהן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ולהיפגש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המשכו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שנסע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דקות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שבמהלכן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ולהרהר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וסיומו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הטרגי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שלאחריו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השקילה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שעונשו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>" (</w:t>
      </w:r>
      <w:hyperlink r:id="rId3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הפועל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6" w:name="PsakDin"/>
            <w:bookmarkEnd w:id="16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7" w:name="NGCSBookmark"/>
      <w:bookmarkStart w:id="18" w:name="NGCSBookmark"/>
      <w:bookmarkEnd w:id="18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נעם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סולברג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 על הכרעת הדין 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15.7.2020</w:t>
      </w:r>
      <w:r>
        <w:rPr>
          <w:rtl w:val="true"/>
        </w:rPr>
        <w:t xml:space="preserve">, </w:t>
      </w:r>
      <w:r>
        <w:rPr>
          <w:rtl w:val="true"/>
        </w:rPr>
        <w:t>שעשוי להשליך גם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27.7.2020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37706-12-17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במסגרת הכרעת הדין הורשע המערער</w:t>
      </w:r>
      <w:r>
        <w:rPr>
          <w:rtl w:val="true"/>
        </w:rPr>
        <w:t xml:space="preserve">, </w:t>
      </w:r>
      <w:r>
        <w:rPr>
          <w:rtl w:val="true"/>
        </w:rPr>
        <w:t>ואסאם טאהא</w:t>
      </w:r>
      <w:r>
        <w:rPr>
          <w:rtl w:val="true"/>
        </w:rPr>
        <w:t xml:space="preserve">, </w:t>
      </w:r>
      <w:r>
        <w:rPr>
          <w:rtl w:val="true"/>
        </w:rPr>
        <w:t>ברצח שכנו</w:t>
      </w:r>
      <w:r>
        <w:rPr>
          <w:rtl w:val="true"/>
        </w:rPr>
        <w:t xml:space="preserve">, </w:t>
      </w:r>
      <w:r>
        <w:rPr>
          <w:rtl w:val="true"/>
        </w:rPr>
        <w:t xml:space="preserve">יוסף גטאס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בנוסחו שקדם לחקיקת 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). </w:t>
      </w:r>
      <w:r>
        <w:rPr>
          <w:rtl w:val="true"/>
        </w:rPr>
        <w:t>עוד הורשע המערער בביצוע עבירות של החזקה ונשיאת נשק ללא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זוכה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מהאשמתו 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בגין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המחוזי על המערער את עונש החובה שקבוע היה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בנוסחו עובר לתיקון </w:t>
      </w:r>
      <w:r>
        <w:rPr/>
        <w:t>137</w:t>
      </w:r>
      <w:r>
        <w:rPr>
          <w:rtl w:val="true"/>
        </w:rPr>
        <w:t xml:space="preserve">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כמו גם פיצוי כספי לעיזבון המנוח</w:t>
      </w:r>
      <w:r>
        <w:rPr>
          <w:rtl w:val="true"/>
        </w:rPr>
        <w:t xml:space="preserve">. </w:t>
      </w:r>
      <w:r>
        <w:rPr>
          <w:rtl w:val="true"/>
        </w:rPr>
        <w:t>בשל עבירות הנשק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על המערער שנתיים מאסר בפועל</w:t>
      </w:r>
      <w:r>
        <w:rPr>
          <w:rtl w:val="true"/>
        </w:rPr>
        <w:t xml:space="preserve">, </w:t>
      </w:r>
      <w:r>
        <w:rPr>
          <w:rtl w:val="true"/>
        </w:rPr>
        <w:t>שתרוצנה בחופף לעונש מאסר העולם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מאז 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דרו המנוח והמערער בשכנות בבניין משותף בעיר חיפה</w:t>
      </w:r>
      <w:r>
        <w:rPr>
          <w:rtl w:val="true"/>
        </w:rPr>
        <w:t xml:space="preserve">. </w:t>
      </w:r>
      <w:r>
        <w:rPr>
          <w:rtl w:val="true"/>
        </w:rPr>
        <w:t>בין השניים התקיימו יחסי ידידות</w:t>
      </w:r>
      <w:r>
        <w:rPr>
          <w:rtl w:val="true"/>
        </w:rPr>
        <w:t xml:space="preserve">, </w:t>
      </w:r>
      <w:r>
        <w:rPr>
          <w:rtl w:val="true"/>
        </w:rPr>
        <w:t xml:space="preserve">אולם במהלך התקופה שסביב חודש נובמבר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גבה טורא בין השניים</w:t>
      </w:r>
      <w:r>
        <w:rPr>
          <w:rtl w:val="true"/>
        </w:rPr>
        <w:t xml:space="preserve">, </w:t>
      </w:r>
      <w:r>
        <w:rPr>
          <w:rtl w:val="true"/>
        </w:rPr>
        <w:t>בשל חוב כספי</w:t>
      </w:r>
      <w:r>
        <w:rPr>
          <w:rtl w:val="true"/>
        </w:rPr>
        <w:t xml:space="preserve">, </w:t>
      </w:r>
      <w:r>
        <w:rPr>
          <w:rtl w:val="true"/>
        </w:rPr>
        <w:t>שיעורו – כמה אלפי שקלים בלבד</w:t>
      </w:r>
      <w:r>
        <w:rPr>
          <w:rtl w:val="true"/>
        </w:rPr>
        <w:t xml:space="preserve">, </w:t>
      </w:r>
      <w:r>
        <w:rPr>
          <w:rtl w:val="true"/>
        </w:rPr>
        <w:t>שחב המערער למנוח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בערבו של יום </w:t>
      </w:r>
      <w:r>
        <w:rPr/>
        <w:t>15.11.2017</w:t>
      </w:r>
      <w:r>
        <w:rPr>
          <w:rtl w:val="true"/>
        </w:rPr>
        <w:t xml:space="preserve">, </w:t>
      </w:r>
      <w:r>
        <w:rPr>
          <w:rtl w:val="true"/>
        </w:rPr>
        <w:t>יצא המערער את ביתו</w:t>
      </w:r>
      <w:r>
        <w:rPr>
          <w:rtl w:val="true"/>
        </w:rPr>
        <w:t xml:space="preserve">, </w:t>
      </w:r>
      <w:r>
        <w:rPr>
          <w:rtl w:val="true"/>
        </w:rPr>
        <w:t xml:space="preserve">ובסביבות השעה </w:t>
      </w:r>
      <w:r>
        <w:rPr/>
        <w:t>20:10</w:t>
      </w:r>
      <w:r>
        <w:rPr>
          <w:rtl w:val="true"/>
        </w:rPr>
        <w:t xml:space="preserve">, </w:t>
      </w:r>
      <w:r>
        <w:rPr>
          <w:rtl w:val="true"/>
        </w:rPr>
        <w:t>פגש במנוח</w:t>
      </w:r>
      <w:r>
        <w:rPr>
          <w:rtl w:val="true"/>
        </w:rPr>
        <w:t xml:space="preserve">,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ברחובה של עיר</w:t>
      </w:r>
      <w:r>
        <w:rPr>
          <w:rtl w:val="true"/>
        </w:rPr>
        <w:t xml:space="preserve">. </w:t>
      </w:r>
      <w:r>
        <w:rPr>
          <w:rtl w:val="true"/>
        </w:rPr>
        <w:t>המנוח ניגש אל המערער</w:t>
      </w:r>
      <w:r>
        <w:rPr>
          <w:rtl w:val="true"/>
        </w:rPr>
        <w:t xml:space="preserve">, </w:t>
      </w:r>
      <w:r>
        <w:rPr>
          <w:rtl w:val="true"/>
        </w:rPr>
        <w:t>והשניים שוחחו שיחה קצרה</w:t>
      </w:r>
      <w:r>
        <w:rPr>
          <w:rtl w:val="true"/>
        </w:rPr>
        <w:t xml:space="preserve">, </w:t>
      </w:r>
      <w:r>
        <w:rPr>
          <w:rtl w:val="true"/>
        </w:rPr>
        <w:t>שבמהלכה תבע המנוח מן המערער כי יפרע את חובו</w:t>
      </w:r>
      <w:r>
        <w:rPr>
          <w:rtl w:val="true"/>
        </w:rPr>
        <w:t xml:space="preserve">. </w:t>
      </w:r>
      <w:r>
        <w:rPr>
          <w:rtl w:val="true"/>
        </w:rPr>
        <w:t>לאחר השיחה</w:t>
      </w:r>
      <w:r>
        <w:rPr>
          <w:rtl w:val="true"/>
        </w:rPr>
        <w:t xml:space="preserve">, </w:t>
      </w:r>
      <w:r>
        <w:rPr>
          <w:rtl w:val="true"/>
        </w:rPr>
        <w:t>החלו השניים מתקדמים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אל עבר בניין מגוריהם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כך לפי כתב האישום</w:t>
      </w:r>
      <w:r>
        <w:rPr>
          <w:rtl w:val="true"/>
        </w:rPr>
        <w:t xml:space="preserve">, </w:t>
      </w:r>
      <w:r>
        <w:rPr>
          <w:rtl w:val="true"/>
        </w:rPr>
        <w:t>גמלה בליבו של המערער ההחלטה להמית את המנוח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רקע ניסיון המנוח לגבות ממנו את חובו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20:17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ניגש המערער למכוניתו – שבה החזיק כלִי נשק מסוג תת מקלע מאולתר</w:t>
      </w:r>
      <w:r>
        <w:rPr>
          <w:rtl w:val="true"/>
        </w:rPr>
        <w:t xml:space="preserve">, </w:t>
      </w:r>
      <w:r>
        <w:rPr>
          <w:rtl w:val="true"/>
        </w:rPr>
        <w:t>מחסנית ותחמושת – פתח את תא המטען</w:t>
      </w:r>
      <w:r>
        <w:rPr>
          <w:rtl w:val="true"/>
        </w:rPr>
        <w:t xml:space="preserve">, </w:t>
      </w:r>
      <w:r>
        <w:rPr>
          <w:rtl w:val="true"/>
        </w:rPr>
        <w:t>בחן את תכולתו</w:t>
      </w:r>
      <w:r>
        <w:rPr>
          <w:rtl w:val="true"/>
        </w:rPr>
        <w:t xml:space="preserve">, </w:t>
      </w:r>
      <w:r>
        <w:rPr>
          <w:rtl w:val="true"/>
        </w:rPr>
        <w:t>סגרוֹ והחל בנסיעה</w:t>
      </w:r>
      <w:r>
        <w:rPr>
          <w:rtl w:val="true"/>
        </w:rPr>
        <w:t xml:space="preserve">.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החל המנוח נוסע אחרי המערער במכוניתו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tl w:val="true"/>
        </w:rPr>
        <w:t xml:space="preserve">; </w:t>
      </w:r>
      <w:r>
        <w:rPr>
          <w:rtl w:val="true"/>
        </w:rPr>
        <w:t>אף עקפוֹ</w:t>
      </w:r>
      <w:r>
        <w:rPr>
          <w:rtl w:val="true"/>
        </w:rPr>
        <w:t xml:space="preserve">. </w:t>
      </w:r>
      <w:r>
        <w:rPr>
          <w:rtl w:val="true"/>
        </w:rPr>
        <w:t xml:space="preserve">בסביבות השעה </w:t>
      </w:r>
      <w:r>
        <w:rPr/>
        <w:t>20:25</w:t>
      </w:r>
      <w:r>
        <w:rPr>
          <w:rtl w:val="true"/>
        </w:rPr>
        <w:t xml:space="preserve">, </w:t>
      </w:r>
      <w:r>
        <w:rPr>
          <w:rtl w:val="true"/>
        </w:rPr>
        <w:t>הגיעו השניים אל יעדם המשותף – רחבת חניה הסמוכה לחוף ימה של חיפה</w:t>
      </w:r>
      <w:r>
        <w:rPr>
          <w:rtl w:val="true"/>
        </w:rPr>
        <w:t xml:space="preserve">; </w:t>
      </w:r>
      <w:r>
        <w:rPr>
          <w:rtl w:val="true"/>
        </w:rPr>
        <w:t>המנוח הגיע ראשון</w:t>
      </w:r>
      <w:r>
        <w:rPr>
          <w:rtl w:val="true"/>
        </w:rPr>
        <w:t xml:space="preserve">, </w:t>
      </w:r>
      <w:r>
        <w:rPr>
          <w:rtl w:val="true"/>
        </w:rPr>
        <w:t>המערער בעקבותיו</w:t>
      </w:r>
      <w:r>
        <w:rPr>
          <w:rtl w:val="true"/>
        </w:rPr>
        <w:t xml:space="preserve">, </w:t>
      </w:r>
      <w:r>
        <w:rPr>
          <w:rtl w:val="true"/>
        </w:rPr>
        <w:t>מעט אחריו</w:t>
      </w:r>
      <w:r>
        <w:rPr>
          <w:rtl w:val="true"/>
        </w:rPr>
        <w:t xml:space="preserve">. </w:t>
      </w:r>
      <w:r>
        <w:rPr>
          <w:rtl w:val="true"/>
        </w:rPr>
        <w:t>מיד עם הגיעו למקום</w:t>
      </w:r>
      <w:r>
        <w:rPr>
          <w:rtl w:val="true"/>
        </w:rPr>
        <w:t xml:space="preserve">, </w:t>
      </w:r>
      <w:r>
        <w:rPr>
          <w:rtl w:val="true"/>
        </w:rPr>
        <w:t>יצא המערער ממכוניתו</w:t>
      </w:r>
      <w:r>
        <w:rPr>
          <w:rtl w:val="true"/>
        </w:rPr>
        <w:t xml:space="preserve">, </w:t>
      </w:r>
      <w:r>
        <w:rPr>
          <w:rtl w:val="true"/>
        </w:rPr>
        <w:t>נשקו עִמו</w:t>
      </w:r>
      <w:r>
        <w:rPr>
          <w:rtl w:val="true"/>
        </w:rPr>
        <w:t xml:space="preserve">, </w:t>
      </w:r>
      <w:r>
        <w:rPr>
          <w:rtl w:val="true"/>
        </w:rPr>
        <w:t>ומגמת פניו להרג המנוח</w:t>
      </w:r>
      <w:r>
        <w:rPr>
          <w:rtl w:val="true"/>
        </w:rPr>
        <w:t xml:space="preserve">. </w:t>
      </w:r>
      <w:r>
        <w:rPr>
          <w:rtl w:val="true"/>
        </w:rPr>
        <w:t>המערער התקדם לעבר המנוח וירה לעברו יריה אחת</w:t>
      </w:r>
      <w:r>
        <w:rPr>
          <w:rtl w:val="true"/>
        </w:rPr>
        <w:t xml:space="preserve">;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מִצִדו</w:t>
      </w:r>
      <w:r>
        <w:rPr>
          <w:rtl w:val="true"/>
        </w:rPr>
        <w:t xml:space="preserve">, </w:t>
      </w:r>
      <w:r>
        <w:rPr>
          <w:rtl w:val="true"/>
        </w:rPr>
        <w:t>התקרב אף הוא אל המערער</w:t>
      </w:r>
      <w:r>
        <w:rPr>
          <w:rtl w:val="true"/>
        </w:rPr>
        <w:t xml:space="preserve">, </w:t>
      </w:r>
      <w:r>
        <w:rPr>
          <w:rtl w:val="true"/>
        </w:rPr>
        <w:t>ובין השניים נוצר מגע קצר</w:t>
      </w:r>
      <w:r>
        <w:rPr>
          <w:rtl w:val="true"/>
        </w:rPr>
        <w:t xml:space="preserve">, </w:t>
      </w:r>
      <w:r>
        <w:rPr>
          <w:rtl w:val="true"/>
        </w:rPr>
        <w:t>שהסתיים כאשר המערער ירה לעבר המנוח יריה נוספת</w:t>
      </w:r>
      <w:r>
        <w:rPr>
          <w:rtl w:val="true"/>
        </w:rPr>
        <w:t xml:space="preserve">, </w:t>
      </w:r>
      <w:r>
        <w:rPr>
          <w:rtl w:val="true"/>
        </w:rPr>
        <w:t>מטווח קרוב</w:t>
      </w:r>
      <w:r>
        <w:rPr>
          <w:rtl w:val="true"/>
        </w:rPr>
        <w:t xml:space="preserve">; </w:t>
      </w:r>
      <w:r>
        <w:rPr>
          <w:rtl w:val="true"/>
        </w:rPr>
        <w:t>לאחריה התמוטט המנוח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הבחין המערער בשני אחים</w:t>
      </w:r>
      <w:r>
        <w:rPr>
          <w:rtl w:val="true"/>
        </w:rPr>
        <w:t xml:space="preserve">, </w:t>
      </w:r>
      <w:r>
        <w:rPr>
          <w:rtl w:val="true"/>
        </w:rPr>
        <w:t>שהזדמנו לזירת האירוע במכוניתם זמן קצר לאחר שהגיע אליה המנוח</w:t>
      </w:r>
      <w:r>
        <w:rPr>
          <w:rtl w:val="true"/>
        </w:rPr>
        <w:t xml:space="preserve">, </w:t>
      </w:r>
      <w:r>
        <w:rPr>
          <w:rtl w:val="true"/>
        </w:rPr>
        <w:t>בטרם ביצוע הירי</w:t>
      </w:r>
      <w:r>
        <w:rPr>
          <w:rtl w:val="true"/>
        </w:rPr>
        <w:t xml:space="preserve">. </w:t>
      </w:r>
      <w:r>
        <w:rPr>
          <w:rtl w:val="true"/>
        </w:rPr>
        <w:t>המערער כיוון לעבר האחים את נשקו</w:t>
      </w:r>
      <w:r>
        <w:rPr>
          <w:rtl w:val="true"/>
        </w:rPr>
        <w:t xml:space="preserve">, </w:t>
      </w:r>
      <w:r>
        <w:rPr>
          <w:rtl w:val="true"/>
        </w:rPr>
        <w:t>והורה להם לכבות את מנוע מכוניתם</w:t>
      </w:r>
      <w:r>
        <w:rPr>
          <w:rtl w:val="true"/>
        </w:rPr>
        <w:t xml:space="preserve">. </w:t>
      </w:r>
      <w:r>
        <w:rPr>
          <w:rtl w:val="true"/>
        </w:rPr>
        <w:t>משעשו כן</w:t>
      </w:r>
      <w:r>
        <w:rPr>
          <w:rtl w:val="true"/>
        </w:rPr>
        <w:t xml:space="preserve">, </w:t>
      </w:r>
      <w:r>
        <w:rPr>
          <w:rtl w:val="true"/>
        </w:rPr>
        <w:t>ניגש המערער למכוניתו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ונמלט מן המקום בנסיעה מהירה</w:t>
      </w:r>
      <w:r>
        <w:rPr>
          <w:rtl w:val="true"/>
        </w:rPr>
        <w:t xml:space="preserve">. </w:t>
      </w:r>
      <w:r>
        <w:rPr>
          <w:rtl w:val="true"/>
        </w:rPr>
        <w:t>האחים ניגשו אל המנוח</w:t>
      </w:r>
      <w:r>
        <w:rPr>
          <w:rtl w:val="true"/>
        </w:rPr>
        <w:t xml:space="preserve">, </w:t>
      </w:r>
      <w:r>
        <w:rPr>
          <w:rtl w:val="true"/>
        </w:rPr>
        <w:t>ניסו לבצע בו פעולות החייאה</w:t>
      </w:r>
      <w:r>
        <w:rPr>
          <w:rtl w:val="true"/>
        </w:rPr>
        <w:t xml:space="preserve">, </w:t>
      </w:r>
      <w:r>
        <w:rPr>
          <w:rtl w:val="true"/>
        </w:rPr>
        <w:t>והזעיקו לזירה כוחות משטרה ורפואה</w:t>
      </w:r>
      <w:r>
        <w:rPr>
          <w:rtl w:val="true"/>
        </w:rPr>
        <w:t xml:space="preserve">. </w:t>
      </w:r>
      <w:r>
        <w:rPr>
          <w:rtl w:val="true"/>
        </w:rPr>
        <w:t>המנוח פונה לבית החולים רמב</w:t>
      </w:r>
      <w:r>
        <w:rPr>
          <w:rtl w:val="true"/>
        </w:rPr>
        <w:t>"</w:t>
      </w:r>
      <w:r>
        <w:rPr>
          <w:rtl w:val="true"/>
        </w:rPr>
        <w:t>ם בחיפה</w:t>
      </w:r>
      <w:r>
        <w:rPr>
          <w:rtl w:val="true"/>
        </w:rPr>
        <w:t xml:space="preserve">, </w:t>
      </w:r>
      <w:r>
        <w:rPr>
          <w:rtl w:val="true"/>
        </w:rPr>
        <w:t>שם נקבע מותו כתוצאה מאיבוד דם</w:t>
      </w:r>
      <w:r>
        <w:rPr>
          <w:rtl w:val="true"/>
        </w:rPr>
        <w:t xml:space="preserve">. </w:t>
      </w:r>
      <w:r>
        <w:rPr>
          <w:rtl w:val="true"/>
        </w:rPr>
        <w:t>במקביל להתרחשויות אלה</w:t>
      </w:r>
      <w:r>
        <w:rPr>
          <w:rtl w:val="true"/>
        </w:rPr>
        <w:t xml:space="preserve">, </w:t>
      </w:r>
      <w:r>
        <w:rPr>
          <w:rtl w:val="true"/>
        </w:rPr>
        <w:t>הגיע המערער לביתו</w:t>
      </w:r>
      <w:r>
        <w:rPr>
          <w:rtl w:val="true"/>
        </w:rPr>
        <w:t xml:space="preserve">, </w:t>
      </w:r>
      <w:r>
        <w:rPr>
          <w:rtl w:val="true"/>
        </w:rPr>
        <w:t>נטל תיק ובגדים</w:t>
      </w:r>
      <w:r>
        <w:rPr>
          <w:rtl w:val="true"/>
        </w:rPr>
        <w:t xml:space="preserve">, </w:t>
      </w:r>
      <w:r>
        <w:rPr>
          <w:rtl w:val="true"/>
        </w:rPr>
        <w:t>ונסע לקרובי משפחה של אשתו</w:t>
      </w:r>
      <w:r>
        <w:rPr>
          <w:rtl w:val="true"/>
        </w:rPr>
        <w:t xml:space="preserve">, </w:t>
      </w:r>
      <w:r>
        <w:rPr>
          <w:rtl w:val="true"/>
        </w:rPr>
        <w:t>המתגוררים באזור ירושלים</w:t>
      </w:r>
      <w:r>
        <w:rPr>
          <w:rtl w:val="true"/>
        </w:rPr>
        <w:t xml:space="preserve">. </w:t>
      </w:r>
      <w:r>
        <w:rPr>
          <w:rtl w:val="true"/>
        </w:rPr>
        <w:t>לאחר שהעביר בביתם את הלילה</w:t>
      </w:r>
      <w:r>
        <w:rPr>
          <w:rtl w:val="true"/>
        </w:rPr>
        <w:t xml:space="preserve">, </w:t>
      </w:r>
      <w:r>
        <w:rPr>
          <w:rtl w:val="true"/>
        </w:rPr>
        <w:t>והחליף את הבגדים שלבש במהלך אירוע הרצח</w:t>
      </w:r>
      <w:r>
        <w:rPr>
          <w:rtl w:val="true"/>
        </w:rPr>
        <w:t xml:space="preserve">, </w:t>
      </w:r>
      <w:r>
        <w:rPr>
          <w:rtl w:val="true"/>
        </w:rPr>
        <w:t>שב המערער לחיפה</w:t>
      </w:r>
      <w:r>
        <w:rPr>
          <w:rtl w:val="true"/>
        </w:rPr>
        <w:t xml:space="preserve">, </w:t>
      </w:r>
      <w:r>
        <w:rPr>
          <w:rtl w:val="true"/>
        </w:rPr>
        <w:t>ואף השתתף בהלוויית 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הוציא תחת ידו הכרעת דין מפורטת ומנומקת</w:t>
      </w:r>
      <w:r>
        <w:rPr>
          <w:rtl w:val="true"/>
        </w:rPr>
        <w:t xml:space="preserve">, </w:t>
      </w:r>
      <w:r>
        <w:rPr>
          <w:rtl w:val="true"/>
        </w:rPr>
        <w:t>שבגדרה נקבעו ממצאים במחלוקות עובדתיות רבות שנתגלעו בין הצדדים</w:t>
      </w:r>
      <w:r>
        <w:rPr>
          <w:rtl w:val="true"/>
        </w:rPr>
        <w:t xml:space="preserve">. </w:t>
      </w:r>
      <w:r>
        <w:rPr>
          <w:rtl w:val="true"/>
        </w:rPr>
        <w:t>את הכרעותיו אלה סמך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הערכת עדויותיהם של המערער ושל כמה מבני משפחתו</w:t>
      </w:r>
      <w:r>
        <w:rPr>
          <w:rtl w:val="true"/>
        </w:rPr>
        <w:t xml:space="preserve">; </w:t>
      </w:r>
      <w:r>
        <w:rPr>
          <w:rtl w:val="true"/>
        </w:rPr>
        <w:t>של האחים שחזו באירוע ההמתה</w:t>
      </w:r>
      <w:r>
        <w:rPr>
          <w:rtl w:val="true"/>
        </w:rPr>
        <w:t xml:space="preserve">; </w:t>
      </w:r>
      <w:r>
        <w:rPr>
          <w:rtl w:val="true"/>
        </w:rPr>
        <w:t>וכן של עדים נוספים</w:t>
      </w:r>
      <w:r>
        <w:rPr>
          <w:rtl w:val="true"/>
        </w:rPr>
        <w:t xml:space="preserve">. </w:t>
      </w:r>
      <w:r>
        <w:rPr>
          <w:rtl w:val="true"/>
        </w:rPr>
        <w:t>עוד הסתמך בית המשפט המחוזי על סרטונים ממצלמות שתיעדו את פגישת המנוח והמערער בראשית הערב</w:t>
      </w:r>
      <w:r>
        <w:rPr>
          <w:rtl w:val="true"/>
        </w:rPr>
        <w:t xml:space="preserve">, </w:t>
      </w:r>
      <w:r>
        <w:rPr>
          <w:rtl w:val="true"/>
        </w:rPr>
        <w:t xml:space="preserve">כמו גם את נסיעתם </w:t>
      </w:r>
      <w:r>
        <w:rPr>
          <w:rtl w:val="true"/>
        </w:rPr>
        <w:t>(</w:t>
      </w:r>
      <w:r>
        <w:rPr>
          <w:rtl w:val="true"/>
        </w:rPr>
        <w:t>איש איש במכוניתו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tl w:val="true"/>
        </w:rPr>
        <w:t xml:space="preserve">) </w:t>
      </w:r>
      <w:r>
        <w:rPr>
          <w:rtl w:val="true"/>
        </w:rPr>
        <w:t>לעבר זירת הרצח</w:t>
      </w:r>
      <w:r>
        <w:rPr>
          <w:rtl w:val="true"/>
        </w:rPr>
        <w:t xml:space="preserve">; </w:t>
      </w:r>
      <w:r>
        <w:rPr>
          <w:rtl w:val="true"/>
        </w:rPr>
        <w:t>על ניתוח שיחת טלפון שקיים אחד מן האחים בעת ביצוע הירי</w:t>
      </w:r>
      <w:r>
        <w:rPr>
          <w:rtl w:val="true"/>
        </w:rPr>
        <w:t xml:space="preserve">; </w:t>
      </w:r>
      <w:r>
        <w:rPr>
          <w:rtl w:val="true"/>
        </w:rPr>
        <w:t>על ראיות באשר למערכת היחסים ששררה בין המנוח לבין המערער</w:t>
      </w:r>
      <w:r>
        <w:rPr>
          <w:rtl w:val="true"/>
        </w:rPr>
        <w:t xml:space="preserve">, </w:t>
      </w:r>
      <w:r>
        <w:rPr>
          <w:rtl w:val="true"/>
        </w:rPr>
        <w:t>עובר לאירוע הרצח</w:t>
      </w:r>
      <w:r>
        <w:rPr>
          <w:rtl w:val="true"/>
        </w:rPr>
        <w:t xml:space="preserve">; </w:t>
      </w:r>
      <w:r>
        <w:rPr>
          <w:rtl w:val="true"/>
        </w:rPr>
        <w:t>על מחקרי תקשורת</w:t>
      </w:r>
      <w:r>
        <w:rPr>
          <w:rtl w:val="true"/>
        </w:rPr>
        <w:t xml:space="preserve">; </w:t>
      </w:r>
      <w:r>
        <w:rPr>
          <w:rtl w:val="true"/>
        </w:rPr>
        <w:t>וכן על דוח פתולוגי</w:t>
      </w:r>
      <w:r>
        <w:rPr>
          <w:rtl w:val="true"/>
        </w:rPr>
        <w:t xml:space="preserve">, </w:t>
      </w:r>
      <w:r>
        <w:rPr>
          <w:rtl w:val="true"/>
        </w:rPr>
        <w:t>דוח מז</w:t>
      </w:r>
      <w:r>
        <w:rPr>
          <w:rtl w:val="true"/>
        </w:rPr>
        <w:t>"</w:t>
      </w:r>
      <w:r>
        <w:rPr>
          <w:rtl w:val="true"/>
        </w:rPr>
        <w:t>פ וממצאים נוספים שנאספו מן הזירה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בתמצית אציין</w:t>
      </w:r>
      <w:r>
        <w:rPr>
          <w:rtl w:val="true"/>
        </w:rPr>
        <w:t xml:space="preserve">, </w:t>
      </w:r>
      <w:r>
        <w:rPr>
          <w:rtl w:val="true"/>
        </w:rPr>
        <w:t>כי נמצא שיחסי המנוח והמערער היו עכורים זמן מה קודם לרצח</w:t>
      </w:r>
      <w:r>
        <w:rPr>
          <w:rtl w:val="true"/>
        </w:rPr>
        <w:t xml:space="preserve">, </w:t>
      </w:r>
      <w:r>
        <w:rPr>
          <w:rtl w:val="true"/>
        </w:rPr>
        <w:t>מחמת חוב כספי שחב המערער למנוח</w:t>
      </w:r>
      <w:r>
        <w:rPr>
          <w:rtl w:val="true"/>
        </w:rPr>
        <w:t xml:space="preserve">; </w:t>
      </w:r>
      <w:r>
        <w:rPr>
          <w:rtl w:val="true"/>
        </w:rPr>
        <w:t>כי במסגרת פגישתם בערב הרצח</w:t>
      </w:r>
      <w:r>
        <w:rPr>
          <w:rtl w:val="true"/>
        </w:rPr>
        <w:t xml:space="preserve">, </w:t>
      </w:r>
      <w:r>
        <w:rPr>
          <w:rtl w:val="true"/>
        </w:rPr>
        <w:t>סיכמו השניים לשוב ולהיפגש תוך זמן קצר בחוף הים</w:t>
      </w:r>
      <w:r>
        <w:rPr>
          <w:rtl w:val="true"/>
        </w:rPr>
        <w:t xml:space="preserve">; </w:t>
      </w:r>
      <w:r>
        <w:rPr>
          <w:rtl w:val="true"/>
        </w:rPr>
        <w:t>כי במהלך פגישתם בחוף הים</w:t>
      </w:r>
      <w:r>
        <w:rPr>
          <w:rtl w:val="true"/>
        </w:rPr>
        <w:t xml:space="preserve">, </w:t>
      </w:r>
      <w:r>
        <w:rPr>
          <w:rtl w:val="true"/>
        </w:rPr>
        <w:t>שהיתה קצרה ביותר</w:t>
      </w:r>
      <w:r>
        <w:rPr>
          <w:rtl w:val="true"/>
        </w:rPr>
        <w:t xml:space="preserve">, </w:t>
      </w:r>
      <w:r>
        <w:rPr>
          <w:rtl w:val="true"/>
        </w:rPr>
        <w:t>ירה המערער במנוח שתי יריות</w:t>
      </w:r>
      <w:r>
        <w:rPr>
          <w:rtl w:val="true"/>
        </w:rPr>
        <w:t xml:space="preserve">; </w:t>
      </w:r>
      <w:r>
        <w:rPr>
          <w:rtl w:val="true"/>
        </w:rPr>
        <w:t>וכי לאחר מכן התרחק המערער מן האיזור</w:t>
      </w:r>
      <w:r>
        <w:rPr>
          <w:rtl w:val="true"/>
        </w:rPr>
        <w:t xml:space="preserve">, </w:t>
      </w:r>
      <w:r>
        <w:rPr>
          <w:rtl w:val="true"/>
        </w:rPr>
        <w:t>בניסיון לנתק עצמו מן האירוע</w:t>
      </w:r>
      <w:r>
        <w:rPr>
          <w:rtl w:val="true"/>
        </w:rPr>
        <w:t xml:space="preserve">. </w:t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הסכימו שופטי בית המשפט המחוזי כי הוּכח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שהמערער המית את המנוח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הסכימו השופטים</w:t>
      </w:r>
      <w:r>
        <w:rPr>
          <w:rtl w:val="true"/>
        </w:rPr>
        <w:t xml:space="preserve">, </w:t>
      </w:r>
      <w:r>
        <w:rPr>
          <w:rtl w:val="true"/>
        </w:rPr>
        <w:t>כי מעשי המערער מקיימים את יסודות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>כפי שזו היתה מעוגנת בדין הישן</w:t>
      </w:r>
      <w:r>
        <w:rPr>
          <w:rtl w:val="true"/>
        </w:rPr>
        <w:t xml:space="preserve">, </w:t>
      </w:r>
      <w:r>
        <w:rPr>
          <w:rtl w:val="true"/>
        </w:rPr>
        <w:t xml:space="preserve">עובר לתיקון </w:t>
      </w:r>
      <w:r>
        <w:rPr/>
        <w:t>137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פנו שופטי בית המשפט המחוזי לבחון את מעשי המערער גם באספקלריית הדין החדש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מצוותן של הוראות המעבר שנקבעו במסגרת הרפורמה</w:t>
      </w:r>
      <w:r>
        <w:rPr>
          <w:rtl w:val="true"/>
        </w:rPr>
        <w:t xml:space="preserve">, </w:t>
      </w:r>
      <w:r>
        <w:rPr>
          <w:rtl w:val="true"/>
        </w:rPr>
        <w:t>שעליהן ארחיב קמעא בהמשך הדברים</w:t>
      </w:r>
      <w:r>
        <w:rPr>
          <w:rtl w:val="true"/>
        </w:rPr>
        <w:t xml:space="preserve">). </w:t>
      </w:r>
      <w:r>
        <w:rPr>
          <w:rtl w:val="true"/>
        </w:rPr>
        <w:t>בחינה זו נקשרה במחלוקת עובדתית שנתגלעה בין שופטי בית המשפט המחוזי</w:t>
      </w:r>
      <w:r>
        <w:rPr>
          <w:rtl w:val="true"/>
        </w:rPr>
        <w:t xml:space="preserve">, </w:t>
      </w:r>
      <w:r>
        <w:rPr>
          <w:rtl w:val="true"/>
        </w:rPr>
        <w:t>לגבי השאלה אם עלה בידי המשיבה להוכיח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גם את טענתה כי המערער הוא שהביא לזירה את כלי הנשק</w:t>
      </w:r>
      <w:r>
        <w:rPr>
          <w:rtl w:val="true"/>
        </w:rPr>
        <w:t xml:space="preserve">, </w:t>
      </w:r>
      <w:r>
        <w:rPr>
          <w:rtl w:val="true"/>
        </w:rPr>
        <w:t>ולא המנוח</w:t>
      </w:r>
      <w:r>
        <w:rPr>
          <w:rtl w:val="true"/>
        </w:rPr>
        <w:t xml:space="preserve">. </w:t>
      </w:r>
      <w:r>
        <w:rPr>
          <w:rtl w:val="true"/>
        </w:rPr>
        <w:t>ראיה מרכזית שבה ביקשה המשיבה להיאחז בהקשר זה</w:t>
      </w:r>
      <w:r>
        <w:rPr>
          <w:rtl w:val="true"/>
        </w:rPr>
        <w:t xml:space="preserve">, </w:t>
      </w:r>
      <w:r>
        <w:rPr>
          <w:rtl w:val="true"/>
        </w:rPr>
        <w:t>היא הצצתו של המערער בתא המטען של מכוניתו</w:t>
      </w:r>
      <w:r>
        <w:rPr>
          <w:rtl w:val="true"/>
        </w:rPr>
        <w:t xml:space="preserve">, </w:t>
      </w:r>
      <w:r>
        <w:rPr>
          <w:rtl w:val="true"/>
        </w:rPr>
        <w:t>טרם החל בנסיעתו לעבר זירת הרצח – מבט קצר</w:t>
      </w:r>
      <w:r>
        <w:rPr>
          <w:rtl w:val="true"/>
        </w:rPr>
        <w:t xml:space="preserve">, </w:t>
      </w:r>
      <w:r>
        <w:rPr>
          <w:rtl w:val="true"/>
        </w:rPr>
        <w:t>ללא מגע בתכולת תא המטען</w:t>
      </w:r>
      <w:r>
        <w:rPr>
          <w:rtl w:val="true"/>
        </w:rPr>
        <w:t xml:space="preserve">, </w:t>
      </w:r>
      <w:r>
        <w:rPr>
          <w:rtl w:val="true"/>
        </w:rPr>
        <w:t>כשמיד לאחריו סגר המערער את תא המטען והחל בנסיעה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tl w:val="true"/>
        </w:rPr>
        <w:t>בדעת המיעוט</w:t>
      </w:r>
      <w:r>
        <w:rPr>
          <w:rtl w:val="true"/>
        </w:rPr>
        <w:t xml:space="preserve">, </w:t>
      </w:r>
      <w:r>
        <w:rPr>
          <w:rtl w:val="true"/>
        </w:rPr>
        <w:t>סבר כי הסתכלות זו בתא המטען – לצד ראיות נוספות שהביאה המשיבה – אין די בהן על מנת להוכיח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כי המערער הוא שהביא את כלי הנשק לזירה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שופטי הרוב</w:t>
      </w:r>
      <w:r>
        <w:rPr>
          <w:rtl w:val="true"/>
        </w:rPr>
        <w:t xml:space="preserve">,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, </w:t>
      </w:r>
      <w:r>
        <w:rPr>
          <w:rtl w:val="true"/>
        </w:rPr>
        <w:t>סברו כי גם עניין זה</w:t>
      </w:r>
      <w:r>
        <w:rPr>
          <w:rtl w:val="true"/>
        </w:rPr>
        <w:t xml:space="preserve">, </w:t>
      </w:r>
      <w:r>
        <w:rPr>
          <w:rtl w:val="true"/>
        </w:rPr>
        <w:t>של הבאת כלי הנשק לזירה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הוּכח על</w:t>
      </w:r>
      <w:r>
        <w:rPr>
          <w:rtl w:val="true"/>
        </w:rPr>
        <w:t>-</w:t>
      </w:r>
      <w:r>
        <w:rPr>
          <w:rtl w:val="true"/>
        </w:rPr>
        <w:t>ידי המשיבה כדבעי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שקיבלו את הפרשנות שהציעה המשיבה לבחינתו של תא המטען על</w:t>
      </w:r>
      <w:r>
        <w:rPr>
          <w:rtl w:val="true"/>
        </w:rPr>
        <w:t>-</w:t>
      </w:r>
      <w:r>
        <w:rPr>
          <w:rtl w:val="true"/>
        </w:rPr>
        <w:t>ידי המערער – וידוא כי כלי הנשק מצוי עִמו ומזומן 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על רקע מחלוקת עובדתית זו </w:t>
      </w:r>
      <w:r>
        <w:rPr>
          <w:rtl w:val="true"/>
        </w:rPr>
        <w:t>(</w:t>
      </w:r>
      <w:r>
        <w:rPr>
          <w:rtl w:val="true"/>
        </w:rPr>
        <w:t>אף שהדברים התרחבו גם אל מעבר לה</w:t>
      </w:r>
      <w:r>
        <w:rPr>
          <w:rtl w:val="true"/>
        </w:rPr>
        <w:t xml:space="preserve">), </w:t>
      </w:r>
      <w:r>
        <w:rPr>
          <w:rtl w:val="true"/>
        </w:rPr>
        <w:t>נחלקו השופטים גם בשאלה מהי העבירה שבגדרה באים מעשי המערער</w:t>
      </w:r>
      <w:r>
        <w:rPr>
          <w:rtl w:val="true"/>
        </w:rPr>
        <w:t xml:space="preserve">, </w:t>
      </w:r>
      <w:r>
        <w:rPr>
          <w:rtl w:val="true"/>
        </w:rPr>
        <w:t>בהתאם למתכונת הדין החדשה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: </w:t>
      </w:r>
      <w:r>
        <w:rPr>
          <w:rtl w:val="true"/>
        </w:rPr>
        <w:t xml:space="preserve">האם מתקיימים במעשים יסודות הנסיבה המחמירה שנקבעה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לדין החדש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? </w:t>
      </w:r>
      <w:r>
        <w:rPr>
          <w:rtl w:val="true"/>
        </w:rPr>
        <w:t>שופט המיעוט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tl w:val="true"/>
        </w:rPr>
        <w:t>השיב על שאלה זו בשלילה</w:t>
      </w:r>
      <w:r>
        <w:rPr>
          <w:rtl w:val="true"/>
        </w:rPr>
        <w:t xml:space="preserve">, </w:t>
      </w:r>
      <w:r>
        <w:rPr>
          <w:rtl w:val="true"/>
        </w:rPr>
        <w:t xml:space="preserve">ולכן סבר כי מעשי המערער ממלאים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 xml:space="preserve">' </w:t>
      </w:r>
      <w:r>
        <w:rPr>
          <w:rtl w:val="true"/>
        </w:rPr>
        <w:t>אחר יסודותיה של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המעוגנת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שלאחר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ואשר עונשה מאסר עולם כעונש מרבי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שיטתו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מהווה דין מקל עבור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כיוון שהוא מעבירו מעבירה שעונשה מאסר עולם כעונש חובה </w:t>
      </w:r>
      <w:r>
        <w:rPr>
          <w:rtl w:val="true"/>
        </w:rPr>
        <w:t>(</w:t>
      </w:r>
      <w:r>
        <w:rPr>
          <w:rtl w:val="true"/>
        </w:rPr>
        <w:t>עבירת רצח בכוונה תחילה</w:t>
      </w:r>
      <w:r>
        <w:rPr>
          <w:rtl w:val="true"/>
        </w:rPr>
        <w:t xml:space="preserve">), </w:t>
      </w:r>
      <w:r>
        <w:rPr>
          <w:rtl w:val="true"/>
        </w:rPr>
        <w:t xml:space="preserve">אל עבר עבירה שמאסר העולם קבוע לה כעונש מרבי </w:t>
      </w:r>
      <w:r>
        <w:rPr>
          <w:rtl w:val="true"/>
        </w:rPr>
        <w:t>(</w:t>
      </w:r>
      <w:r>
        <w:rPr>
          <w:rtl w:val="true"/>
        </w:rPr>
        <w:t>עבירת הרצח הבסיסית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ביקש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 להרשיע את המערער בביצוע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הקבועה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לדין החדש</w:t>
      </w:r>
      <w:r>
        <w:rPr>
          <w:rtl w:val="true"/>
        </w:rPr>
        <w:t xml:space="preserve">. </w:t>
      </w:r>
      <w:r>
        <w:rPr>
          <w:rtl w:val="true"/>
        </w:rPr>
        <w:t>בניגוד לכך</w:t>
      </w:r>
      <w:r>
        <w:rPr>
          <w:rtl w:val="true"/>
        </w:rPr>
        <w:t xml:space="preserve">, </w:t>
      </w:r>
      <w:r>
        <w:rPr>
          <w:rtl w:val="true"/>
        </w:rPr>
        <w:t>שופטי הרוב</w:t>
      </w:r>
      <w:r>
        <w:rPr>
          <w:rtl w:val="true"/>
        </w:rPr>
        <w:t xml:space="preserve">,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 – אשר גרסו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 הוּכח שהמערער הוא שהביא את כלִי ההרג לזירה – סברו כי מעשה הרצח</w:t>
      </w:r>
      <w:r>
        <w:rPr>
          <w:rFonts w:ascii="Century" w:hAnsi="Century" w:cs="Century"/>
          <w:sz w:val="22"/>
          <w:sz w:val="22"/>
          <w:rtl w:val="true"/>
        </w:rPr>
        <w:t xml:space="preserve"> אכן נעשה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לפיכך נקבע כי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שעוגנה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ושעונשה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 xml:space="preserve">היא האכסניה המתאימה למעשי המערער </w:t>
      </w:r>
      <w:r>
        <w:rPr>
          <w:rtl w:val="true"/>
        </w:rPr>
        <w:t>(</w:t>
      </w:r>
      <w:r>
        <w:rPr>
          <w:rtl w:val="true"/>
        </w:rPr>
        <w:t xml:space="preserve">כאשר מעשים אלה אינם באים בתחומו של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שיכול היה </w:t>
      </w:r>
      <w:r>
        <w:rPr>
          <w:rtl w:val="true"/>
        </w:rPr>
        <w:t>'</w:t>
      </w:r>
      <w:r>
        <w:rPr>
          <w:rtl w:val="true"/>
        </w:rPr>
        <w:t>למלט</w:t>
      </w:r>
      <w:r>
        <w:rPr>
          <w:rtl w:val="true"/>
        </w:rPr>
        <w:t xml:space="preserve">' </w:t>
      </w:r>
      <w:r>
        <w:rPr>
          <w:rtl w:val="true"/>
        </w:rPr>
        <w:t>את המערער מן העונש הנזכר</w:t>
      </w:r>
      <w:r>
        <w:rPr>
          <w:rtl w:val="true"/>
        </w:rPr>
        <w:t xml:space="preserve">). </w:t>
      </w:r>
      <w:r>
        <w:rPr>
          <w:rtl w:val="true"/>
        </w:rPr>
        <w:t>נמצא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אין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משום דין מקל עבור המערער</w:t>
      </w:r>
      <w:r>
        <w:rPr>
          <w:rtl w:val="true"/>
        </w:rPr>
        <w:t xml:space="preserve">; </w:t>
      </w:r>
      <w:r>
        <w:rPr>
          <w:rtl w:val="true"/>
        </w:rPr>
        <w:t>הן לפי הדין הישן</w:t>
      </w:r>
      <w:r>
        <w:rPr>
          <w:rtl w:val="true"/>
        </w:rPr>
        <w:t xml:space="preserve">, </w:t>
      </w:r>
      <w:r>
        <w:rPr>
          <w:rtl w:val="true"/>
        </w:rPr>
        <w:t>הן לפי הדין החדש</w:t>
      </w:r>
      <w:r>
        <w:rPr>
          <w:rtl w:val="true"/>
        </w:rPr>
        <w:t xml:space="preserve">, </w:t>
      </w:r>
      <w:r>
        <w:rPr>
          <w:rtl w:val="true"/>
        </w:rPr>
        <w:t xml:space="preserve">יש להרשיעו בעבירה שעונשה מאסר עולם כעונש חובה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מַה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שֶּׁהָיָה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הוּא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שֶׁיִּהְיֶה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וּמַה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שֶׁנַּעֲשָׂה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הוּא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שֶׁיֵּעָשֶׂה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קהלת 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הרשיעו שופטי הרוב את המערער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הישן</w:t>
      </w:r>
      <w:r>
        <w:rPr>
          <w:rtl w:val="true"/>
        </w:rPr>
        <w:t xml:space="preserve">, </w:t>
      </w:r>
      <w:r>
        <w:rPr>
          <w:rtl w:val="true"/>
        </w:rPr>
        <w:t>וגזרו עליו מאסר 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כפי שנזכר לעיל</w:t>
      </w:r>
      <w:r>
        <w:rPr>
          <w:rtl w:val="true"/>
        </w:rPr>
        <w:t xml:space="preserve">, </w:t>
      </w:r>
      <w:r>
        <w:rPr>
          <w:rtl w:val="true"/>
        </w:rPr>
        <w:t>הסכימו כלל השופטים כי יש להרשיע את המערער גם בביצוע עבירות הנשק</w:t>
      </w:r>
      <w:r>
        <w:rPr>
          <w:rtl w:val="true"/>
        </w:rPr>
        <w:t xml:space="preserve">, </w:t>
      </w:r>
      <w:r>
        <w:rPr>
          <w:rtl w:val="true"/>
        </w:rPr>
        <w:t>וכי יש לזכותו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מן האישום שעניינו עבירת שיבוש מהלכי 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כיוון המערער את ערעורו כלפי כלל הכרעת הדין שניתנה בעניינו</w:t>
      </w:r>
      <w:r>
        <w:rPr>
          <w:rtl w:val="true"/>
        </w:rPr>
        <w:t xml:space="preserve">, </w:t>
      </w:r>
      <w:r>
        <w:rPr>
          <w:rtl w:val="true"/>
        </w:rPr>
        <w:t>בטענה כי יש להֹפכה ולזכותו כליל מן האישומים שהופנו נגדו</w:t>
      </w:r>
      <w:r>
        <w:rPr>
          <w:rtl w:val="true"/>
        </w:rPr>
        <w:t xml:space="preserve">;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אף המשיבה השיבה לו במטבע זה</w:t>
      </w:r>
      <w:r>
        <w:rPr>
          <w:rtl w:val="true"/>
        </w:rPr>
        <w:t xml:space="preserve">, </w:t>
      </w:r>
      <w:r>
        <w:rPr>
          <w:rtl w:val="true"/>
        </w:rPr>
        <w:t>ותשובתה מתפרשת על כלל הסוגיות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במעלה הדרך</w:t>
      </w:r>
      <w:r>
        <w:rPr>
          <w:rtl w:val="true"/>
        </w:rPr>
        <w:t xml:space="preserve">, </w:t>
      </w:r>
      <w:r>
        <w:rPr>
          <w:rtl w:val="true"/>
        </w:rPr>
        <w:t>מששמעו המערער ובא</w:t>
      </w:r>
      <w:r>
        <w:rPr>
          <w:rtl w:val="true"/>
        </w:rPr>
        <w:t>-</w:t>
      </w:r>
      <w:r>
        <w:rPr>
          <w:rtl w:val="true"/>
        </w:rPr>
        <w:t>כוחו את הערותינו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הדיון שהתקיים ביום </w:t>
      </w:r>
      <w:r>
        <w:rPr/>
        <w:t>6.5.2024</w:t>
      </w:r>
      <w:r>
        <w:rPr>
          <w:rtl w:val="true"/>
        </w:rPr>
        <w:t xml:space="preserve">, </w:t>
      </w:r>
      <w:r>
        <w:rPr>
          <w:rtl w:val="true"/>
        </w:rPr>
        <w:t>חזר בו המערער ממרבית הטענות</w:t>
      </w:r>
      <w:r>
        <w:rPr>
          <w:rtl w:val="true"/>
        </w:rPr>
        <w:t xml:space="preserve">, </w:t>
      </w:r>
      <w:r>
        <w:rPr>
          <w:rtl w:val="true"/>
        </w:rPr>
        <w:t>ועמד אך על טענותיו לגבי התקיימות הנסיבה המחמירה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 ההכרעה לגביה יקבע מהי העבירה</w:t>
      </w:r>
      <w:r>
        <w:rPr>
          <w:rtl w:val="true"/>
        </w:rPr>
        <w:t xml:space="preserve"> </w:t>
      </w:r>
      <w:r>
        <w:rPr>
          <w:rtl w:val="true"/>
        </w:rPr>
        <w:t>שבה יש להרשיעו</w:t>
      </w:r>
      <w:r>
        <w:rPr>
          <w:rtl w:val="true"/>
        </w:rPr>
        <w:t xml:space="preserve">. </w:t>
      </w:r>
      <w:r>
        <w:rPr>
          <w:rtl w:val="true"/>
        </w:rPr>
        <w:t>אתמקד אפוא אך בטענות הצדדים שעניינן בסוגיה זו</w:t>
      </w:r>
      <w:r>
        <w:rPr>
          <w:rtl w:val="true"/>
        </w:rPr>
        <w:t xml:space="preserve">, </w:t>
      </w:r>
      <w:r>
        <w:rPr>
          <w:rtl w:val="true"/>
        </w:rPr>
        <w:t>ובהיבטים הקשורים בה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באשר לשאלה האמורה</w:t>
      </w:r>
      <w:r>
        <w:rPr>
          <w:rtl w:val="true"/>
        </w:rPr>
        <w:t xml:space="preserve">, </w:t>
      </w:r>
      <w:r>
        <w:rPr>
          <w:rtl w:val="true"/>
        </w:rPr>
        <w:t>טוען המערער כי לא היה כל מקום לקבוע כי גמלה בליבו החלטה להמית את המנוח</w:t>
      </w:r>
      <w:r>
        <w:rPr>
          <w:rtl w:val="true"/>
        </w:rPr>
        <w:t xml:space="preserve">, </w:t>
      </w:r>
      <w:r>
        <w:rPr>
          <w:rtl w:val="true"/>
        </w:rPr>
        <w:t>מיד לאחר שיחתם הראשונה ביום הרצח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חלף מסקנת בית המשפט המחוזי מן הראיות שהוצגו לפניו</w:t>
      </w:r>
      <w:r>
        <w:rPr>
          <w:rtl w:val="true"/>
        </w:rPr>
        <w:t xml:space="preserve">, </w:t>
      </w:r>
      <w:r>
        <w:rPr>
          <w:rtl w:val="true"/>
        </w:rPr>
        <w:t>אפשרות סבירה בהחלט</w:t>
      </w:r>
      <w:r>
        <w:rPr>
          <w:rtl w:val="true"/>
        </w:rPr>
        <w:t xml:space="preserve">, </w:t>
      </w:r>
      <w:r>
        <w:rPr>
          <w:rtl w:val="true"/>
        </w:rPr>
        <w:t>שלא נשללה</w:t>
      </w:r>
      <w:r>
        <w:rPr>
          <w:rtl w:val="true"/>
        </w:rPr>
        <w:t xml:space="preserve">, </w:t>
      </w:r>
      <w:r>
        <w:rPr>
          <w:rtl w:val="true"/>
        </w:rPr>
        <w:t>היא שהצדדים נדברו ביניהם לקיים שיחה נינוחה על חוף הים</w:t>
      </w:r>
      <w:r>
        <w:rPr>
          <w:rtl w:val="true"/>
        </w:rPr>
        <w:t xml:space="preserve">, </w:t>
      </w:r>
      <w:r>
        <w:rPr>
          <w:rtl w:val="true"/>
        </w:rPr>
        <w:t>וכי לשם כך באו לשם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רבות מן הראיות ששימשו את בית המשפט המחוזי לצורך קביעותיו העובדתיות</w:t>
      </w:r>
      <w:r>
        <w:rPr>
          <w:rtl w:val="true"/>
        </w:rPr>
        <w:t xml:space="preserve">, </w:t>
      </w:r>
      <w:r>
        <w:rPr>
          <w:rtl w:val="true"/>
        </w:rPr>
        <w:t>אינן אמינות</w:t>
      </w:r>
      <w:r>
        <w:rPr>
          <w:rtl w:val="true"/>
        </w:rPr>
        <w:t xml:space="preserve">, </w:t>
      </w:r>
      <w:r>
        <w:rPr>
          <w:rtl w:val="true"/>
        </w:rPr>
        <w:t>או שאין בהן כדי ללמד את שנתלה בהן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זיהוי כלי הרכב שבהם נהגו המנוח והמערער בצילומי האבטחה – כלל אינו ודאי</w:t>
      </w:r>
      <w:r>
        <w:rPr>
          <w:rtl w:val="true"/>
        </w:rPr>
        <w:t xml:space="preserve">; </w:t>
      </w:r>
      <w:r>
        <w:rPr>
          <w:rtl w:val="true"/>
        </w:rPr>
        <w:t>השימוש בהקלטת שיחת הטלפון שקיים אחד מעדי הראיה ברגעי הרצח</w:t>
      </w:r>
      <w:r>
        <w:rPr>
          <w:rtl w:val="true"/>
        </w:rPr>
        <w:t xml:space="preserve">, </w:t>
      </w:r>
      <w:r>
        <w:rPr>
          <w:rtl w:val="true"/>
        </w:rPr>
        <w:t xml:space="preserve">נסמך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ורחשים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מהקלטה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לקלוט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כך שאינו אמין</w:t>
      </w:r>
      <w:r>
        <w:rPr>
          <w:rtl w:val="true"/>
        </w:rPr>
        <w:t xml:space="preserve">;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עדויות האחים</w:t>
      </w:r>
      <w:r>
        <w:rPr>
          <w:rtl w:val="true"/>
        </w:rPr>
        <w:t xml:space="preserve">, </w:t>
      </w:r>
      <w:r>
        <w:rPr>
          <w:rtl w:val="true"/>
        </w:rPr>
        <w:t>עדי הראיה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הפכפכות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לכל אורך הדרך</w:t>
      </w:r>
      <w:r>
        <w:rPr>
          <w:rtl w:val="true"/>
        </w:rPr>
        <w:t xml:space="preserve">, </w:t>
      </w:r>
      <w:r>
        <w:rPr>
          <w:rtl w:val="true"/>
        </w:rPr>
        <w:t>אלא שלמרות זאת</w:t>
      </w:r>
      <w:r>
        <w:rPr>
          <w:rtl w:val="true"/>
        </w:rPr>
        <w:t xml:space="preserve">, </w:t>
      </w:r>
      <w:r>
        <w:rPr>
          <w:rtl w:val="true"/>
        </w:rPr>
        <w:t>לא ננקטה הזהירות הנדרשת בכל הנוגע להסקת המסקנות מהן</w:t>
      </w:r>
      <w:r>
        <w:rPr>
          <w:rtl w:val="true"/>
        </w:rPr>
        <w:t xml:space="preserve">. </w:t>
      </w:r>
      <w:r>
        <w:rPr>
          <w:rtl w:val="true"/>
        </w:rPr>
        <w:t>עוד מלין המערער על קביעתה של דעת הרוב</w:t>
      </w:r>
      <w:r>
        <w:rPr>
          <w:rtl w:val="true"/>
        </w:rPr>
        <w:t xml:space="preserve">, </w:t>
      </w:r>
      <w:r>
        <w:rPr>
          <w:rtl w:val="true"/>
        </w:rPr>
        <w:t>שלפיה הוא שהביא לזירה את כלי ההרג</w:t>
      </w:r>
      <w:r>
        <w:rPr>
          <w:rtl w:val="true"/>
        </w:rPr>
        <w:t xml:space="preserve">, </w:t>
      </w:r>
      <w:r>
        <w:rPr>
          <w:rtl w:val="true"/>
        </w:rPr>
        <w:t>לאחר שבחן את תכולת תא המטען של מכוניתו</w:t>
      </w:r>
      <w:r>
        <w:rPr>
          <w:rtl w:val="true"/>
        </w:rPr>
        <w:t xml:space="preserve">, </w:t>
      </w:r>
      <w:r>
        <w:rPr>
          <w:rtl w:val="true"/>
        </w:rPr>
        <w:t>במטרה לוודא כי כלי הנשק מוכן ומזומן לו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קביעה זו – אין לה על מה שתסמוך</w:t>
      </w:r>
      <w:r>
        <w:rPr>
          <w:rtl w:val="true"/>
        </w:rPr>
        <w:t xml:space="preserve">, </w:t>
      </w:r>
      <w:r>
        <w:rPr>
          <w:rtl w:val="true"/>
        </w:rPr>
        <w:t>בשים לב 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שבמהלכה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חיטט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וסגר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 דלת תא המטען</w:t>
      </w:r>
      <w:r>
        <w:rPr>
          <w:rtl w:val="true"/>
        </w:rPr>
        <w:t xml:space="preserve">; </w:t>
      </w:r>
      <w:r>
        <w:rPr>
          <w:rtl w:val="true"/>
        </w:rPr>
        <w:t>הא ותו לא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>עסקינן בראיות שאינן יכולות לשמש בסיס לקביעה שלפיה מ</w:t>
      </w:r>
      <w:r>
        <w:rPr>
          <w:rFonts w:ascii="Century" w:hAnsi="Century" w:cs="Century"/>
          <w:sz w:val="22"/>
          <w:sz w:val="22"/>
          <w:rtl w:val="true"/>
        </w:rPr>
        <w:t>עשה ההמתה בוצע לאחר תכנון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לאחר הליך ממשי של שקילה וגיבוש החלטה להמית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במישור המשפטי</w:t>
      </w:r>
      <w:r>
        <w:rPr>
          <w:rtl w:val="true"/>
        </w:rPr>
        <w:t xml:space="preserve">, </w:t>
      </w:r>
      <w:r>
        <w:rPr>
          <w:rtl w:val="true"/>
        </w:rPr>
        <w:t xml:space="preserve">כי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מייצר הבחנה ברורה וחדה בין מקרה של רצח שתוכנן לפרטי פרטים</w:t>
      </w:r>
      <w:r>
        <w:rPr>
          <w:rtl w:val="true"/>
        </w:rPr>
        <w:t xml:space="preserve">, </w:t>
      </w:r>
      <w:r>
        <w:rPr>
          <w:rtl w:val="true"/>
        </w:rPr>
        <w:t>מבעוד מועד</w:t>
      </w:r>
      <w:r>
        <w:rPr>
          <w:rtl w:val="true"/>
        </w:rPr>
        <w:t xml:space="preserve">, </w:t>
      </w:r>
      <w:r>
        <w:rPr>
          <w:rtl w:val="true"/>
        </w:rPr>
        <w:t>לבין החלטה להמית המתקבלת באופן ספונטני</w:t>
      </w:r>
      <w:r>
        <w:rPr>
          <w:rtl w:val="true"/>
        </w:rPr>
        <w:t xml:space="preserve">, </w:t>
      </w:r>
      <w:r>
        <w:rPr>
          <w:rtl w:val="true"/>
        </w:rPr>
        <w:t>או לאחר פרק זמן שאינו משמעותי</w:t>
      </w:r>
      <w:r>
        <w:rPr>
          <w:rtl w:val="true"/>
        </w:rPr>
        <w:t xml:space="preserve">. </w:t>
      </w:r>
      <w:r>
        <w:rPr>
          <w:rtl w:val="true"/>
        </w:rPr>
        <w:t>על רקע הבחנה זו</w:t>
      </w:r>
      <w:r>
        <w:rPr>
          <w:rtl w:val="true"/>
        </w:rPr>
        <w:t xml:space="preserve">, </w:t>
      </w:r>
      <w:r>
        <w:rPr>
          <w:rtl w:val="true"/>
        </w:rPr>
        <w:t>סבור המערער כי מקרהו הוא מקרה מובהק של כוונה ספונטנית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לפרק הזמן הקצר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שחלף ממועד פגישתו הראשונה עם המנוח</w:t>
      </w:r>
      <w:r>
        <w:rPr>
          <w:rtl w:val="true"/>
        </w:rPr>
        <w:t xml:space="preserve">, </w:t>
      </w:r>
      <w:r>
        <w:rPr>
          <w:rtl w:val="true"/>
        </w:rPr>
        <w:t>עד להמתה</w:t>
      </w:r>
      <w:r>
        <w:rPr>
          <w:rtl w:val="true"/>
        </w:rPr>
        <w:t xml:space="preserve">. </w:t>
      </w:r>
      <w:r>
        <w:rPr>
          <w:rtl w:val="true"/>
        </w:rPr>
        <w:t>פרק זמן כזה</w:t>
      </w:r>
      <w:r>
        <w:rPr>
          <w:rtl w:val="true"/>
        </w:rPr>
        <w:t xml:space="preserve">, </w:t>
      </w:r>
      <w:r>
        <w:rPr>
          <w:rtl w:val="true"/>
        </w:rPr>
        <w:t>אליבא דמערער</w:t>
      </w:r>
      <w:r>
        <w:rPr>
          <w:rtl w:val="true"/>
        </w:rPr>
        <w:t xml:space="preserve">, </w:t>
      </w:r>
      <w:r>
        <w:rPr>
          <w:rtl w:val="true"/>
        </w:rPr>
        <w:t>כלל לא יכול לעלות כדי פרק הזמן הנדרש על מנת שיתקיים הליך משמעותי של תכנון</w:t>
      </w:r>
      <w:r>
        <w:rPr>
          <w:rtl w:val="true"/>
        </w:rPr>
        <w:t xml:space="preserve">, </w:t>
      </w:r>
      <w:r>
        <w:rPr>
          <w:rtl w:val="true"/>
        </w:rPr>
        <w:t>או שקילה וגיבוש החלטה להמית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פרשנות זו מתחייבת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לשיטת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נוכח דרישת המחוקק לקיום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49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301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1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)(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))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ההדגשה הוּספה – נ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').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כמו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גישה זו עולה</w:t>
      </w:r>
      <w:r>
        <w:rPr>
          <w:rtl w:val="true"/>
        </w:rPr>
        <w:t xml:space="preserve"> בקנה אחד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עם האמור בדברי ההסבר לתיקון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 xml:space="preserve">הצעת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)), </w:t>
      </w:r>
      <w:r>
        <w:rPr>
          <w:rtl w:val="true"/>
        </w:rPr>
        <w:t xml:space="preserve">כמו גם עם עמדות הוועדה שעל המלצותיה התבסס התיקון </w:t>
      </w:r>
      <w:r>
        <w:rPr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הצוות לבחינת יסודות עבירות ההמתה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וחשבון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2011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ההמתה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)). </w:t>
      </w:r>
    </w:p>
    <w:p>
      <w:pPr>
        <w:pStyle w:val="Ruller41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גורסת כי אין מדובר בהחלטת המתה ספונטנית כלל וכלל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במעשה המתה רב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הכולל שרשרת פעולות ממושכת</w:t>
      </w:r>
      <w:r>
        <w:rPr>
          <w:rtl w:val="true"/>
        </w:rPr>
        <w:t xml:space="preserve">: </w:t>
      </w:r>
      <w:r>
        <w:rPr>
          <w:rtl w:val="true"/>
        </w:rPr>
        <w:t>ראשיתו בפגישת המנוח והמערער סמוך לבניין מגוריהם</w:t>
      </w:r>
      <w:r>
        <w:rPr>
          <w:rtl w:val="true"/>
        </w:rPr>
        <w:t xml:space="preserve">, </w:t>
      </w:r>
      <w:r>
        <w:rPr>
          <w:rtl w:val="true"/>
        </w:rPr>
        <w:t>פגישה ש</w:t>
      </w:r>
      <w:r>
        <w:rPr>
          <w:rtl w:val="true"/>
        </w:rPr>
        <w:t>'</w:t>
      </w:r>
      <w:r>
        <w:rPr>
          <w:rtl w:val="true"/>
        </w:rPr>
        <w:t>נצבעה</w:t>
      </w:r>
      <w:r>
        <w:rPr>
          <w:rtl w:val="true"/>
        </w:rPr>
        <w:t xml:space="preserve">' </w:t>
      </w:r>
      <w:r>
        <w:rPr>
          <w:rtl w:val="true"/>
        </w:rPr>
        <w:t>בצבעיה העכורים של מערכת היחסים ששררה ביניהם מזה תקופה</w:t>
      </w:r>
      <w:r>
        <w:rPr>
          <w:rtl w:val="true"/>
        </w:rPr>
        <w:t xml:space="preserve">; </w:t>
      </w:r>
      <w:r>
        <w:rPr>
          <w:rtl w:val="true"/>
        </w:rPr>
        <w:t>המשכו בהחלטתם המשותפת לשוב ולהיפגש – שלא למטרות ידידותיות – באזור מבודד</w:t>
      </w:r>
      <w:r>
        <w:rPr>
          <w:rtl w:val="true"/>
        </w:rPr>
        <w:t xml:space="preserve">, </w:t>
      </w:r>
      <w:r>
        <w:rPr>
          <w:rtl w:val="true"/>
        </w:rPr>
        <w:t>שהנסיעה אליו נמשכה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וסופו בירי שבוצע מיד עם הגעת המנוח והמערער למקום המפגש – ירי שבוצע לעבר מרכז גופו של המנוח</w:t>
      </w:r>
      <w:r>
        <w:rPr>
          <w:rtl w:val="true"/>
        </w:rPr>
        <w:t xml:space="preserve">, </w:t>
      </w:r>
      <w:r>
        <w:rPr>
          <w:rtl w:val="true"/>
        </w:rPr>
        <w:t>לאחר שהמערער וידא כי הוא נושא ברכבו את כלי הנשק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צירופם של כל אלה מלמד כי מעשה הרצח נשקל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במידה הנדרשת</w:t>
      </w:r>
      <w:r>
        <w:rPr>
          <w:rtl w:val="true"/>
        </w:rPr>
        <w:t xml:space="preserve">, </w:t>
      </w:r>
      <w:r>
        <w:rPr>
          <w:rtl w:val="true"/>
        </w:rPr>
        <w:t>טרם ביצועו</w:t>
      </w:r>
      <w:r>
        <w:rPr>
          <w:rtl w:val="true"/>
        </w:rPr>
        <w:t xml:space="preserve">; </w:t>
      </w:r>
      <w:r>
        <w:rPr>
          <w:rtl w:val="true"/>
        </w:rPr>
        <w:t>בהחלט אין מדובר בגיבוש החלטה ספונטנית להמית</w:t>
      </w:r>
      <w:r>
        <w:rPr>
          <w:rtl w:val="true"/>
        </w:rPr>
        <w:t xml:space="preserve">, </w:t>
      </w:r>
      <w:r>
        <w:rPr>
          <w:rtl w:val="true"/>
        </w:rPr>
        <w:t>בלהט הרגע</w:t>
      </w:r>
      <w:r>
        <w:rPr>
          <w:rtl w:val="true"/>
        </w:rPr>
        <w:t xml:space="preserve">, </w:t>
      </w:r>
      <w:r>
        <w:rPr>
          <w:rtl w:val="true"/>
        </w:rPr>
        <w:t>אגב ריב שהתגלע או כל כיוצא בדבר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מוסיפה המשיבה וטוענת</w:t>
      </w:r>
      <w:r>
        <w:rPr>
          <w:rtl w:val="true"/>
        </w:rPr>
        <w:t xml:space="preserve">, </w:t>
      </w:r>
      <w:r>
        <w:rPr>
          <w:rtl w:val="true"/>
        </w:rPr>
        <w:t>במישור העקרוני</w:t>
      </w:r>
      <w:r>
        <w:rPr>
          <w:rtl w:val="true"/>
        </w:rPr>
        <w:t xml:space="preserve">, </w:t>
      </w:r>
      <w:r>
        <w:rPr>
          <w:rtl w:val="true"/>
        </w:rPr>
        <w:t>כי אין מקום לדרישה שלפיה הליך השקילה יארך פרק זמן ממושך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יִשום תפיסה זו על עובדות העניין דנן מוליך</w:t>
      </w:r>
      <w:r>
        <w:rPr>
          <w:rtl w:val="true"/>
        </w:rPr>
        <w:t xml:space="preserve">, </w:t>
      </w:r>
      <w:r>
        <w:rPr>
          <w:rtl w:val="true"/>
        </w:rPr>
        <w:t>כך המשיבה</w:t>
      </w:r>
      <w:r>
        <w:rPr>
          <w:rtl w:val="true"/>
        </w:rPr>
        <w:t xml:space="preserve">, </w:t>
      </w:r>
      <w:r>
        <w:rPr>
          <w:rtl w:val="true"/>
        </w:rPr>
        <w:t xml:space="preserve">למסקנה כי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הדקות שבהן נסע המערער אל זירת הרצח</w:t>
      </w:r>
      <w:r>
        <w:rPr>
          <w:rtl w:val="true"/>
        </w:rPr>
        <w:t xml:space="preserve">, </w:t>
      </w:r>
      <w:r>
        <w:rPr>
          <w:rtl w:val="true"/>
        </w:rPr>
        <w:t>מזוין בנשקו</w:t>
      </w:r>
      <w:r>
        <w:rPr>
          <w:rtl w:val="true"/>
        </w:rPr>
        <w:t xml:space="preserve">, </w:t>
      </w:r>
      <w:r>
        <w:rPr>
          <w:rtl w:val="true"/>
        </w:rPr>
        <w:t>הן די והותר זמן על מנת לעבור הליך ממשי של שקילה וגיבוש החלטה להמית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גם לירי במנוח</w:t>
      </w:r>
      <w:r>
        <w:rPr>
          <w:rtl w:val="true"/>
        </w:rPr>
        <w:t xml:space="preserve">, </w:t>
      </w:r>
      <w:r>
        <w:rPr>
          <w:rtl w:val="true"/>
        </w:rPr>
        <w:t>שבוצע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מיד עם הגיעו של המערער לנקודת המפגש</w:t>
      </w:r>
      <w:r>
        <w:rPr>
          <w:rtl w:val="true"/>
        </w:rPr>
        <w:t xml:space="preserve">, </w:t>
      </w:r>
      <w:r>
        <w:rPr>
          <w:rtl w:val="true"/>
        </w:rPr>
        <w:t>ללא תלות בהתפתחות כלשהי שחלה במהלך המפגש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אציין כבר עתה את התחנה שבה מסתיים מסעי המשפטי</w:t>
      </w:r>
      <w:r>
        <w:rPr>
          <w:rtl w:val="true"/>
        </w:rPr>
        <w:t xml:space="preserve">: </w:t>
      </w:r>
      <w:r>
        <w:rPr>
          <w:rtl w:val="true"/>
        </w:rPr>
        <w:t>הצעתי לחברַי היא שנדחה את הערעור</w:t>
      </w:r>
      <w:r>
        <w:rPr>
          <w:rtl w:val="true"/>
        </w:rPr>
        <w:t xml:space="preserve">, </w:t>
      </w:r>
      <w:r>
        <w:rPr>
          <w:rtl w:val="true"/>
        </w:rPr>
        <w:t>ונותיר על מכונה את הכרעת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וכפועל יוצא מכך גם את גזר הדין שניתן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לאחר שאמרתי זאת</w:t>
      </w:r>
      <w:r>
        <w:rPr>
          <w:rtl w:val="true"/>
        </w:rPr>
        <w:t xml:space="preserve">, </w:t>
      </w:r>
      <w:r>
        <w:rPr>
          <w:rtl w:val="true"/>
        </w:rPr>
        <w:t>אשוב לנקודת ההתחלה</w:t>
      </w:r>
      <w:r>
        <w:rPr>
          <w:rtl w:val="true"/>
        </w:rPr>
        <w:t xml:space="preserve">, </w:t>
      </w:r>
      <w:r>
        <w:rPr>
          <w:rtl w:val="true"/>
        </w:rPr>
        <w:t>ואצא אל דרך הביאור וההנמקה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כתב האישום בעניינו של המערער הוגש ביום </w:t>
      </w:r>
      <w:r>
        <w:rPr/>
        <w:t>19.12.2017</w:t>
      </w:r>
      <w:r>
        <w:rPr>
          <w:rtl w:val="true"/>
        </w:rPr>
        <w:t xml:space="preserve">, </w:t>
      </w:r>
      <w:r>
        <w:rPr>
          <w:rtl w:val="true"/>
        </w:rPr>
        <w:t>ואז גם החל להתנהל משפטו</w:t>
      </w:r>
      <w:r>
        <w:rPr>
          <w:rtl w:val="true"/>
        </w:rPr>
        <w:t xml:space="preserve">. </w:t>
      </w:r>
      <w:r>
        <w:rPr>
          <w:rtl w:val="true"/>
        </w:rPr>
        <w:t>הכרעת הדין בעניינו של המערער ניתנה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15.7.2020</w:t>
      </w:r>
      <w:r>
        <w:rPr>
          <w:rtl w:val="true"/>
        </w:rPr>
        <w:t xml:space="preserve">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10.1.2019</w:t>
      </w:r>
      <w:r>
        <w:rPr>
          <w:rtl w:val="true"/>
        </w:rPr>
        <w:t xml:space="preserve">, </w:t>
      </w:r>
      <w:r>
        <w:rPr>
          <w:rtl w:val="true"/>
        </w:rPr>
        <w:t>נחקקה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שבגדרה המחוקק איזן</w:t>
      </w:r>
      <w:r>
        <w:rPr>
          <w:rtl w:val="true"/>
        </w:rPr>
        <w:t xml:space="preserve">, </w:t>
      </w:r>
      <w:r>
        <w:rPr>
          <w:rtl w:val="true"/>
        </w:rPr>
        <w:t>חיקר ותיקן עבירות הרבה בתחום זה</w:t>
      </w:r>
      <w:r>
        <w:rPr>
          <w:rtl w:val="true"/>
        </w:rPr>
        <w:t xml:space="preserve">, </w:t>
      </w:r>
      <w:r>
        <w:rPr>
          <w:rtl w:val="true"/>
        </w:rPr>
        <w:t>וכחלק מכך מצא לנכון לשנות כמה וכמה מעונשיהן</w:t>
      </w:r>
      <w:r>
        <w:rPr>
          <w:rtl w:val="true"/>
        </w:rPr>
        <w:t xml:space="preserve">, </w:t>
      </w:r>
      <w:r>
        <w:rPr>
          <w:rtl w:val="true"/>
        </w:rPr>
        <w:t>פרטיהן ודקדוקיהן</w:t>
      </w:r>
      <w:r>
        <w:rPr>
          <w:rtl w:val="true"/>
        </w:rPr>
        <w:t xml:space="preserve">. </w:t>
      </w:r>
      <w:r>
        <w:rPr>
          <w:rtl w:val="true"/>
        </w:rPr>
        <w:t>הרפורמה נכנסה לתוקף חצי שנה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10.7.2019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tl w:val="true"/>
        </w:rPr>
        <w:t>) 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). </w:t>
      </w:r>
      <w:r>
        <w:rPr>
          <w:rtl w:val="true"/>
        </w:rPr>
        <w:t>בהמשך אתייחס ביתר הרחבה לרפורמה בכלל</w:t>
      </w:r>
      <w:r>
        <w:rPr>
          <w:rtl w:val="true"/>
        </w:rPr>
        <w:t xml:space="preserve">, </w:t>
      </w:r>
      <w:r>
        <w:rPr>
          <w:rtl w:val="true"/>
        </w:rPr>
        <w:t>ולמשמעויותיה האפשריות על דינו של המערער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;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אעמוד בקצרה על הוראות המעבר שנקבעו במסגרתה</w:t>
      </w:r>
      <w:r>
        <w:rPr>
          <w:rtl w:val="true"/>
        </w:rPr>
        <w:t xml:space="preserve">, </w:t>
      </w:r>
      <w:r>
        <w:rPr>
          <w:rtl w:val="true"/>
        </w:rPr>
        <w:t>שכן הן שמעצבות את מארג הדינים שחל בעניינו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כותרתו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מורנו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>.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שבוצעו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ואילך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ind w:end="1276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76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כנוסחו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עניינו</w:t>
      </w:r>
      <w:r>
        <w:rPr>
          <w:rtl w:val="true"/>
        </w:rPr>
        <w:t>-</w:t>
      </w:r>
      <w:r>
        <w:rPr>
          <w:rtl w:val="true"/>
        </w:rPr>
        <w:t xml:space="preserve">אנו נופל בגדרו של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מאחר שהעבירה בוצעה עובר ליום התחילה</w:t>
      </w:r>
      <w:r>
        <w:rPr>
          <w:rtl w:val="true"/>
        </w:rPr>
        <w:t xml:space="preserve">, </w:t>
      </w:r>
      <w:r>
        <w:rPr>
          <w:rtl w:val="true"/>
        </w:rPr>
        <w:t xml:space="preserve">אולם במועד כניסת הרפורמה לתוקף 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באשר למקרה מסוג זה</w:t>
      </w:r>
      <w:r>
        <w:rPr>
          <w:rtl w:val="true"/>
        </w:rPr>
        <w:t xml:space="preserve">, </w:t>
      </w:r>
      <w:r>
        <w:rPr>
          <w:rtl w:val="true"/>
        </w:rPr>
        <w:t xml:space="preserve">מפנה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</w:t>
      </w:r>
      <w:hyperlink r:id="rId5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שזו הוראתו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Style w:val="big-number"/>
          <w:rFonts w:ascii="Century" w:hAnsi="Century" w:cs="Miriam"/>
          <w:b/>
          <w:b/>
          <w:spacing w:val="0"/>
          <w:szCs w:val="24"/>
          <w:u w:val="single"/>
          <w:rtl w:val="true"/>
        </w:rPr>
        <w:t>שינוי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u w:val="single"/>
          <w:rtl w:val="true"/>
        </w:rPr>
        <w:t>חיקוק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u w:val="single"/>
          <w:rtl w:val="true"/>
        </w:rPr>
        <w:t>לאחר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u w:val="single"/>
          <w:rtl w:val="true"/>
        </w:rPr>
        <w:t>עשיית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u w:val="single"/>
          <w:rtl w:val="true"/>
        </w:rPr>
        <w:t>העבירה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"/>
        <w:ind w:end="1276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</w:rPr>
        <w:t>5</w:t>
      </w: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 xml:space="preserve">.   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ובטרם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חלוט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לגביה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להגדרתה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לאחריות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החיקוק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; 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הֱוֵי</w:t>
      </w:r>
      <w:r>
        <w:rPr>
          <w:rtl w:val="true"/>
        </w:rPr>
        <w:t xml:space="preserve"> אומר</w:t>
      </w:r>
      <w:r>
        <w:rPr>
          <w:rtl w:val="true"/>
        </w:rPr>
        <w:t xml:space="preserve">: </w:t>
      </w:r>
      <w:r>
        <w:rPr>
          <w:rtl w:val="true"/>
        </w:rPr>
        <w:t>בית משפט אשר דן – לאחר יום התחילה – בעניינו של נאשם שביצע את מעשהו הנטען עובר ליום התחילה</w:t>
      </w:r>
      <w:r>
        <w:rPr>
          <w:rtl w:val="true"/>
        </w:rPr>
        <w:t xml:space="preserve">, </w:t>
      </w:r>
      <w:r>
        <w:rPr>
          <w:rtl w:val="true"/>
        </w:rPr>
        <w:t>נדרש לבחון את דינו של הנאשם הן לפני הדין הישן</w:t>
      </w:r>
      <w:r>
        <w:rPr>
          <w:rtl w:val="true"/>
        </w:rPr>
        <w:t xml:space="preserve">, </w:t>
      </w:r>
      <w:r>
        <w:rPr>
          <w:rtl w:val="true"/>
        </w:rPr>
        <w:t>הן לפי הדין החדש</w:t>
      </w:r>
      <w:r>
        <w:rPr>
          <w:rtl w:val="true"/>
        </w:rPr>
        <w:t xml:space="preserve">. </w:t>
      </w:r>
      <w:r>
        <w:rPr>
          <w:rtl w:val="true"/>
        </w:rPr>
        <w:t xml:space="preserve">אם יִמצא כי יש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</w:t>
      </w:r>
      <w:r>
        <w:rPr>
          <w:rtl w:val="true"/>
        </w:rPr>
        <w:t xml:space="preserve"> בדינו של הנאשם – יחול בעניינו הדין החדש</w:t>
      </w:r>
      <w:r>
        <w:rPr>
          <w:rtl w:val="true"/>
        </w:rPr>
        <w:t xml:space="preserve">, </w:t>
      </w:r>
      <w:r>
        <w:rPr>
          <w:rtl w:val="true"/>
        </w:rPr>
        <w:t>שזה מקרוב בא</w:t>
      </w:r>
      <w:r>
        <w:rPr>
          <w:rtl w:val="true"/>
        </w:rPr>
        <w:t xml:space="preserve">; </w:t>
      </w:r>
      <w:r>
        <w:rPr>
          <w:rtl w:val="true"/>
        </w:rPr>
        <w:t>אך בהעדר הקלה כאמור – יחול בעניינו הדין הישן</w:t>
      </w:r>
      <w:r>
        <w:rPr>
          <w:rtl w:val="true"/>
        </w:rPr>
        <w:t xml:space="preserve">, </w:t>
      </w:r>
      <w:r>
        <w:rPr>
          <w:rtl w:val="true"/>
        </w:rPr>
        <w:t xml:space="preserve">שעמד בתוקף במועד ביצוע המעשים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25.6.2023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16.2.2023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נהג עם המערער בית המשפט המחוזי</w:t>
      </w:r>
      <w:r>
        <w:rPr>
          <w:rtl w:val="true"/>
        </w:rPr>
        <w:t xml:space="preserve">, </w:t>
      </w:r>
      <w:r>
        <w:rPr>
          <w:rtl w:val="true"/>
        </w:rPr>
        <w:t>כפי שצוין לעיל</w:t>
      </w:r>
      <w:r>
        <w:rPr>
          <w:rtl w:val="true"/>
        </w:rPr>
        <w:t xml:space="preserve">; </w:t>
      </w:r>
      <w:r>
        <w:rPr>
          <w:rtl w:val="true"/>
        </w:rPr>
        <w:t>כך נעשה גם אנו</w:t>
      </w:r>
      <w:r>
        <w:rPr>
          <w:rtl w:val="true"/>
        </w:rPr>
        <w:t xml:space="preserve">. </w:t>
      </w:r>
      <w:r>
        <w:rPr>
          <w:rtl w:val="true"/>
        </w:rPr>
        <w:t>מאחר שהרשעת המערער בעבירת הרצח שלפי הדין הישן אינה שנויה עוד במחלוקת בין הצדדים</w:t>
      </w:r>
      <w:r>
        <w:rPr>
          <w:rtl w:val="true"/>
        </w:rPr>
        <w:t xml:space="preserve">, </w:t>
      </w:r>
      <w:r>
        <w:rPr>
          <w:rtl w:val="true"/>
        </w:rPr>
        <w:t>אגש היישר לבחינת העבירה המתאימה לו במסגרת הדין החדש</w:t>
      </w:r>
      <w:r>
        <w:rPr>
          <w:rtl w:val="true"/>
        </w:rPr>
        <w:t xml:space="preserve">;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תוכרע גם השאלה אם יש בדין החדש משום דין מקל עבור המערער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שנחקקו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במסגרתו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משך שנים רבות</w:t>
      </w:r>
      <w:r>
        <w:rPr>
          <w:rtl w:val="true"/>
        </w:rPr>
        <w:t xml:space="preserve">, </w:t>
      </w:r>
      <w:r>
        <w:rPr>
          <w:rtl w:val="true"/>
        </w:rPr>
        <w:t>היו עבירות ההמתה שבדין הישראלי מורשת מנדטורית</w:t>
      </w:r>
      <w:r>
        <w:rPr>
          <w:rtl w:val="true"/>
        </w:rPr>
        <w:t xml:space="preserve">, </w:t>
      </w:r>
      <w:r>
        <w:rPr>
          <w:rtl w:val="true"/>
        </w:rPr>
        <w:t>שמקורה בפקודת החוק 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 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נספח ב</w:t>
      </w:r>
      <w:r>
        <w:rPr>
          <w:rtl w:val="true"/>
        </w:rPr>
        <w:t xml:space="preserve">', </w:t>
      </w:r>
      <w:r>
        <w:rPr>
          <w:rtl w:val="true"/>
        </w:rPr>
        <w:t xml:space="preserve">עמוד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למעלה מ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 לאחר חקיקת הפקודה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 xml:space="preserve">עם הצטברותן של ביקורות רבות על אותן עבירות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ארכאיות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כלשון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166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 xml:space="preserve">), </w:t>
      </w:r>
      <w:r>
        <w:rPr>
          <w:rtl w:val="true"/>
        </w:rPr>
        <w:t>מינה שר המשפטים בעת ההיא</w:t>
      </w:r>
      <w:r>
        <w:rPr>
          <w:rtl w:val="true"/>
        </w:rPr>
        <w:t xml:space="preserve">, </w:t>
      </w:r>
      <w:r>
        <w:rPr>
          <w:rtl w:val="true"/>
        </w:rPr>
        <w:t>צוות שיֵשב על המדוכה ויציע 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 xml:space="preserve">הצוות הגיש המלצותיו בשנת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ולאחר גלגולים מגלגולים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 xml:space="preserve">נחקק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שנסמך על אותן המלצות</w:t>
      </w:r>
      <w:r>
        <w:rPr>
          <w:rtl w:val="true"/>
        </w:rPr>
        <w:t xml:space="preserve">, </w:t>
      </w:r>
      <w:r>
        <w:rPr>
          <w:rtl w:val="true"/>
        </w:rPr>
        <w:t xml:space="preserve">ושהביא לשינוי ניכר בעבירות ההמתה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22.7.2021</w:t>
      </w:r>
      <w:r>
        <w:rPr>
          <w:rtl w:val="true"/>
        </w:rPr>
        <w:t xml:space="preserve">); </w:t>
      </w:r>
      <w:hyperlink r:id="rId58">
        <w:r>
          <w:rPr>
            <w:rStyle w:val="Hyperlink"/>
            <w:rtl w:val="true"/>
          </w:rPr>
          <w:t>מרים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גור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הרפורמה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מדרג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רצח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מתוך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אדישות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וינרוט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442</w:t>
      </w:r>
      <w:r>
        <w:rPr>
          <w:rtl w:val="true"/>
        </w:rPr>
        <w:t xml:space="preserve"> (</w:t>
      </w:r>
      <w:r>
        <w:rPr>
          <w:rtl w:val="true"/>
        </w:rPr>
        <w:t>גרשון גונטובניק</w:t>
      </w:r>
      <w:r>
        <w:rPr>
          <w:rtl w:val="true"/>
        </w:rPr>
        <w:t xml:space="preserve">, </w:t>
      </w:r>
      <w:r>
        <w:rPr>
          <w:rtl w:val="true"/>
        </w:rPr>
        <w:t xml:space="preserve">אבי וינרוט וחיים זיכרמן עורכים </w:t>
      </w:r>
      <w:r>
        <w:rPr/>
        <w:t>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אחת מן הבעיות המרכזיות שעליהן הצביעו המבקרים</w:t>
      </w:r>
      <w:r>
        <w:rPr>
          <w:rtl w:val="true"/>
        </w:rPr>
        <w:t xml:space="preserve">, </w:t>
      </w:r>
      <w:r>
        <w:rPr>
          <w:rtl w:val="true"/>
        </w:rPr>
        <w:t>בהתייחס לעבירות ההמתה שבדין הישן</w:t>
      </w:r>
      <w:r>
        <w:rPr>
          <w:rtl w:val="true"/>
        </w:rPr>
        <w:t xml:space="preserve">, </w:t>
      </w:r>
      <w:r>
        <w:rPr>
          <w:rtl w:val="true"/>
        </w:rPr>
        <w:t>היא היותה של עבירת הרצח דאז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166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</w:t>
      </w:r>
      <w:r>
        <w:rPr>
          <w:rtl w:val="true"/>
        </w:rPr>
        <w:t xml:space="preserve">);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עבירה זו – שהיתה באותה עת החמורה בין עבירת ההמתה – לא הצליחה </w:t>
      </w:r>
      <w:r>
        <w:rPr>
          <w:rtl w:val="true"/>
        </w:rPr>
        <w:t>'</w:t>
      </w:r>
      <w:r>
        <w:rPr>
          <w:rtl w:val="true"/>
        </w:rPr>
        <w:t>לתפוס ברשתה</w:t>
      </w:r>
      <w:r>
        <w:rPr>
          <w:rtl w:val="true"/>
        </w:rPr>
        <w:t xml:space="preserve">' </w:t>
      </w:r>
      <w:r>
        <w:rPr>
          <w:rtl w:val="true"/>
        </w:rPr>
        <w:t>דווקא את מקרי ההמתה החמורים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'</w:t>
      </w:r>
      <w:r>
        <w:rPr>
          <w:rtl w:val="true"/>
        </w:rPr>
        <w:t>פספסה</w:t>
      </w:r>
      <w:r>
        <w:rPr>
          <w:rtl w:val="true"/>
        </w:rPr>
        <w:t xml:space="preserve">' </w:t>
      </w:r>
      <w:r>
        <w:rPr>
          <w:rtl w:val="true"/>
        </w:rPr>
        <w:t>את חלקם</w:t>
      </w:r>
      <w:r>
        <w:rPr>
          <w:rtl w:val="true"/>
        </w:rPr>
        <w:t xml:space="preserve">, </w:t>
      </w:r>
      <w:r>
        <w:rPr>
          <w:rtl w:val="true"/>
        </w:rPr>
        <w:t>ותפסה תפיסת שווא אחרים</w:t>
      </w:r>
      <w:r>
        <w:rPr>
          <w:rtl w:val="true"/>
        </w:rPr>
        <w:t xml:space="preserve">. </w:t>
      </w:r>
      <w:r>
        <w:rPr>
          <w:rtl w:val="true"/>
        </w:rPr>
        <w:t>בעיה נוספת</w:t>
      </w:r>
      <w:r>
        <w:rPr>
          <w:rtl w:val="true"/>
        </w:rPr>
        <w:t xml:space="preserve">, </w:t>
      </w:r>
      <w:r>
        <w:rPr>
          <w:rtl w:val="true"/>
        </w:rPr>
        <w:t>קשורה לקודמתה</w:t>
      </w:r>
      <w:r>
        <w:rPr>
          <w:rtl w:val="true"/>
        </w:rPr>
        <w:t xml:space="preserve">, </w:t>
      </w:r>
      <w:r>
        <w:rPr>
          <w:rtl w:val="true"/>
        </w:rPr>
        <w:t>נמצאה במישור הענישה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שקבוע היה לעבירת הרצח בגדרי הדין הישן</w:t>
      </w:r>
      <w:r>
        <w:rPr>
          <w:rtl w:val="true"/>
        </w:rPr>
        <w:t xml:space="preserve">, </w:t>
      </w:r>
      <w:r>
        <w:rPr>
          <w:rtl w:val="true"/>
        </w:rPr>
        <w:t>עם חריגים נדירים בלבד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הפרטניות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166</w:t>
      </w:r>
      <w:r>
        <w:rPr>
          <w:rtl w:val="true"/>
        </w:rPr>
        <w:t xml:space="preserve">; </w:t>
      </w:r>
      <w:r>
        <w:rPr>
          <w:rtl w:val="true"/>
        </w:rPr>
        <w:t>לרשימת החריגים 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אחד מנדבכיו המרכזיים של התיקון</w:t>
      </w:r>
      <w:r>
        <w:rPr>
          <w:rtl w:val="true"/>
        </w:rPr>
        <w:t xml:space="preserve">, </w:t>
      </w:r>
      <w:r>
        <w:rPr>
          <w:rtl w:val="true"/>
        </w:rPr>
        <w:t>הוא יצירת הבחנה פנימית בעולמם של מעשי ההמתה ה</w:t>
      </w:r>
      <w:r>
        <w:rPr>
          <w:rtl w:val="true"/>
        </w:rPr>
        <w:t>'</w:t>
      </w:r>
      <w:r>
        <w:rPr>
          <w:rtl w:val="true"/>
        </w:rPr>
        <w:t>זוכים</w:t>
      </w:r>
      <w:r>
        <w:rPr>
          <w:rtl w:val="true"/>
        </w:rPr>
        <w:t xml:space="preserve">' </w:t>
      </w:r>
      <w:r>
        <w:rPr>
          <w:rtl w:val="true"/>
        </w:rPr>
        <w:t xml:space="preserve">לכותרת </w:t>
      </w:r>
      <w:r>
        <w:rPr>
          <w:rtl w:val="true"/>
        </w:rPr>
        <w:t>'</w:t>
      </w:r>
      <w:r>
        <w:rPr>
          <w:rtl w:val="true"/>
        </w:rPr>
        <w:t>רצח</w:t>
      </w:r>
      <w:r>
        <w:rPr>
          <w:rtl w:val="true"/>
        </w:rPr>
        <w:t xml:space="preserve">', </w:t>
      </w:r>
      <w:r>
        <w:rPr>
          <w:rtl w:val="true"/>
        </w:rPr>
        <w:t>בדרך של קביעת שתי עבירות רצח נפרדות</w:t>
      </w:r>
      <w:r>
        <w:rPr>
          <w:rtl w:val="true"/>
        </w:rPr>
        <w:t xml:space="preserve">, </w:t>
      </w:r>
      <w:r>
        <w:rPr>
          <w:rtl w:val="true"/>
        </w:rPr>
        <w:t xml:space="preserve">שלצד כל אחת מהן </w:t>
      </w:r>
      <w:r>
        <w:rPr>
          <w:rtl w:val="true"/>
        </w:rPr>
        <w:t>'</w:t>
      </w:r>
      <w:r>
        <w:rPr>
          <w:rtl w:val="true"/>
        </w:rPr>
        <w:t>תג מחיר</w:t>
      </w:r>
      <w:r>
        <w:rPr>
          <w:rtl w:val="true"/>
        </w:rPr>
        <w:t xml:space="preserve">' </w:t>
      </w:r>
      <w:r>
        <w:rPr>
          <w:rtl w:val="true"/>
        </w:rPr>
        <w:t>ענישתי שונה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 xml:space="preserve">שמשכנה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ושעונשה מאסר עולם 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עבירה זו</w:t>
      </w:r>
      <w:r>
        <w:rPr>
          <w:rtl w:val="true"/>
        </w:rPr>
        <w:t xml:space="preserve">, </w:t>
      </w:r>
      <w:r>
        <w:rPr>
          <w:rtl w:val="true"/>
        </w:rPr>
        <w:t>הנעדרת מקבילה בגדרי הדין הישן</w:t>
      </w:r>
      <w:r>
        <w:rPr>
          <w:rtl w:val="true"/>
        </w:rPr>
        <w:t xml:space="preserve">, </w:t>
      </w:r>
      <w:r>
        <w:rPr>
          <w:rtl w:val="true"/>
        </w:rPr>
        <w:t>תוארה 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פרוטוקול ישיבה </w:t>
      </w:r>
      <w:r>
        <w:rPr/>
        <w:t>239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(</w:t>
      </w:r>
      <w:r>
        <w:rPr/>
        <w:t>19.7.2016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239</w:t>
      </w:r>
      <w:r>
        <w:rPr>
          <w:rtl w:val="true"/>
        </w:rPr>
        <w:t xml:space="preserve">)), </w:t>
      </w:r>
      <w:r>
        <w:rPr>
          <w:rtl w:val="true"/>
        </w:rPr>
        <w:t xml:space="preserve">והיא נועדה לעמוד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במרכזן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של עבירות ההמתה החדשות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167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בהיבט הענישה</w:t>
      </w:r>
      <w:r>
        <w:rPr>
          <w:rtl w:val="true"/>
        </w:rPr>
        <w:t xml:space="preserve">, </w:t>
      </w:r>
      <w:r>
        <w:rPr>
          <w:rtl w:val="true"/>
        </w:rPr>
        <w:t>נועדה העבירה לאפשר גמישות ב</w:t>
      </w:r>
      <w:r>
        <w:rPr>
          <w:rtl w:val="true"/>
        </w:rPr>
        <w:t>'</w:t>
      </w:r>
      <w:r>
        <w:rPr>
          <w:rtl w:val="true"/>
        </w:rPr>
        <w:t>תפירת</w:t>
      </w:r>
      <w:r>
        <w:rPr>
          <w:rtl w:val="true"/>
        </w:rPr>
        <w:t xml:space="preserve">' </w:t>
      </w:r>
      <w:r>
        <w:rPr>
          <w:rtl w:val="true"/>
        </w:rPr>
        <w:t>עונשו של המורשע בה – גמישות שהעדרה נתפס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 xml:space="preserve">כאחד מליקויי הדין שקדם לרפורמה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7.7.2022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 xml:space="preserve">שעוגנה </w:t>
      </w:r>
      <w:hyperlink r:id="rId6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ושעונשה מאסר עולם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 xml:space="preserve">עבירה זו היא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המחליפה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של עבירת הרצח מן הדין הישן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169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), </w:t>
      </w:r>
      <w:r>
        <w:rPr>
          <w:rtl w:val="true"/>
        </w:rPr>
        <w:t>והיא נועדה לחול על אותם מקרי רצח שמתגלה בהם פן של חומרה מיוחדת</w:t>
      </w:r>
      <w:r>
        <w:rPr>
          <w:rtl w:val="true"/>
        </w:rPr>
        <w:t xml:space="preserve">, </w:t>
      </w:r>
      <w:r>
        <w:rPr>
          <w:rtl w:val="true"/>
        </w:rPr>
        <w:t>אף בהשוואה לסביבתם העכורה של יתר מעשי הרצח</w:t>
      </w:r>
      <w:r>
        <w:rPr>
          <w:rtl w:val="true"/>
        </w:rPr>
        <w:t xml:space="preserve">. </w:t>
      </w:r>
      <w:r>
        <w:rPr>
          <w:rtl w:val="true"/>
        </w:rPr>
        <w:t xml:space="preserve">תנאי לתחולתה הוא התקיימותה של אחת </w:t>
      </w:r>
      <w:r>
        <w:rPr>
          <w:rtl w:val="true"/>
        </w:rPr>
        <w:t>(</w:t>
      </w:r>
      <w:r>
        <w:rPr>
          <w:rtl w:val="true"/>
        </w:rPr>
        <w:t>או יותר</w:t>
      </w:r>
      <w:r>
        <w:rPr>
          <w:rtl w:val="true"/>
        </w:rPr>
        <w:t xml:space="preserve">) </w:t>
      </w:r>
      <w:r>
        <w:rPr>
          <w:rtl w:val="true"/>
        </w:rPr>
        <w:t xml:space="preserve">מבין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 מחמירות</w:t>
      </w:r>
      <w:r>
        <w:rPr>
          <w:rtl w:val="true"/>
        </w:rPr>
        <w:t xml:space="preserve">, </w:t>
      </w:r>
      <w:r>
        <w:rPr>
          <w:rtl w:val="true"/>
        </w:rPr>
        <w:t>שבכל אחת מהן גלומה חומרה מוסרית מיוחדת</w:t>
      </w:r>
      <w:r>
        <w:rPr>
          <w:rtl w:val="true"/>
        </w:rPr>
        <w:t xml:space="preserve">, </w:t>
      </w:r>
      <w:r>
        <w:rPr>
          <w:rtl w:val="true"/>
        </w:rPr>
        <w:t>המצדיקה הן תיוג יִחודי</w:t>
      </w:r>
      <w:r>
        <w:rPr>
          <w:rtl w:val="true"/>
        </w:rPr>
        <w:t xml:space="preserve">, </w:t>
      </w:r>
      <w:r>
        <w:rPr>
          <w:rtl w:val="true"/>
        </w:rPr>
        <w:t xml:space="preserve">הן ענישת חובה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בעניין דנן</w:t>
      </w:r>
      <w:r>
        <w:rPr>
          <w:rtl w:val="true"/>
        </w:rPr>
        <w:t xml:space="preserve">, </w:t>
      </w:r>
      <w:r>
        <w:rPr>
          <w:rtl w:val="true"/>
        </w:rPr>
        <w:t>חלוקים הצדדים באשר להתקיימותה של אחת מאותן נסיבות מחמירות</w:t>
      </w:r>
      <w:r>
        <w:rPr>
          <w:rtl w:val="true"/>
        </w:rPr>
        <w:t xml:space="preserve">; </w:t>
      </w:r>
      <w:r>
        <w:rPr>
          <w:rtl w:val="true"/>
        </w:rPr>
        <w:t>אפנה עתה לעסוק 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63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1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הנסיבה המחמירה מושא המחלוקת</w:t>
      </w:r>
      <w:r>
        <w:rPr>
          <w:rtl w:val="true"/>
        </w:rPr>
        <w:t xml:space="preserve">, </w:t>
      </w:r>
      <w:r>
        <w:rPr>
          <w:rtl w:val="true"/>
        </w:rPr>
        <w:t xml:space="preserve">היא הראשונה בשורת הנסיבות המחמירות שמופיעות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עינינו הרואות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כי </w:t>
      </w:r>
      <w:r>
        <w:rPr>
          <w:rtl w:val="true"/>
        </w:rPr>
        <w:t>הנסיבה אמנם אחת</w:t>
      </w:r>
      <w:r>
        <w:rPr>
          <w:rtl w:val="true"/>
        </w:rPr>
        <w:t xml:space="preserve">, </w:t>
      </w:r>
      <w:r>
        <w:rPr>
          <w:rtl w:val="true"/>
        </w:rPr>
        <w:t>אך למעשה כלולות בה שתי חלופות עצמאיות</w:t>
      </w:r>
      <w:r>
        <w:rPr>
          <w:rtl w:val="true"/>
        </w:rPr>
        <w:t xml:space="preserve">, </w:t>
      </w:r>
      <w:r>
        <w:rPr>
          <w:rtl w:val="true"/>
        </w:rPr>
        <w:t>אשר די בהתקיימות אחת מהן</w:t>
      </w:r>
      <w:r>
        <w:rPr>
          <w:rtl w:val="true"/>
        </w:rPr>
        <w:t xml:space="preserve">: </w:t>
      </w:r>
      <w:r>
        <w:rPr>
          <w:rtl w:val="true"/>
        </w:rPr>
        <w:t>רצח המתבצע לאחר תכנון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tl w:val="true"/>
        </w:rPr>
        <w:t xml:space="preserve"> רצח המתבצע לאחר הליך ממשי של שקילה וגיבוש החלטה להמית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25.12.2022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tl w:val="true"/>
        </w:rPr>
        <w:t xml:space="preserve">)).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בדידן</w:t>
      </w:r>
      <w:r>
        <w:rPr>
          <w:rtl w:val="true"/>
        </w:rPr>
        <w:t xml:space="preserve">, </w:t>
      </w:r>
      <w:r>
        <w:rPr>
          <w:rtl w:val="true"/>
        </w:rPr>
        <w:t>חלוקים בדבר התקיימות השניה מבין החלופות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אתמקד בחלופה זו</w:t>
      </w:r>
      <w:r>
        <w:rPr>
          <w:rtl w:val="true"/>
        </w:rPr>
        <w:t xml:space="preserve">, </w:t>
      </w:r>
      <w:r>
        <w:rPr>
          <w:rtl w:val="true"/>
        </w:rPr>
        <w:t>אף אם חלק מן הדברים שלהלן עשויים להיות יפים גם כלפי החלופה הראשונה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כמה טעמים נזכרו כבסיס לחומרה המיוחדת המצדיקה את </w:t>
      </w:r>
      <w:r>
        <w:rPr>
          <w:rtl w:val="true"/>
        </w:rPr>
        <w:t>'</w:t>
      </w:r>
      <w:r>
        <w:rPr>
          <w:rtl w:val="true"/>
        </w:rPr>
        <w:t>שדרוג</w:t>
      </w:r>
      <w:r>
        <w:rPr>
          <w:rtl w:val="true"/>
        </w:rPr>
        <w:t xml:space="preserve">' </w:t>
      </w:r>
      <w:r>
        <w:rPr>
          <w:rtl w:val="true"/>
        </w:rPr>
        <w:t>העבירות שבהן מתקיימת הנסיבה האמורה</w:t>
      </w:r>
      <w:r>
        <w:rPr>
          <w:rtl w:val="true"/>
        </w:rPr>
        <w:t xml:space="preserve">, </w:t>
      </w:r>
      <w:r>
        <w:rPr>
          <w:rtl w:val="true"/>
        </w:rPr>
        <w:t>מעבירת הרצח הבסיסית לעבירת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בהיבטי אשם וגמול צוין</w:t>
      </w:r>
      <w:r>
        <w:rPr>
          <w:rtl w:val="true"/>
        </w:rPr>
        <w:t xml:space="preserve">, </w:t>
      </w:r>
      <w:r>
        <w:rPr>
          <w:rtl w:val="true"/>
        </w:rPr>
        <w:t>כי מעשה המבוצע לאחר שעושהו כלכל צעדיו</w:t>
      </w:r>
      <w:r>
        <w:rPr>
          <w:rtl w:val="true"/>
        </w:rPr>
        <w:t xml:space="preserve">, </w:t>
      </w:r>
      <w:r>
        <w:rPr>
          <w:rtl w:val="true"/>
        </w:rPr>
        <w:t>שקלם</w:t>
      </w:r>
      <w:r>
        <w:rPr>
          <w:rtl w:val="true"/>
        </w:rPr>
        <w:t xml:space="preserve">, </w:t>
      </w:r>
      <w:r>
        <w:rPr>
          <w:rtl w:val="true"/>
        </w:rPr>
        <w:t>בחן חלופות ולבסוף הכריע כפי שהכריע – הריהו מעשה שמבצעו מזדהה עִמו וניצב מאחוריו בצורה איתנה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במעשה המלמד במידה רבה על מבצעו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הליך התכנון</w:t>
      </w:r>
      <w:r>
        <w:rPr>
          <w:rtl w:val="true"/>
        </w:rPr>
        <w:t xml:space="preserve">, </w:t>
      </w:r>
      <w:r>
        <w:rPr>
          <w:rtl w:val="true"/>
        </w:rPr>
        <w:t>או גיבוש ההחלטה להמית</w:t>
      </w:r>
      <w:r>
        <w:rPr>
          <w:rtl w:val="true"/>
        </w:rPr>
        <w:t xml:space="preserve">, </w:t>
      </w:r>
      <w:r>
        <w:rPr>
          <w:rtl w:val="true"/>
        </w:rPr>
        <w:t xml:space="preserve">מערב מעצם טבעו גם חלקים </w:t>
      </w:r>
      <w:r>
        <w:rPr>
          <w:rtl w:val="true"/>
        </w:rPr>
        <w:t>'</w:t>
      </w:r>
      <w:r>
        <w:rPr>
          <w:rtl w:val="true"/>
        </w:rPr>
        <w:t>גבוהים</w:t>
      </w:r>
      <w:r>
        <w:rPr>
          <w:rtl w:val="true"/>
        </w:rPr>
        <w:t xml:space="preserve">' </w:t>
      </w:r>
      <w:r>
        <w:rPr>
          <w:rtl w:val="true"/>
        </w:rPr>
        <w:t>בנפשו של המבצע</w:t>
      </w:r>
      <w:r>
        <w:rPr>
          <w:rtl w:val="true"/>
        </w:rPr>
        <w:t xml:space="preserve">, </w:t>
      </w:r>
      <w:r>
        <w:rPr>
          <w:rtl w:val="true"/>
        </w:rPr>
        <w:t>שלא נתגלו בה עכבות מוסריות מספקות על מנת להביא לעצירתו של המהלך הנפשע</w:t>
      </w:r>
      <w:r>
        <w:rPr>
          <w:rtl w:val="true"/>
        </w:rPr>
        <w:t xml:space="preserve">. </w:t>
      </w:r>
      <w:r>
        <w:rPr>
          <w:rtl w:val="true"/>
        </w:rPr>
        <w:t>הדבר מתחדד על רקע הנגדה להיפוכו – מצב של עשיה מתוך כוונה ספונטנית</w:t>
      </w:r>
      <w:r>
        <w:rPr>
          <w:rtl w:val="true"/>
        </w:rPr>
        <w:t xml:space="preserve">, </w:t>
      </w:r>
      <w:r>
        <w:rPr>
          <w:rtl w:val="true"/>
        </w:rPr>
        <w:t>שבגדרו פעל אדם כפי שפעל ב</w:t>
      </w:r>
      <w:r>
        <w:rPr>
          <w:rtl w:val="true"/>
        </w:rPr>
        <w:t>'</w:t>
      </w:r>
      <w:r>
        <w:rPr>
          <w:rtl w:val="true"/>
        </w:rPr>
        <w:t>עידנא דריתחא</w:t>
      </w:r>
      <w:r>
        <w:rPr>
          <w:rtl w:val="true"/>
        </w:rPr>
        <w:t xml:space="preserve">', </w:t>
      </w:r>
      <w:r>
        <w:rPr>
          <w:rtl w:val="true"/>
        </w:rPr>
        <w:t>כתוצאה מגירוי חיצוני פתאומי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 בכגון דא</w:t>
      </w:r>
      <w:r>
        <w:rPr>
          <w:rtl w:val="true"/>
        </w:rPr>
        <w:t xml:space="preserve">, </w:t>
      </w:r>
      <w:r>
        <w:rPr>
          <w:rtl w:val="true"/>
        </w:rPr>
        <w:t xml:space="preserve">המעשה שנבחר עבר דרך מספר פחוּת בהרבה של </w:t>
      </w:r>
      <w:r>
        <w:rPr>
          <w:rtl w:val="true"/>
        </w:rPr>
        <w:t>'</w:t>
      </w:r>
      <w:r>
        <w:rPr>
          <w:rtl w:val="true"/>
        </w:rPr>
        <w:t>מסננות</w:t>
      </w:r>
      <w:r>
        <w:rPr>
          <w:rtl w:val="true"/>
        </w:rPr>
        <w:t xml:space="preserve">' </w:t>
      </w:r>
      <w:r>
        <w:rPr>
          <w:rtl w:val="true"/>
        </w:rPr>
        <w:t>פנימיות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: </w:t>
      </w:r>
      <w:r>
        <w:rPr>
          <w:rtl w:val="true"/>
        </w:rPr>
        <w:t xml:space="preserve">הוא עשוי ללמד פחות על עושהו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מרדכי קרמניצר וחאלד </w:t>
      </w:r>
      <w:hyperlink r:id="rId68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369-367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לשיקולי הרתעה כללית</w:t>
      </w:r>
      <w:r>
        <w:rPr>
          <w:rtl w:val="true"/>
        </w:rPr>
        <w:t xml:space="preserve">, </w:t>
      </w:r>
      <w:r>
        <w:rPr>
          <w:rtl w:val="true"/>
        </w:rPr>
        <w:t>נטען כי מי שמבצע מעשיו לאחר שקילה ובחינה</w:t>
      </w:r>
      <w:r>
        <w:rPr>
          <w:rtl w:val="true"/>
        </w:rPr>
        <w:t xml:space="preserve">, </w:t>
      </w:r>
      <w:r>
        <w:rPr>
          <w:rtl w:val="true"/>
        </w:rPr>
        <w:t>הוא מושא אפקטיבי יותר לניסיון הרתעתו מצדו של החוק</w:t>
      </w:r>
      <w:r>
        <w:rPr>
          <w:rtl w:val="true"/>
        </w:rPr>
        <w:t xml:space="preserve">, </w:t>
      </w:r>
      <w:r>
        <w:rPr>
          <w:rtl w:val="true"/>
        </w:rPr>
        <w:t xml:space="preserve">בהשוואה למי שפועל תחת סערת רגשות עזה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370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 מקום להעיר</w:t>
      </w:r>
      <w:r>
        <w:rPr>
          <w:rtl w:val="true"/>
        </w:rPr>
        <w:t xml:space="preserve">, </w:t>
      </w:r>
      <w:r>
        <w:rPr>
          <w:rtl w:val="true"/>
        </w:rPr>
        <w:t>כי את ההרתעה בהקשר זה יש למדוד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השולית</w:t>
      </w:r>
      <w:r>
        <w:rPr>
          <w:rtl w:val="true"/>
        </w:rPr>
        <w:t xml:space="preserve">, </w:t>
      </w:r>
      <w:r>
        <w:rPr>
          <w:rtl w:val="true"/>
        </w:rPr>
        <w:t>שתושג כתוצאה מן המעבר מעונש של מאסר עולם</w:t>
      </w:r>
      <w:r>
        <w:rPr>
          <w:rtl w:val="true"/>
        </w:rPr>
        <w:t xml:space="preserve">, </w:t>
      </w:r>
      <w:r>
        <w:rPr>
          <w:rtl w:val="true"/>
        </w:rPr>
        <w:t>הנתון לשיקול דעת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לעונש של מאסר עולם חובה </w:t>
      </w:r>
      <w:r>
        <w:rPr>
          <w:rtl w:val="true"/>
        </w:rPr>
        <w:t>(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בשים לב להשפעה ההרתעתית הפחותה של שנות מאסר המתווספות לעונש ארוך שנים ממילא</w:t>
      </w:r>
      <w:r>
        <w:rPr>
          <w:rtl w:val="true"/>
        </w:rPr>
        <w:t xml:space="preserve">, </w:t>
      </w:r>
      <w:r>
        <w:rPr>
          <w:rtl w:val="true"/>
        </w:rPr>
        <w:t xml:space="preserve">ואשר תגענה רק בעתיד הרחוק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3">
        <w:r>
          <w:rPr>
            <w:rStyle w:val="Hyperlink"/>
            <w:smallCaps/>
            <w:rtl w:val="true"/>
          </w:rPr>
          <w:t>אלון</w:t>
        </w:r>
        <w:r>
          <w:rPr>
            <w:rStyle w:val="Hyperlink"/>
            <w:smallCaps/>
            <w:rtl w:val="true"/>
          </w:rPr>
          <w:t xml:space="preserve"> </w:t>
        </w:r>
        <w:r>
          <w:rPr>
            <w:rStyle w:val="Hyperlink"/>
            <w:smallCaps/>
            <w:rtl w:val="true"/>
          </w:rPr>
          <w:t>הראל</w:t>
        </w:r>
        <w:r>
          <w:rPr>
            <w:rStyle w:val="Hyperlink"/>
            <w:smallCaps/>
            <w:rtl w:val="true"/>
          </w:rPr>
          <w:t xml:space="preserve"> </w:t>
        </w:r>
        <w:r>
          <w:rPr>
            <w:rStyle w:val="Hyperlink"/>
            <w:smallCaps/>
            <w:rtl w:val="true"/>
          </w:rPr>
          <w:t>"</w:t>
        </w:r>
        <w:r>
          <w:rPr>
            <w:rStyle w:val="Hyperlink"/>
            <w:smallCaps/>
            <w:rtl w:val="true"/>
          </w:rPr>
          <w:t>משפט</w:t>
        </w:r>
        <w:r>
          <w:rPr>
            <w:rStyle w:val="Hyperlink"/>
            <w:smallCaps/>
            <w:rtl w:val="true"/>
          </w:rPr>
          <w:t xml:space="preserve"> </w:t>
        </w:r>
        <w:r>
          <w:rPr>
            <w:rStyle w:val="Hyperlink"/>
            <w:smallCaps/>
            <w:rtl w:val="true"/>
          </w:rPr>
          <w:t>פלילי</w:t>
        </w:r>
      </w:hyperlink>
      <w:r>
        <w:rPr>
          <w:smallCaps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הכלכלית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למשפט</w:t>
      </w:r>
      <w:r>
        <w:rPr>
          <w:smallCaps/>
          <w:rtl w:val="true"/>
        </w:rPr>
        <w:t xml:space="preserve"> </w:t>
      </w:r>
      <w:r>
        <w:rPr>
          <w:smallCaps/>
        </w:rPr>
        <w:t>657-656</w:t>
      </w:r>
      <w:r>
        <w:rPr>
          <w:smallCaps/>
          <w:rtl w:val="true"/>
        </w:rPr>
        <w:t xml:space="preserve"> (</w:t>
      </w:r>
      <w:r>
        <w:rPr>
          <w:smallCaps/>
          <w:rtl w:val="true"/>
        </w:rPr>
        <w:t>אוריאל פרוקצ</w:t>
      </w:r>
      <w:r>
        <w:rPr>
          <w:smallCaps/>
          <w:rtl w:val="true"/>
        </w:rPr>
        <w:t>'</w:t>
      </w:r>
      <w:r>
        <w:rPr>
          <w:smallCaps/>
          <w:rtl w:val="true"/>
        </w:rPr>
        <w:t xml:space="preserve">יה עורך </w:t>
      </w:r>
      <w:r>
        <w:rPr>
          <w:smallCaps/>
        </w:rPr>
        <w:t>2012</w:t>
      </w:r>
      <w:r>
        <w:rPr>
          <w:smallCaps/>
          <w:rtl w:val="true"/>
        </w:rPr>
        <w:t>)</w:t>
      </w:r>
      <w:r>
        <w:rPr>
          <w:rtl w:val="true"/>
        </w:rPr>
        <w:t xml:space="preserve">) – </w:t>
      </w:r>
      <w:r>
        <w:rPr>
          <w:rtl w:val="true"/>
        </w:rPr>
        <w:t>דומה שיש מקום להסתפק באשר לתוספת הרתעתית זו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נראה שנותרים אנו בעיקר עם טעמי הגמול</w:t>
      </w:r>
      <w:r>
        <w:rPr>
          <w:rtl w:val="true"/>
        </w:rPr>
        <w:t xml:space="preserve">, </w:t>
      </w:r>
      <w:r>
        <w:rPr>
          <w:rtl w:val="true"/>
        </w:rPr>
        <w:t>כצידוק להחמרה המיוחדת עם רוצח שמעשיו מקיימים את יסודות הנסיבה המחמירה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>עבירת הרצח בנסיבות מחמירות נועדה 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המחליפה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 xml:space="preserve">של עבירת הרצח שקבועה היתה בדין הישן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169</w:t>
      </w:r>
      <w:r>
        <w:rPr>
          <w:rtl w:val="true"/>
        </w:rPr>
        <w:t xml:space="preserve">). </w:t>
      </w:r>
      <w:r>
        <w:rPr>
          <w:rtl w:val="true"/>
        </w:rPr>
        <w:t>כחלק מכך</w:t>
      </w:r>
      <w:r>
        <w:rPr>
          <w:rtl w:val="true"/>
        </w:rPr>
        <w:t xml:space="preserve">, </w:t>
      </w:r>
      <w:r>
        <w:rPr>
          <w:rtl w:val="true"/>
        </w:rPr>
        <w:t>הנסיבה המחמירה שבה עסקינן</w:t>
      </w:r>
      <w:r>
        <w:rPr>
          <w:rtl w:val="true"/>
        </w:rPr>
        <w:t xml:space="preserve">, </w:t>
      </w:r>
      <w:r>
        <w:rPr>
          <w:rtl w:val="true"/>
        </w:rPr>
        <w:t>קשורה קשר הדוק למופעה המרכזי של עבירת הרצח מגלגולו הקודם של הדין</w:t>
      </w:r>
      <w:r>
        <w:rPr>
          <w:rtl w:val="true"/>
        </w:rPr>
        <w:t xml:space="preserve">: </w:t>
      </w:r>
      <w:r>
        <w:rPr>
          <w:rtl w:val="true"/>
        </w:rPr>
        <w:t>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ששכנה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בהחלט אין מדובר בזהות מלאה</w:t>
      </w:r>
      <w:r>
        <w:rPr>
          <w:rtl w:val="true"/>
        </w:rPr>
        <w:t xml:space="preserve">; </w:t>
      </w:r>
      <w:r>
        <w:rPr>
          <w:rtl w:val="true"/>
        </w:rPr>
        <w:t>רחוק מכך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תחליף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מנוסחת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לגמרי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פרוטוקול ישיבה </w:t>
      </w:r>
      <w:r>
        <w:rPr/>
        <w:t>404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(</w:t>
      </w:r>
      <w:r>
        <w:rPr/>
        <w:t>11.7.2017</w:t>
      </w:r>
      <w:r>
        <w:rPr>
          <w:rtl w:val="true"/>
        </w:rPr>
        <w:t xml:space="preserve">)). </w:t>
      </w:r>
      <w:r>
        <w:rPr>
          <w:rtl w:val="true"/>
        </w:rPr>
        <w:t>טעם הדבר הוא</w:t>
      </w:r>
      <w:r>
        <w:rPr>
          <w:rtl w:val="true"/>
        </w:rPr>
        <w:t xml:space="preserve">, </w:t>
      </w:r>
      <w:r>
        <w:rPr>
          <w:rtl w:val="true"/>
        </w:rPr>
        <w:t>שחוסר שביעות רצון מן ההרחבה היתרה שלה זכתה העבירה של רצח בכוונה תחילה היה אחד מן המניעים המרכזיים לשינוי ולסטיה מעבירת הרצח הישנה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מלהשתמש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במושג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ריקונו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446-445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170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מבלי שאתעכב על פרטיו של אותו </w:t>
      </w:r>
      <w:r>
        <w:rPr>
          <w:rtl w:val="true"/>
        </w:rPr>
        <w:t>'</w:t>
      </w:r>
      <w:r>
        <w:rPr>
          <w:rtl w:val="true"/>
        </w:rPr>
        <w:t>ריקון מתוכן</w:t>
      </w:r>
      <w:r>
        <w:rPr>
          <w:rtl w:val="true"/>
        </w:rPr>
        <w:t>' (</w:t>
      </w:r>
      <w:r>
        <w:rPr>
          <w:rtl w:val="true"/>
        </w:rPr>
        <w:t>לגביהם 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ירנוב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נספח 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10-3</w:t>
      </w:r>
      <w:r>
        <w:rPr>
          <w:rtl w:val="true"/>
        </w:rPr>
        <w:t xml:space="preserve">), </w:t>
      </w:r>
      <w:r>
        <w:rPr>
          <w:rtl w:val="true"/>
        </w:rPr>
        <w:t>די</w:t>
      </w:r>
      <w:r>
        <w:rPr>
          <w:rtl w:val="true"/>
        </w:rPr>
        <w:t>י</w:t>
      </w:r>
      <w:r>
        <w:rPr>
          <w:rtl w:val="true"/>
        </w:rPr>
        <w:t>ני שאציין כי אחת מהשלכותיו המרכזיות</w:t>
      </w:r>
      <w:r>
        <w:rPr>
          <w:rtl w:val="true"/>
        </w:rPr>
        <w:t xml:space="preserve">, </w:t>
      </w:r>
      <w:r>
        <w:rPr>
          <w:rtl w:val="true"/>
        </w:rPr>
        <w:t>הריהי הכנסתם תחת כנפיה של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גם של מקרי המתה </w:t>
      </w:r>
      <w:r>
        <w:rPr>
          <w:rtl w:val="true"/>
        </w:rPr>
        <w:t>'</w:t>
      </w:r>
      <w:r>
        <w:rPr>
          <w:rtl w:val="true"/>
        </w:rPr>
        <w:t>בכוונה ספונטנית</w:t>
      </w:r>
      <w:r>
        <w:rPr>
          <w:rtl w:val="true"/>
        </w:rPr>
        <w:t xml:space="preserve">';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מצבים שבהם בוצע מעשה המתה מכוון</w:t>
      </w:r>
      <w:r>
        <w:rPr>
          <w:rtl w:val="true"/>
        </w:rPr>
        <w:t xml:space="preserve">, </w:t>
      </w:r>
      <w:r>
        <w:rPr>
          <w:rtl w:val="true"/>
        </w:rPr>
        <w:t xml:space="preserve">אך בלהט הרגע וללא תכנון מוקדם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444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להוצאתם של מצבים אלה מן הקטיגוריה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הדין החדש</w:t>
      </w:r>
      <w:r>
        <w:rPr>
          <w:rtl w:val="true"/>
        </w:rPr>
        <w:t xml:space="preserve">, </w:t>
      </w:r>
      <w:r>
        <w:rPr>
          <w:rtl w:val="true"/>
        </w:rPr>
        <w:t>קוראים דברי ההסבר לרפורמה בשפה ברורה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שנוצרה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ספונטני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סובייקטיבי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ששלל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ושקילה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ייכנסו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בגדרי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החלופה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המוצעת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  <w:u w:val="single"/>
        </w:rPr>
        <w:t>1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170</w:t>
      </w:r>
      <w:r>
        <w:rPr>
          <w:rtl w:val="true"/>
        </w:rPr>
        <w:t xml:space="preserve"> (</w:t>
      </w:r>
      <w:r>
        <w:rPr>
          <w:rtl w:val="true"/>
        </w:rPr>
        <w:t>ההדגשה הוּספה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'); </w:t>
      </w:r>
      <w:r>
        <w:rPr>
          <w:rtl w:val="true"/>
        </w:rPr>
        <w:t>וראו גם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239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4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(</w:t>
      </w:r>
      <w:r>
        <w:rPr/>
        <w:t>19.7.2016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דברים אלה</w:t>
      </w:r>
      <w:r>
        <w:rPr>
          <w:rtl w:val="true"/>
        </w:rPr>
        <w:t xml:space="preserve">, </w:t>
      </w:r>
      <w:r>
        <w:rPr>
          <w:rtl w:val="true"/>
        </w:rPr>
        <w:t>כך נראה</w:t>
      </w:r>
      <w:r>
        <w:rPr>
          <w:rtl w:val="true"/>
        </w:rPr>
        <w:t xml:space="preserve">, </w:t>
      </w:r>
      <w:r>
        <w:rPr>
          <w:rtl w:val="true"/>
        </w:rPr>
        <w:t>קיבלו ביטוי גם בלשון החוק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הדרישה לכך שמעשה ההמתה יבוצע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7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ההדגשות הוּספוּ –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 xml:space="preserve">'); </w:t>
      </w:r>
      <w:r>
        <w:rPr>
          <w:rFonts w:ascii="Century" w:hAnsi="Century" w:cs="Century"/>
          <w:sz w:val="22"/>
          <w:sz w:val="22"/>
          <w:rtl w:val="true"/>
        </w:rPr>
        <w:t>אף הפסיקה עמדה על חשיבותם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שעה שדנה בנסיבה המחמירה מושא עיסוקנו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7722/19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19.4.2021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הטעמים שהצגתי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כאלה שניצבים בבסיס החומרה היתרה שמיוחסת לרצח המבוצע בתנאי הנסיבה המחמירה שבה עסקינן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אינם מתקיימים במקרה המתה ספונטני כאמור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בדיוק להפך – אלה הם מקרי ההמתה שיש מקום לזיהוי פחוּת שלהם עם מבצעם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הלה לא העבירם בשבט הביקורת של תבונתו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בחרם באופן 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שכלכל את צעדיו ובחנם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לצד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מובהר בדברי ההסבר גם כי אין להרחיק לכת עד לקוטב הנגדי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ולדרוש תכנון מפורט ומסועף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יודגש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המתוכננת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170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גם הצורך להישמר מן ההגעה עד כדי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נקלט אל הפסיקה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28.7.2022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בנימינוב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התמונה המתקבלת מן ההצצה אל </w:t>
      </w:r>
      <w:r>
        <w:rPr>
          <w:rtl w:val="true"/>
        </w:rPr>
        <w:t>'</w:t>
      </w:r>
      <w:r>
        <w:rPr>
          <w:rtl w:val="true"/>
        </w:rPr>
        <w:t>בית היוצר</w:t>
      </w:r>
      <w:r>
        <w:rPr>
          <w:rtl w:val="true"/>
        </w:rPr>
        <w:t xml:space="preserve">' </w:t>
      </w:r>
      <w:r>
        <w:rPr>
          <w:rtl w:val="true"/>
        </w:rPr>
        <w:t xml:space="preserve">שבו נתגבשה הנסיבה המחמירה שנקבעה </w:t>
      </w:r>
      <w:hyperlink r:id="rId7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היא של ניסיון להוציא מגדר תחולתה של עבירת הרצח בנסיבות מחמירות מעשי המתה ספונטניים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 למתוח את היריעה עד כדי צמצום הנסיבה המחמירה אך למקרים של תכנון קפדני ומפורט</w:t>
      </w:r>
      <w:r>
        <w:rPr>
          <w:rtl w:val="true"/>
        </w:rPr>
        <w:t xml:space="preserve">, </w:t>
      </w:r>
      <w:r>
        <w:rPr>
          <w:rtl w:val="true"/>
        </w:rPr>
        <w:t>או של החלטה שנתגבשה לאחר שקילה ממושכת ומעמיקה</w:t>
      </w:r>
      <w:r>
        <w:rPr>
          <w:rtl w:val="true"/>
        </w:rPr>
        <w:t xml:space="preserve">. </w:t>
      </w:r>
      <w:r>
        <w:rPr>
          <w:rtl w:val="true"/>
        </w:rPr>
        <w:t>צורך זה</w:t>
      </w:r>
      <w:r>
        <w:rPr>
          <w:rtl w:val="true"/>
        </w:rPr>
        <w:t xml:space="preserve">, </w:t>
      </w:r>
      <w:r>
        <w:rPr>
          <w:rtl w:val="true"/>
        </w:rPr>
        <w:t>בכבישת דרך אמצע בין שתי האפשרויות שהוצגו – נשנה גם בפסיקה</w:t>
      </w:r>
      <w:r>
        <w:rPr>
          <w:rtl w:val="true"/>
        </w:rPr>
        <w:t xml:space="preserve">, </w:t>
      </w:r>
      <w:r>
        <w:rPr>
          <w:rtl w:val="true"/>
        </w:rPr>
        <w:t>והוא מן האתגרים המרכזיים שניצבים לפתחנו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וחלופותיו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המגלמים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נפרשו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בהרחבה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יתרה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נמצא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עצמנו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קרובים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נקודת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ההתחלה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שקדמה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לרפורמה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את הדיון באשר למקרה שלפנינו</w:t>
      </w:r>
      <w:r>
        <w:rPr>
          <w:rtl w:val="true"/>
        </w:rPr>
        <w:t xml:space="preserve">, </w:t>
      </w:r>
      <w:r>
        <w:rPr>
          <w:rtl w:val="true"/>
        </w:rPr>
        <w:t>אחלק לשניים</w:t>
      </w:r>
      <w:r>
        <w:rPr>
          <w:rtl w:val="true"/>
        </w:rPr>
        <w:t xml:space="preserve">: </w:t>
      </w:r>
      <w:r>
        <w:rPr>
          <w:rtl w:val="true"/>
        </w:rPr>
        <w:t>תחילה אתייחס לסוגיות העובדתיות</w:t>
      </w:r>
      <w:r>
        <w:rPr>
          <w:rtl w:val="true"/>
        </w:rPr>
        <w:t xml:space="preserve">, </w:t>
      </w:r>
      <w:r>
        <w:rPr>
          <w:rtl w:val="true"/>
        </w:rPr>
        <w:t>שאותן העלה המערער בערעורו</w:t>
      </w:r>
      <w:r>
        <w:rPr>
          <w:rtl w:val="true"/>
        </w:rPr>
        <w:t xml:space="preserve">;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אפנה לבחינת התוצאה המשפטית</w:t>
      </w:r>
      <w:r>
        <w:rPr>
          <w:rtl w:val="true"/>
        </w:rPr>
        <w:t xml:space="preserve">, </w:t>
      </w:r>
      <w:r>
        <w:rPr>
          <w:rtl w:val="true"/>
        </w:rPr>
        <w:t>שאליה עובדות אלה מובילות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אקדח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כמצוין לעיל</w:t>
      </w:r>
      <w:r>
        <w:rPr>
          <w:rtl w:val="true"/>
        </w:rPr>
        <w:t xml:space="preserve">, </w:t>
      </w:r>
      <w:r>
        <w:rPr>
          <w:rtl w:val="true"/>
        </w:rPr>
        <w:t>רבות מטענותיו של המערער</w:t>
      </w:r>
      <w:r>
        <w:rPr>
          <w:rtl w:val="true"/>
        </w:rPr>
        <w:t xml:space="preserve">, </w:t>
      </w:r>
      <w:r>
        <w:rPr>
          <w:rtl w:val="true"/>
        </w:rPr>
        <w:t>מכוונות כלפי קביעותיו העובדתיות של בית המשפט המחוזי</w:t>
      </w:r>
      <w:r>
        <w:rPr>
          <w:rtl w:val="true"/>
        </w:rPr>
        <w:t xml:space="preserve">; </w:t>
      </w:r>
      <w:r>
        <w:rPr>
          <w:rtl w:val="true"/>
        </w:rPr>
        <w:t>עיקרית שבהן</w:t>
      </w:r>
      <w:r>
        <w:rPr>
          <w:rtl w:val="true"/>
        </w:rPr>
        <w:t xml:space="preserve">, </w:t>
      </w:r>
      <w:r>
        <w:rPr>
          <w:rtl w:val="true"/>
        </w:rPr>
        <w:t>היא השגתו על הקביעה שלפיה הוא שהביא את כלי הנשק לזירת הרצח</w:t>
      </w:r>
      <w:r>
        <w:rPr>
          <w:rtl w:val="true"/>
        </w:rPr>
        <w:t xml:space="preserve">, </w:t>
      </w:r>
      <w:r>
        <w:rPr>
          <w:rtl w:val="true"/>
        </w:rPr>
        <w:t>ובפרט על סמיכתו של ממצא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הצצתו בתא המטען של מכוניתו</w:t>
      </w:r>
      <w:r>
        <w:rPr>
          <w:rtl w:val="true"/>
        </w:rPr>
        <w:t xml:space="preserve">, </w:t>
      </w:r>
      <w:r>
        <w:rPr>
          <w:rtl w:val="true"/>
        </w:rPr>
        <w:t>טרם החל בנסיעה</w:t>
      </w:r>
      <w:r>
        <w:rPr>
          <w:rtl w:val="true"/>
        </w:rPr>
        <w:t xml:space="preserve">. </w:t>
      </w:r>
      <w:r>
        <w:rPr>
          <w:rtl w:val="true"/>
        </w:rPr>
        <w:t>לצִדה</w:t>
      </w:r>
      <w:r>
        <w:rPr>
          <w:rtl w:val="true"/>
        </w:rPr>
        <w:t xml:space="preserve">, </w:t>
      </w:r>
      <w:r>
        <w:rPr>
          <w:rtl w:val="true"/>
        </w:rPr>
        <w:t>העלה המערער גם טענות לגבי הקביעה כי שררה בינו לבין המנוח מערכת יחסים עכורה</w:t>
      </w:r>
      <w:r>
        <w:rPr>
          <w:rtl w:val="true"/>
        </w:rPr>
        <w:t xml:space="preserve">, </w:t>
      </w:r>
      <w:r>
        <w:rPr>
          <w:rtl w:val="true"/>
        </w:rPr>
        <w:t>עובר לאירוע ההמתה</w:t>
      </w:r>
      <w:r>
        <w:rPr>
          <w:rtl w:val="true"/>
        </w:rPr>
        <w:t xml:space="preserve">, </w:t>
      </w:r>
      <w:r>
        <w:rPr>
          <w:rtl w:val="true"/>
        </w:rPr>
        <w:t>וכי זו באה לידי ביטוי גם בפגישה שהתקיימה ביניהם בערב הרצח</w:t>
      </w:r>
      <w:r>
        <w:rPr>
          <w:rtl w:val="true"/>
        </w:rPr>
        <w:t xml:space="preserve">; </w:t>
      </w:r>
      <w:r>
        <w:rPr>
          <w:rtl w:val="true"/>
        </w:rPr>
        <w:t>באשר לזיהויי כלי הרכב שבהם נסעו השניים אל חוף הים</w:t>
      </w:r>
      <w:r>
        <w:rPr>
          <w:rtl w:val="true"/>
        </w:rPr>
        <w:t xml:space="preserve">; </w:t>
      </w:r>
      <w:r>
        <w:rPr>
          <w:rtl w:val="true"/>
        </w:rPr>
        <w:t>ובנוגע להסתמכות על עדויות האחים</w:t>
      </w:r>
      <w:r>
        <w:rPr>
          <w:rtl w:val="true"/>
        </w:rPr>
        <w:t xml:space="preserve">, </w:t>
      </w:r>
      <w:r>
        <w:rPr>
          <w:rtl w:val="true"/>
        </w:rPr>
        <w:t>כמו גם על שיחת הטלפון שקיים אחד מהם בזמן הרצח – שיחה שבית המשפט המחוזי מצא כי נשמעים בה קולות הירי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שהביקורת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לערעורים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tl w:val="true"/>
        </w:rPr>
        <w:t xml:space="preserve">); </w:t>
      </w:r>
      <w:r>
        <w:rPr>
          <w:rtl w:val="true"/>
        </w:rPr>
        <w:t>ליתר 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646-643</w:t>
      </w:r>
      <w:r>
        <w:rPr>
          <w:rtl w:val="true"/>
        </w:rPr>
        <w:t xml:space="preserve">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21-13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 xml:space="preserve">)). </w:t>
      </w:r>
      <w:r>
        <w:rPr>
          <w:rtl w:val="true"/>
        </w:rPr>
        <w:t>משמעותה של הלכה מושרשת זו – שבשל ריבוי הניסיונות להתקיפה ולהיחלץ מתחולתה</w:t>
      </w:r>
      <w:r>
        <w:rPr>
          <w:rtl w:val="true"/>
        </w:rPr>
        <w:t xml:space="preserve">, </w:t>
      </w:r>
      <w:r>
        <w:rPr>
          <w:rtl w:val="true"/>
        </w:rPr>
        <w:t xml:space="preserve">נדרש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הגנזך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ולהציג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ורעננה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646</w:t>
      </w:r>
      <w:r>
        <w:rPr>
          <w:rtl w:val="true"/>
        </w:rPr>
        <w:t xml:space="preserve">) – </w:t>
      </w:r>
      <w:r>
        <w:rPr>
          <w:rtl w:val="true"/>
        </w:rPr>
        <w:t>היא שבדרך טענותיו הנזכרות של המערער ניצבת משוכה רמה</w:t>
      </w:r>
      <w:r>
        <w:rPr>
          <w:rtl w:val="true"/>
        </w:rPr>
        <w:t xml:space="preserve">; </w:t>
      </w:r>
      <w:r>
        <w:rPr>
          <w:rtl w:val="true"/>
        </w:rPr>
        <w:t>לאחר שבחנתי את הטענות</w:t>
      </w:r>
      <w:r>
        <w:rPr>
          <w:rtl w:val="true"/>
        </w:rPr>
        <w:t xml:space="preserve">, </w:t>
      </w:r>
      <w:r>
        <w:rPr>
          <w:rtl w:val="true"/>
        </w:rPr>
        <w:t>מצאתי כי אין בהן כדי לעֹברה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בהינתן ההלכה הנזכרת</w:t>
      </w:r>
      <w:r>
        <w:rPr>
          <w:rtl w:val="true"/>
        </w:rPr>
        <w:t xml:space="preserve">, </w:t>
      </w:r>
      <w:r>
        <w:rPr>
          <w:rtl w:val="true"/>
        </w:rPr>
        <w:t>לא ראיתי הצדקה להתערבותנו בקביעות בית המשפט המחוזי</w:t>
      </w:r>
      <w:r>
        <w:rPr>
          <w:rtl w:val="true"/>
        </w:rPr>
        <w:t xml:space="preserve">, </w:t>
      </w:r>
      <w:r>
        <w:rPr>
          <w:rtl w:val="true"/>
        </w:rPr>
        <w:t>באשר לטיב מערכת היחסים ששררה בין המנוח למערער</w:t>
      </w:r>
      <w:r>
        <w:rPr>
          <w:rtl w:val="true"/>
        </w:rPr>
        <w:t xml:space="preserve">, </w:t>
      </w:r>
      <w:r>
        <w:rPr>
          <w:rtl w:val="true"/>
        </w:rPr>
        <w:t>כמו גם לגבי אופי הפגישה שהתקיימה בין השניים</w:t>
      </w:r>
      <w:r>
        <w:rPr>
          <w:rtl w:val="true"/>
        </w:rPr>
        <w:t xml:space="preserve">, </w:t>
      </w:r>
      <w:r>
        <w:rPr>
          <w:rtl w:val="true"/>
        </w:rPr>
        <w:t>בערב הרצח – קביעות אלה בוססו</w:t>
      </w:r>
      <w:r>
        <w:rPr>
          <w:rtl w:val="true"/>
        </w:rPr>
        <w:t xml:space="preserve">,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על עדויותיהם של כמה וכמה עדים</w:t>
      </w:r>
      <w:r>
        <w:rPr>
          <w:rtl w:val="true"/>
        </w:rPr>
        <w:t xml:space="preserve">, </w:t>
      </w:r>
      <w:r>
        <w:rPr>
          <w:rtl w:val="true"/>
        </w:rPr>
        <w:t>שבדבריהם מצא המותב ליתן אמון</w:t>
      </w:r>
      <w:r>
        <w:rPr>
          <w:rtl w:val="true"/>
        </w:rPr>
        <w:t xml:space="preserve">; </w:t>
      </w:r>
      <w:r>
        <w:rPr>
          <w:rtl w:val="true"/>
        </w:rPr>
        <w:t>וכן על ניתוח תיעוד מצולם של אותה הפגישה</w:t>
      </w:r>
      <w:r>
        <w:rPr>
          <w:rtl w:val="true"/>
        </w:rPr>
        <w:t xml:space="preserve">, </w:t>
      </w:r>
      <w:r>
        <w:rPr>
          <w:rtl w:val="true"/>
        </w:rPr>
        <w:t>אשר לא מצאתי סיבה טובה לפרשו אחרת מן הדרך שבה פורש</w:t>
      </w:r>
      <w:r>
        <w:rPr>
          <w:rtl w:val="true"/>
        </w:rPr>
        <w:t xml:space="preserve">. </w:t>
      </w:r>
      <w:r>
        <w:rPr>
          <w:rtl w:val="true"/>
        </w:rPr>
        <w:t>הוא הדין גם לגבי המשקל שניתן לעדויותיהם של האחים</w:t>
      </w:r>
      <w:r>
        <w:rPr>
          <w:rtl w:val="true"/>
        </w:rPr>
        <w:t xml:space="preserve">, </w:t>
      </w:r>
      <w:r>
        <w:rPr>
          <w:rtl w:val="true"/>
        </w:rPr>
        <w:t>עדי הראיה – ממצא שנסמך אף הוא על הכרעת מהימנות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בכל הנוגע לעניינים אלה</w:t>
      </w:r>
      <w:r>
        <w:rPr>
          <w:rtl w:val="true"/>
        </w:rPr>
        <w:t xml:space="preserve">, </w:t>
      </w:r>
      <w:r>
        <w:rPr>
          <w:rtl w:val="true"/>
        </w:rPr>
        <w:t>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שגיבשה את התרשמותה מכלי ראשון – נהנית מיתרון ניכר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644-643</w:t>
      </w:r>
      <w:r>
        <w:rPr>
          <w:rtl w:val="true"/>
        </w:rPr>
        <w:t xml:space="preserve">). </w:t>
      </w:r>
      <w:r>
        <w:rPr>
          <w:rtl w:val="true"/>
        </w:rPr>
        <w:t>גם מסגרת הזמנים ששרטט בית המשפט המחוזי</w:t>
      </w:r>
      <w:r>
        <w:rPr>
          <w:rtl w:val="true"/>
        </w:rPr>
        <w:t xml:space="preserve">, </w:t>
      </w:r>
      <w:r>
        <w:rPr>
          <w:rtl w:val="true"/>
        </w:rPr>
        <w:t>בהתייחס אל הנסיעה לחוף הים וביצוע מעשה ההמתה – מעוגנת היטב בחומר הראיות</w:t>
      </w:r>
      <w:r>
        <w:rPr>
          <w:rtl w:val="true"/>
        </w:rPr>
        <w:t xml:space="preserve">, </w:t>
      </w:r>
      <w:r>
        <w:rPr>
          <w:rtl w:val="true"/>
        </w:rPr>
        <w:t>הכולל תיעוד של מצלמות שונות הפזורות לאורך הדרך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זיהוי מכונית המערער באותם הצילומים</w:t>
      </w:r>
      <w:r>
        <w:rPr>
          <w:rtl w:val="true"/>
        </w:rPr>
        <w:t xml:space="preserve">, </w:t>
      </w:r>
      <w:r>
        <w:rPr>
          <w:rtl w:val="true"/>
        </w:rPr>
        <w:t>נסמך על פרטים יחודיים שבהם התאפיינה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 מהכרעה זו איני רואה טעם טוב לסטות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מכאן – לשאלת הבאתו של כלי הנשק לזירת הרצח</w:t>
      </w:r>
      <w:r>
        <w:rPr>
          <w:rtl w:val="true"/>
        </w:rPr>
        <w:t xml:space="preserve">, </w:t>
      </w:r>
      <w:r>
        <w:rPr>
          <w:rtl w:val="true"/>
        </w:rPr>
        <w:t>ולפרשנות ההצצה בתא המטען</w:t>
      </w:r>
      <w:r>
        <w:rPr>
          <w:rtl w:val="true"/>
        </w:rPr>
        <w:t xml:space="preserve">. </w:t>
      </w:r>
      <w:r>
        <w:rPr>
          <w:rtl w:val="true"/>
        </w:rPr>
        <w:t>מאחר שבהקשר זה עסקינן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בפרשנותן של הראיות שהונחו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ארחיב על כך יותר </w:t>
      </w:r>
      <w:r>
        <w:rPr>
          <w:rtl w:val="true"/>
        </w:rPr>
        <w:t>(</w:t>
      </w:r>
      <w:r>
        <w:rPr>
          <w:rtl w:val="true"/>
        </w:rPr>
        <w:t>ראו על 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10.3.2008</w:t>
      </w:r>
      <w:r>
        <w:rPr>
          <w:rtl w:val="true"/>
        </w:rPr>
        <w:t xml:space="preserve">)). </w:t>
      </w:r>
      <w:r>
        <w:rPr>
          <w:rtl w:val="true"/>
        </w:rPr>
        <w:t>אכן כן</w:t>
      </w:r>
      <w:r>
        <w:rPr>
          <w:rtl w:val="true"/>
        </w:rPr>
        <w:t xml:space="preserve">, </w:t>
      </w:r>
      <w:r>
        <w:rPr>
          <w:rtl w:val="true"/>
        </w:rPr>
        <w:t>אין בידי המשיבה ראיות ישירות המצביעות על כך שנתקיים במערער</w:t>
      </w:r>
      <w:r>
        <w:rPr>
          <w:rtl w:val="true"/>
        </w:rPr>
        <w:t xml:space="preserve">, </w:t>
      </w:r>
      <w:r>
        <w:rPr>
          <w:rtl w:val="true"/>
        </w:rPr>
        <w:t>עובר לביצוע הרצח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להבדיל משאלת עצם ביצוע ההמתה</w:t>
      </w:r>
      <w:r>
        <w:rPr>
          <w:rtl w:val="true"/>
        </w:rPr>
        <w:t xml:space="preserve">, </w:t>
      </w:r>
      <w:r>
        <w:rPr>
          <w:rtl w:val="true"/>
        </w:rPr>
        <w:t>שכבר אינה שנויה במחלוקת בין הצדדים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משום שמדובר בתהליך מנטאלי</w:t>
      </w:r>
      <w:r>
        <w:rPr>
          <w:rtl w:val="true"/>
        </w:rPr>
        <w:t xml:space="preserve">, </w:t>
      </w:r>
      <w:r>
        <w:rPr>
          <w:rtl w:val="true"/>
        </w:rPr>
        <w:t xml:space="preserve">שלא אחת הוכחתו – קשה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375</w:t>
      </w:r>
      <w:r>
        <w:rPr>
          <w:rtl w:val="true"/>
        </w:rPr>
        <w:t xml:space="preserve">). </w:t>
      </w:r>
      <w:r>
        <w:rPr>
          <w:rtl w:val="true"/>
        </w:rPr>
        <w:t>כחלק מכך</w:t>
      </w:r>
      <w:r>
        <w:rPr>
          <w:rtl w:val="true"/>
        </w:rPr>
        <w:t xml:space="preserve">, </w:t>
      </w:r>
      <w:r>
        <w:rPr>
          <w:rtl w:val="true"/>
        </w:rPr>
        <w:t>אין בידי המשיבה גם ראיה ישירה להצטיידות המערער בכלי הנשק</w:t>
      </w:r>
      <w:r>
        <w:rPr>
          <w:rtl w:val="true"/>
        </w:rPr>
        <w:t xml:space="preserve">, </w:t>
      </w:r>
      <w:r>
        <w:rPr>
          <w:rtl w:val="true"/>
        </w:rPr>
        <w:t>ששימש אותו להמתת המנוח</w:t>
      </w:r>
      <w:r>
        <w:rPr>
          <w:rtl w:val="true"/>
        </w:rPr>
        <w:t xml:space="preserve">;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בידיה ראיות נסיבתיות</w:t>
      </w:r>
      <w:r>
        <w:rPr>
          <w:rtl w:val="true"/>
        </w:rPr>
        <w:t xml:space="preserve">, </w:t>
      </w:r>
      <w:r>
        <w:rPr>
          <w:rtl w:val="true"/>
        </w:rPr>
        <w:t>בהן גם הסתכלותו של המערער בתא המטען של מכוניתו</w:t>
      </w:r>
      <w:r>
        <w:rPr>
          <w:rtl w:val="true"/>
        </w:rPr>
        <w:t xml:space="preserve">, </w:t>
      </w:r>
      <w:r>
        <w:rPr>
          <w:rtl w:val="true"/>
        </w:rPr>
        <w:t>טרם יצא לנסיעה שסופה במעשה ההמתה</w:t>
      </w:r>
      <w:r>
        <w:rPr>
          <w:rtl w:val="true"/>
        </w:rPr>
        <w:t xml:space="preserve">. </w:t>
      </w:r>
      <w:r>
        <w:rPr>
          <w:rtl w:val="true"/>
        </w:rPr>
        <w:t>כדרכן של ראיות נסיבתיות – מדובר בממצא שאין בו כדי להוכיח את היסוד העובדתי הנדרש</w:t>
      </w:r>
      <w:r>
        <w:rPr>
          <w:rtl w:val="true"/>
        </w:rPr>
        <w:t xml:space="preserve">, </w:t>
      </w:r>
      <w:r>
        <w:rPr>
          <w:rtl w:val="true"/>
        </w:rPr>
        <w:t>אלא רק קיומה של נסיבה</w:t>
      </w:r>
      <w:r>
        <w:rPr>
          <w:rtl w:val="true"/>
        </w:rPr>
        <w:t xml:space="preserve">, </w:t>
      </w:r>
      <w:r>
        <w:rPr>
          <w:rtl w:val="true"/>
        </w:rPr>
        <w:t>שעשויה בתורה לשמש בסיס לקביעה בדבר התקיימות אותו יסוד עובדתי</w:t>
      </w:r>
      <w:r>
        <w:rPr>
          <w:rtl w:val="true"/>
        </w:rPr>
        <w:t xml:space="preserve">. </w:t>
      </w:r>
      <w:r>
        <w:rPr>
          <w:rtl w:val="true"/>
        </w:rPr>
        <w:t>המעבר בין קיום הנסיבה להוכחת העובדה</w:t>
      </w:r>
      <w:r>
        <w:rPr>
          <w:rtl w:val="true"/>
        </w:rPr>
        <w:t xml:space="preserve">, </w:t>
      </w:r>
      <w:r>
        <w:rPr>
          <w:rtl w:val="true"/>
        </w:rPr>
        <w:t>מתבצע באמצעות כלים של היסק והיגיון</w:t>
      </w:r>
      <w:r>
        <w:rPr>
          <w:rtl w:val="true"/>
        </w:rPr>
        <w:t xml:space="preserve">, </w:t>
      </w:r>
      <w:r>
        <w:rPr>
          <w:rtl w:val="true"/>
        </w:rPr>
        <w:t>על רקע מכלול הראיות – מכאן כוחן של הראיות הנסיבתיות</w:t>
      </w:r>
      <w:r>
        <w:rPr>
          <w:rtl w:val="true"/>
        </w:rPr>
        <w:t xml:space="preserve">; </w:t>
      </w:r>
      <w:r>
        <w:rPr>
          <w:rtl w:val="true"/>
        </w:rPr>
        <w:t xml:space="preserve">מכאן גם חולשתן </w:t>
      </w:r>
      <w:r>
        <w:rPr>
          <w:rtl w:val="true"/>
        </w:rPr>
        <w:t>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19-18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30.3.2023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)). </w:t>
      </w:r>
      <w:r>
        <w:rPr>
          <w:rtl w:val="true"/>
        </w:rPr>
        <w:t>הפועל היוצא</w:t>
      </w:r>
      <w:r>
        <w:rPr>
          <w:rtl w:val="true"/>
        </w:rPr>
        <w:t xml:space="preserve">, </w:t>
      </w:r>
      <w:r>
        <w:rPr>
          <w:rtl w:val="true"/>
        </w:rPr>
        <w:t xml:space="preserve">הוא שהרשעה על סמך ראיות נסיבתיות תתאפשר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המרשיעה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והחלטי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חלופית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/>
        <w:t>141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שומה עלינו גם לזכור</w:t>
      </w:r>
      <w:r>
        <w:rPr>
          <w:rtl w:val="true"/>
        </w:rPr>
        <w:t xml:space="preserve">, </w:t>
      </w:r>
      <w:r>
        <w:rPr>
          <w:rtl w:val="true"/>
        </w:rPr>
        <w:t>כי ראיה נסיבתית היא כמובן ראיה ככל הראיות</w:t>
      </w:r>
      <w:r>
        <w:rPr>
          <w:rtl w:val="true"/>
        </w:rPr>
        <w:t xml:space="preserve">, </w:t>
      </w:r>
      <w:r>
        <w:rPr>
          <w:rtl w:val="true"/>
        </w:rPr>
        <w:t xml:space="preserve">ותרומתה לבירור העובדתי אינה פחותה מזו של ראיה ישירה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מנת ליישם עקרונות אלה</w:t>
      </w:r>
      <w:r>
        <w:rPr>
          <w:rtl w:val="true"/>
        </w:rPr>
        <w:t xml:space="preserve">, </w:t>
      </w:r>
      <w:r>
        <w:rPr>
          <w:rtl w:val="true"/>
        </w:rPr>
        <w:t xml:space="preserve">גובש בפסיקה </w:t>
      </w:r>
      <w:r>
        <w:rPr>
          <w:rtl w:val="true"/>
        </w:rPr>
        <w:t>'</w:t>
      </w:r>
      <w:r>
        <w:rPr>
          <w:rtl w:val="true"/>
        </w:rPr>
        <w:t>המודל 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' </w:t>
      </w:r>
      <w:r>
        <w:rPr>
          <w:rtl w:val="true"/>
        </w:rPr>
        <w:t>לבחינת ראיות נסיבתיות</w:t>
      </w:r>
      <w:r>
        <w:rPr>
          <w:rtl w:val="true"/>
        </w:rPr>
        <w:t xml:space="preserve">. </w:t>
      </w:r>
      <w:r>
        <w:rPr>
          <w:rtl w:val="true"/>
        </w:rPr>
        <w:t>זהו המודל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: </w:t>
      </w:r>
      <w:r>
        <w:rPr>
          <w:rtl w:val="true"/>
        </w:rPr>
        <w:t>בשלב ראשון</w:t>
      </w:r>
      <w:r>
        <w:rPr>
          <w:rtl w:val="true"/>
        </w:rPr>
        <w:t xml:space="preserve">, </w:t>
      </w:r>
      <w:r>
        <w:rPr>
          <w:rtl w:val="true"/>
        </w:rPr>
        <w:t>יש לבחון כל ראיה כשלעצמה</w:t>
      </w:r>
      <w:r>
        <w:rPr>
          <w:rtl w:val="true"/>
        </w:rPr>
        <w:t xml:space="preserve">, </w:t>
      </w:r>
      <w:r>
        <w:rPr>
          <w:rtl w:val="true"/>
        </w:rPr>
        <w:t>ולעמוד על המידע העובדתי שגלום בה</w:t>
      </w:r>
      <w:r>
        <w:rPr>
          <w:rtl w:val="true"/>
        </w:rPr>
        <w:t xml:space="preserve">; </w:t>
      </w:r>
      <w:r>
        <w:rPr>
          <w:rtl w:val="true"/>
        </w:rPr>
        <w:t>בשלב שני</w:t>
      </w:r>
      <w:r>
        <w:rPr>
          <w:rtl w:val="true"/>
        </w:rPr>
        <w:t xml:space="preserve">, </w:t>
      </w:r>
      <w:r>
        <w:rPr>
          <w:rtl w:val="true"/>
        </w:rPr>
        <w:t>נבחנות הראיות והעובדות שקובצו בשלב הראשון</w:t>
      </w:r>
      <w:r>
        <w:rPr>
          <w:rtl w:val="true"/>
        </w:rPr>
        <w:t xml:space="preserve">, </w:t>
      </w:r>
      <w:r>
        <w:rPr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ונבדק אם יש בהן כדי להוביל למסקנה לכאורית</w:t>
      </w:r>
      <w:r>
        <w:rPr>
          <w:rtl w:val="true"/>
        </w:rPr>
        <w:t xml:space="preserve">, </w:t>
      </w:r>
      <w:r>
        <w:rPr>
          <w:rtl w:val="true"/>
        </w:rPr>
        <w:t>המסבכת את הנאשם בביצוע העבירה</w:t>
      </w:r>
      <w:r>
        <w:rPr>
          <w:rtl w:val="true"/>
        </w:rPr>
        <w:t xml:space="preserve">; </w:t>
      </w:r>
      <w:r>
        <w:rPr>
          <w:rtl w:val="true"/>
        </w:rPr>
        <w:t>בשלב שלישי ואחרון</w:t>
      </w:r>
      <w:r>
        <w:rPr>
          <w:rtl w:val="true"/>
        </w:rPr>
        <w:t xml:space="preserve">, </w:t>
      </w:r>
      <w:r>
        <w:rPr>
          <w:rtl w:val="true"/>
        </w:rPr>
        <w:t>ניתנת לנאשם הזדמנות להציע פשר חלופי למערכת הראיות</w:t>
      </w:r>
      <w:r>
        <w:rPr>
          <w:rtl w:val="true"/>
        </w:rPr>
        <w:t xml:space="preserve">, </w:t>
      </w:r>
      <w:r>
        <w:rPr>
          <w:rtl w:val="true"/>
        </w:rPr>
        <w:t>בניסיון לכרסם בהן</w:t>
      </w:r>
      <w:r>
        <w:rPr>
          <w:rtl w:val="true"/>
        </w:rPr>
        <w:t xml:space="preserve">, </w:t>
      </w:r>
      <w:r>
        <w:rPr>
          <w:rtl w:val="true"/>
        </w:rPr>
        <w:t xml:space="preserve">ולעורר ספק סביר באשר למסקנה הלכאורית שעמה נחתם השלב השני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אפתח בשלב הראשון</w:t>
      </w:r>
      <w:r>
        <w:rPr>
          <w:rtl w:val="true"/>
        </w:rPr>
        <w:t xml:space="preserve">, </w:t>
      </w:r>
      <w:r>
        <w:rPr>
          <w:rtl w:val="true"/>
        </w:rPr>
        <w:t>ובהצגת הראיות הרלבנטיות</w:t>
      </w:r>
      <w:r>
        <w:rPr>
          <w:rtl w:val="true"/>
        </w:rPr>
        <w:t xml:space="preserve">. </w:t>
      </w:r>
      <w:r>
        <w:rPr>
          <w:rtl w:val="true"/>
        </w:rPr>
        <w:t>לעיל דחיתי את ניסיונותיו של המערער</w:t>
      </w:r>
      <w:r>
        <w:rPr>
          <w:rtl w:val="true"/>
        </w:rPr>
        <w:t xml:space="preserve">, </w:t>
      </w:r>
      <w:r>
        <w:rPr>
          <w:rtl w:val="true"/>
        </w:rPr>
        <w:t>להשיג על עצם תוקפן של כמה מן הראיות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ניתן להניח ראיות אלה כנתונים נסיבתיים</w:t>
      </w:r>
      <w:r>
        <w:rPr>
          <w:rtl w:val="true"/>
        </w:rPr>
        <w:t xml:space="preserve">, </w:t>
      </w:r>
      <w:r>
        <w:rPr>
          <w:rtl w:val="true"/>
        </w:rPr>
        <w:t>ולאחר מכן להידרש למשמעויותיהם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נתון ראשון</w:t>
      </w:r>
      <w:r>
        <w:rPr>
          <w:rtl w:val="true"/>
        </w:rPr>
        <w:t xml:space="preserve">, </w:t>
      </w:r>
      <w:r>
        <w:rPr>
          <w:rtl w:val="true"/>
        </w:rPr>
        <w:t>עניינו ביחסיהם השליליים של המנוח והמערער</w:t>
      </w:r>
      <w:r>
        <w:rPr>
          <w:rtl w:val="true"/>
        </w:rPr>
        <w:t xml:space="preserve">, </w:t>
      </w:r>
      <w:r>
        <w:rPr>
          <w:rtl w:val="true"/>
        </w:rPr>
        <w:t>עקב חובו של האחרון לראשון</w:t>
      </w:r>
      <w:r>
        <w:rPr>
          <w:rtl w:val="true"/>
        </w:rPr>
        <w:t xml:space="preserve">. </w:t>
      </w:r>
      <w:r>
        <w:rPr>
          <w:rtl w:val="true"/>
        </w:rPr>
        <w:t>על רקע יחסים אלה</w:t>
      </w:r>
      <w:r>
        <w:rPr>
          <w:rtl w:val="true"/>
        </w:rPr>
        <w:t xml:space="preserve">, </w:t>
      </w:r>
      <w:r>
        <w:rPr>
          <w:rtl w:val="true"/>
        </w:rPr>
        <w:t>פגישתם האקראית של המנוח והמערער</w:t>
      </w:r>
      <w:r>
        <w:rPr>
          <w:rtl w:val="true"/>
        </w:rPr>
        <w:t xml:space="preserve">, </w:t>
      </w:r>
      <w:r>
        <w:rPr>
          <w:rtl w:val="true"/>
        </w:rPr>
        <w:t>בערב הרצח</w:t>
      </w:r>
      <w:r>
        <w:rPr>
          <w:rtl w:val="true"/>
        </w:rPr>
        <w:t xml:space="preserve">, </w:t>
      </w:r>
      <w:r>
        <w:rPr>
          <w:rtl w:val="true"/>
        </w:rPr>
        <w:t>היתה פגישה טעונה</w:t>
      </w:r>
      <w:r>
        <w:rPr>
          <w:rtl w:val="true"/>
        </w:rPr>
        <w:t xml:space="preserve">, </w:t>
      </w:r>
      <w:r>
        <w:rPr>
          <w:rtl w:val="true"/>
        </w:rPr>
        <w:t>שבמהלכה תבע המנוח מן המערער כי יפרע את חובו</w:t>
      </w:r>
      <w:r>
        <w:rPr>
          <w:rtl w:val="true"/>
        </w:rPr>
        <w:t xml:space="preserve">. </w:t>
      </w:r>
      <w:r>
        <w:rPr>
          <w:rtl w:val="true"/>
        </w:rPr>
        <w:t>בתום אותה פגישה</w:t>
      </w:r>
      <w:r>
        <w:rPr>
          <w:rtl w:val="true"/>
        </w:rPr>
        <w:t xml:space="preserve">, </w:t>
      </w:r>
      <w:r>
        <w:rPr>
          <w:rtl w:val="true"/>
        </w:rPr>
        <w:t>נדברו השניים לשוב ולהיפגש</w:t>
      </w:r>
      <w:r>
        <w:rPr>
          <w:rtl w:val="true"/>
        </w:rPr>
        <w:t xml:space="preserve">, </w:t>
      </w:r>
      <w:r>
        <w:rPr>
          <w:rtl w:val="true"/>
        </w:rPr>
        <w:t>בחוף הים</w:t>
      </w:r>
      <w:r>
        <w:rPr>
          <w:rtl w:val="true"/>
        </w:rPr>
        <w:t xml:space="preserve">, </w:t>
      </w:r>
      <w:r>
        <w:rPr>
          <w:rtl w:val="true"/>
        </w:rPr>
        <w:t>לפגישה שאינה ידידותית כלל ועיקר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מסגרת הזמנים שנזכרה</w:t>
      </w:r>
      <w:r>
        <w:rPr>
          <w:rtl w:val="true"/>
        </w:rPr>
        <w:t xml:space="preserve">, </w:t>
      </w:r>
      <w:r>
        <w:rPr>
          <w:rtl w:val="true"/>
        </w:rPr>
        <w:t>ושבה לא ראיתי לנכון להתערב</w:t>
      </w:r>
      <w:r>
        <w:rPr>
          <w:rtl w:val="true"/>
        </w:rPr>
        <w:t xml:space="preserve">, </w:t>
      </w:r>
      <w:r>
        <w:rPr>
          <w:rtl w:val="true"/>
        </w:rPr>
        <w:t>המערער החל בנסיעתו סמוך לאחר המפגש המתואר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20:17</w:t>
      </w:r>
      <w:r>
        <w:rPr>
          <w:rtl w:val="true"/>
        </w:rPr>
        <w:t xml:space="preserve">, </w:t>
      </w:r>
      <w:r>
        <w:rPr>
          <w:rtl w:val="true"/>
        </w:rPr>
        <w:t xml:space="preserve">ושב לביתו בשעה </w:t>
      </w:r>
      <w:r>
        <w:rPr/>
        <w:t>20:34</w:t>
      </w:r>
      <w:r>
        <w:rPr>
          <w:rtl w:val="true"/>
        </w:rPr>
        <w:t xml:space="preserve"> –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עסקינן במשך זמן של מעט פחות מ</w:t>
      </w:r>
      <w:r>
        <w:rPr>
          <w:rtl w:val="true"/>
        </w:rPr>
        <w:t>-'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י רגעים</w:t>
      </w:r>
      <w:r>
        <w:rPr>
          <w:rtl w:val="true"/>
        </w:rPr>
        <w:t xml:space="preserve">' –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(</w:t>
      </w:r>
      <w:r>
        <w:rPr>
          <w:rtl w:val="true"/>
        </w:rPr>
        <w:t>כאשר זמן קצר ביותר לאחר מכן</w:t>
      </w:r>
      <w:r>
        <w:rPr>
          <w:rtl w:val="true"/>
        </w:rPr>
        <w:t xml:space="preserve">, </w:t>
      </w:r>
      <w:r>
        <w:rPr>
          <w:rtl w:val="true"/>
        </w:rPr>
        <w:t>יצא המערער בנסיעה לבני משפחה של אשתו</w:t>
      </w:r>
      <w:r>
        <w:rPr>
          <w:rtl w:val="true"/>
        </w:rPr>
        <w:t xml:space="preserve">, </w:t>
      </w:r>
      <w:r>
        <w:rPr>
          <w:rtl w:val="true"/>
        </w:rPr>
        <w:t>בירושלים</w:t>
      </w:r>
      <w:r>
        <w:rPr>
          <w:rtl w:val="true"/>
        </w:rPr>
        <w:t xml:space="preserve">).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בניגוד לתיאורי המערער את האירועים שקדמו לאותן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וכן את אלה שבאו לאחריהן</w:t>
      </w:r>
      <w:r>
        <w:rPr>
          <w:rtl w:val="true"/>
        </w:rPr>
        <w:t xml:space="preserve">, </w:t>
      </w:r>
      <w:r>
        <w:rPr>
          <w:rtl w:val="true"/>
        </w:rPr>
        <w:t>שלגביהם טען כי הם זכורים לו היטב</w:t>
      </w:r>
      <w:r>
        <w:rPr>
          <w:rtl w:val="true"/>
        </w:rPr>
        <w:t xml:space="preserve">, </w:t>
      </w:r>
      <w:r>
        <w:rPr>
          <w:rtl w:val="true"/>
        </w:rPr>
        <w:t xml:space="preserve">ואף פירטם – בכל הנוגע לאותן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טען המערער כי אינו זוכר דבר</w:t>
      </w:r>
      <w:r>
        <w:rPr>
          <w:rtl w:val="true"/>
        </w:rPr>
        <w:t xml:space="preserve">, </w:t>
      </w:r>
      <w:r>
        <w:rPr>
          <w:rtl w:val="true"/>
        </w:rPr>
        <w:t>ואף בחר לשתוק לגביהן בחקירתו במשטרה</w:t>
      </w:r>
      <w:r>
        <w:rPr>
          <w:rtl w:val="true"/>
        </w:rPr>
        <w:t xml:space="preserve">. </w:t>
      </w:r>
      <w:r>
        <w:rPr>
          <w:rtl w:val="true"/>
        </w:rPr>
        <w:t>אם לצמצם אף יותר את חלון הזמנים הרלבנטי</w:t>
      </w:r>
      <w:r>
        <w:rPr>
          <w:rtl w:val="true"/>
        </w:rPr>
        <w:t xml:space="preserve">, </w:t>
      </w:r>
      <w:r>
        <w:rPr>
          <w:rtl w:val="true"/>
        </w:rPr>
        <w:t>הרי שמכונית המערער נצפתה במצלמה האחרונה</w:t>
      </w:r>
      <w:r>
        <w:rPr>
          <w:rtl w:val="true"/>
        </w:rPr>
        <w:t xml:space="preserve">, </w:t>
      </w:r>
      <w:r>
        <w:rPr>
          <w:rtl w:val="true"/>
        </w:rPr>
        <w:t>שמרוחקת כקילומטר אחד מן הזירה</w:t>
      </w:r>
      <w:r>
        <w:rPr>
          <w:rtl w:val="true"/>
        </w:rPr>
        <w:t xml:space="preserve">, </w:t>
      </w:r>
      <w:r>
        <w:rPr>
          <w:rtl w:val="true"/>
        </w:rPr>
        <w:t xml:space="preserve">תחילה בשעה </w:t>
      </w:r>
      <w:r>
        <w:rPr/>
        <w:t>20:24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– בכיוון ההפוך – בשעה </w:t>
      </w:r>
      <w:r>
        <w:rPr/>
        <w:t>20:27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בהקלטה שנשמרה במכשיר הטלפון של אחד מן האחים</w:t>
      </w:r>
      <w:r>
        <w:rPr>
          <w:rtl w:val="true"/>
        </w:rPr>
        <w:t xml:space="preserve">, </w:t>
      </w:r>
      <w:r>
        <w:rPr>
          <w:rtl w:val="true"/>
        </w:rPr>
        <w:t xml:space="preserve">מן השעה </w:t>
      </w:r>
      <w:r>
        <w:rPr/>
        <w:t>20:25</w:t>
      </w:r>
      <w:r>
        <w:rPr>
          <w:rtl w:val="true"/>
        </w:rPr>
        <w:t xml:space="preserve">, </w:t>
      </w:r>
      <w:r>
        <w:rPr>
          <w:rtl w:val="true"/>
        </w:rPr>
        <w:t>נשמע הלה מציין את דבר הירי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הֱוֵי</w:t>
      </w:r>
      <w:r>
        <w:rPr>
          <w:rtl w:val="true"/>
        </w:rPr>
        <w:t xml:space="preserve"> אומר</w:t>
      </w:r>
      <w:r>
        <w:rPr>
          <w:rtl w:val="true"/>
        </w:rPr>
        <w:t xml:space="preserve">: </w:t>
      </w:r>
      <w:r>
        <w:rPr>
          <w:rtl w:val="true"/>
        </w:rPr>
        <w:t>עסקינן בפרק זמן קצר ביותר שבו שהה המערער בזירת הרצח</w:t>
      </w:r>
      <w:r>
        <w:rPr>
          <w:rtl w:val="true"/>
        </w:rPr>
        <w:t xml:space="preserve">, </w:t>
      </w:r>
      <w:r>
        <w:rPr>
          <w:rtl w:val="true"/>
        </w:rPr>
        <w:t>לא יותר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כאשר במהלך פרק זמן זה הספיק המערער לירות במנוח פעם ופעמיים</w:t>
      </w:r>
      <w:r>
        <w:rPr>
          <w:rtl w:val="true"/>
        </w:rPr>
        <w:t xml:space="preserve">, </w:t>
      </w:r>
      <w:r>
        <w:rPr>
          <w:rtl w:val="true"/>
        </w:rPr>
        <w:t>ואף לאיים על האחים</w:t>
      </w:r>
      <w:r>
        <w:rPr>
          <w:rtl w:val="true"/>
        </w:rPr>
        <w:t xml:space="preserve">. </w:t>
      </w:r>
      <w:r>
        <w:rPr>
          <w:rtl w:val="true"/>
        </w:rPr>
        <w:t>לכך ניתן לצרף</w:t>
      </w:r>
      <w:r>
        <w:rPr>
          <w:rtl w:val="true"/>
        </w:rPr>
        <w:t xml:space="preserve">, </w:t>
      </w:r>
      <w:r>
        <w:rPr>
          <w:rtl w:val="true"/>
        </w:rPr>
        <w:t>כנתון נסיבתי נוסף</w:t>
      </w:r>
      <w:r>
        <w:rPr>
          <w:rtl w:val="true"/>
        </w:rPr>
        <w:t xml:space="preserve">, </w:t>
      </w:r>
      <w:r>
        <w:rPr>
          <w:rtl w:val="true"/>
        </w:rPr>
        <w:t>את בחירתו של המערער להציץ בתא המטען של מכוניתו</w:t>
      </w:r>
      <w:r>
        <w:rPr>
          <w:rtl w:val="true"/>
        </w:rPr>
        <w:t xml:space="preserve">, </w:t>
      </w:r>
      <w:r>
        <w:rPr>
          <w:rtl w:val="true"/>
        </w:rPr>
        <w:t>טרם יצא לנסיעתו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אעבור אל שלב הבחינה השני – האם יש במכלול ראייתי זה</w:t>
      </w:r>
      <w:r>
        <w:rPr>
          <w:rtl w:val="true"/>
        </w:rPr>
        <w:t xml:space="preserve">, </w:t>
      </w:r>
      <w:r>
        <w:rPr>
          <w:rtl w:val="true"/>
        </w:rPr>
        <w:t xml:space="preserve">כדי להוביל למסקנה לכאורית שלפיה המערער עבר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טרם שהמית את המנוח</w:t>
      </w:r>
      <w:r>
        <w:rPr>
          <w:rtl w:val="true"/>
        </w:rPr>
        <w:t xml:space="preserve">? </w:t>
      </w:r>
      <w:r>
        <w:rPr>
          <w:rtl w:val="true"/>
        </w:rPr>
        <w:t>תשובתי לכך – בחיוב</w:t>
      </w:r>
      <w:r>
        <w:rPr>
          <w:rtl w:val="true"/>
        </w:rPr>
        <w:t xml:space="preserve">. </w:t>
      </w:r>
      <w:r>
        <w:rPr>
          <w:rtl w:val="true"/>
        </w:rPr>
        <w:t>גם מבלי להידרש</w:t>
      </w:r>
      <w:r>
        <w:rPr>
          <w:rtl w:val="true"/>
        </w:rPr>
        <w:t xml:space="preserve">, </w:t>
      </w:r>
      <w:r>
        <w:rPr>
          <w:rtl w:val="true"/>
        </w:rPr>
        <w:t>באופן ממוקד</w:t>
      </w:r>
      <w:r>
        <w:rPr>
          <w:rtl w:val="true"/>
        </w:rPr>
        <w:t xml:space="preserve">, </w:t>
      </w:r>
      <w:r>
        <w:rPr>
          <w:rtl w:val="true"/>
        </w:rPr>
        <w:t>לפרשנות הצצתו של המערער בתא המטען</w:t>
      </w:r>
      <w:r>
        <w:rPr>
          <w:rtl w:val="true"/>
        </w:rPr>
        <w:t xml:space="preserve">, </w:t>
      </w:r>
      <w:r>
        <w:rPr>
          <w:rtl w:val="true"/>
        </w:rPr>
        <w:t>שימת הלב לכלל המתואר לעיל</w:t>
      </w:r>
      <w:r>
        <w:rPr>
          <w:rtl w:val="true"/>
        </w:rPr>
        <w:t xml:space="preserve">, </w:t>
      </w:r>
      <w:r>
        <w:rPr>
          <w:rtl w:val="true"/>
        </w:rPr>
        <w:t>מובילה לטעמי למסקנה שלפיה המערער הוא שהביא את כלי הנשק לזירת הרצח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בשים לב ל</w:t>
      </w:r>
      <w:r>
        <w:rPr>
          <w:rtl w:val="true"/>
        </w:rPr>
        <w:t>'</w:t>
      </w:r>
      <w:r>
        <w:rPr>
          <w:rtl w:val="true"/>
        </w:rPr>
        <w:t>חלון הזמנים</w:t>
      </w:r>
      <w:r>
        <w:rPr>
          <w:rtl w:val="true"/>
        </w:rPr>
        <w:t xml:space="preserve">' </w:t>
      </w:r>
      <w:r>
        <w:rPr>
          <w:rtl w:val="true"/>
        </w:rPr>
        <w:t>הקצר שבמהלכו בוצע הרצח</w:t>
      </w:r>
      <w:r>
        <w:rPr>
          <w:rtl w:val="true"/>
        </w:rPr>
        <w:t xml:space="preserve">, </w:t>
      </w:r>
      <w:r>
        <w:rPr>
          <w:rtl w:val="true"/>
        </w:rPr>
        <w:t>אשר פורט לעיל</w:t>
      </w:r>
      <w:r>
        <w:rPr>
          <w:rtl w:val="true"/>
        </w:rPr>
        <w:t xml:space="preserve">, </w:t>
      </w:r>
      <w:r>
        <w:rPr>
          <w:rtl w:val="true"/>
        </w:rPr>
        <w:t>ושמשמעותו היא שהמערער שהה בחוף פרק זמן של 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שבהן הספיק לירות במנוח</w:t>
      </w:r>
      <w:r>
        <w:rPr>
          <w:rtl w:val="true"/>
        </w:rPr>
        <w:t xml:space="preserve">, </w:t>
      </w:r>
      <w:r>
        <w:rPr>
          <w:rtl w:val="true"/>
        </w:rPr>
        <w:t>לאיים על האחים ולהימלט מן הזירה</w:t>
      </w:r>
      <w:r>
        <w:rPr>
          <w:rtl w:val="true"/>
        </w:rPr>
        <w:t xml:space="preserve">. </w:t>
      </w:r>
      <w:r>
        <w:rPr>
          <w:rtl w:val="true"/>
        </w:rPr>
        <w:t>תרחיש חלופי</w:t>
      </w:r>
      <w:r>
        <w:rPr>
          <w:rtl w:val="true"/>
        </w:rPr>
        <w:t xml:space="preserve">, </w:t>
      </w:r>
      <w:r>
        <w:rPr>
          <w:rtl w:val="true"/>
        </w:rPr>
        <w:t>שאותו ננסה להכניס ל</w:t>
      </w:r>
      <w:r>
        <w:rPr>
          <w:rtl w:val="true"/>
        </w:rPr>
        <w:t>'</w:t>
      </w:r>
      <w:r>
        <w:rPr>
          <w:rtl w:val="true"/>
        </w:rPr>
        <w:t>סד זמנים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ושלפיו המנוח הוא שהביא לזירה את הנשק</w:t>
      </w:r>
      <w:r>
        <w:rPr>
          <w:rtl w:val="true"/>
        </w:rPr>
        <w:t xml:space="preserve">, </w:t>
      </w:r>
      <w:r>
        <w:rPr>
          <w:rtl w:val="true"/>
        </w:rPr>
        <w:t>אלא שעלה בידי המערער להשתלט עליו ולהורגו נפש באמצעותו</w:t>
      </w:r>
      <w:r>
        <w:rPr>
          <w:rtl w:val="true"/>
        </w:rPr>
        <w:t xml:space="preserve">, </w:t>
      </w:r>
      <w:r>
        <w:rPr>
          <w:rtl w:val="true"/>
        </w:rPr>
        <w:t>במהלך פרק זמן כה קצר – הוא תרחיש שקשה לדמותו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מאחר שהשתלטות כאמור על נשק המצוי בידו של אחר</w:t>
      </w:r>
      <w:r>
        <w:rPr>
          <w:rtl w:val="true"/>
        </w:rPr>
        <w:t xml:space="preserve">, </w:t>
      </w:r>
      <w:r>
        <w:rPr>
          <w:rtl w:val="true"/>
        </w:rPr>
        <w:t>היא אתגר לא פשוט כלל</w:t>
      </w:r>
      <w:r>
        <w:rPr>
          <w:rtl w:val="true"/>
        </w:rPr>
        <w:t xml:space="preserve">, </w:t>
      </w:r>
      <w:r>
        <w:rPr>
          <w:rtl w:val="true"/>
        </w:rPr>
        <w:t xml:space="preserve">המצריך יכולות ומיומנויות שהן נחלתם של מעטים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>שמואל ב כג</w:t>
      </w:r>
      <w:r>
        <w:rPr>
          <w:rtl w:val="true"/>
        </w:rPr>
        <w:t xml:space="preserve">, </w:t>
      </w:r>
      <w:r>
        <w:rPr>
          <w:rtl w:val="true"/>
        </w:rPr>
        <w:t>יט</w:t>
      </w:r>
      <w:r>
        <w:rPr>
          <w:rtl w:val="true"/>
        </w:rPr>
        <w:t xml:space="preserve">); </w:t>
      </w:r>
      <w:r>
        <w:rPr>
          <w:rtl w:val="true"/>
        </w:rPr>
        <w:t>ומפני שהדעת נותנת שיהיה בהשתלטות שכזו כדי להותיר בצדדים הנִצִים סימני מאבק</w:t>
      </w:r>
      <w:r>
        <w:rPr>
          <w:rtl w:val="true"/>
        </w:rPr>
        <w:t xml:space="preserve">, </w:t>
      </w:r>
      <w:r>
        <w:rPr>
          <w:rtl w:val="true"/>
        </w:rPr>
        <w:t>אלא שסימנים כאמור לא נמצאו על גופם</w:t>
      </w:r>
      <w:r>
        <w:rPr>
          <w:rtl w:val="true"/>
        </w:rPr>
        <w:t xml:space="preserve">, </w:t>
      </w:r>
      <w:r>
        <w:rPr>
          <w:rtl w:val="true"/>
        </w:rPr>
        <w:t>או בזירת האירוע</w:t>
      </w:r>
      <w:r>
        <w:rPr>
          <w:rtl w:val="true"/>
        </w:rPr>
        <w:t xml:space="preserve">. </w:t>
      </w:r>
      <w:r>
        <w:rPr>
          <w:rtl w:val="true"/>
        </w:rPr>
        <w:t>לכך ניתן לצרף גם את יתר הראיות הנסיבתיות – מערכת היחסים ששררה בין המנוח למערער</w:t>
      </w:r>
      <w:r>
        <w:rPr>
          <w:rtl w:val="true"/>
        </w:rPr>
        <w:t xml:space="preserve">, </w:t>
      </w:r>
      <w:r>
        <w:rPr>
          <w:rtl w:val="true"/>
        </w:rPr>
        <w:t>כמו גם החוב הכספי וניסיונות הנשיה</w:t>
      </w:r>
      <w:r>
        <w:rPr>
          <w:rtl w:val="true"/>
        </w:rPr>
        <w:t xml:space="preserve">, </w:t>
      </w:r>
      <w:r>
        <w:rPr>
          <w:rtl w:val="true"/>
        </w:rPr>
        <w:t>אשר מספקים מצע ומניע לקבלת ההחלטה בדבר ההמתה</w:t>
      </w:r>
      <w:r>
        <w:rPr>
          <w:rtl w:val="true"/>
        </w:rPr>
        <w:t xml:space="preserve">, </w:t>
      </w:r>
      <w:r>
        <w:rPr>
          <w:rtl w:val="true"/>
        </w:rPr>
        <w:t xml:space="preserve">עוד בטרם מעשה ההמתה עצמו </w:t>
      </w:r>
      <w:r>
        <w:rPr>
          <w:rtl w:val="true"/>
        </w:rPr>
        <w:t>(</w:t>
      </w:r>
      <w:r>
        <w:rPr>
          <w:rtl w:val="true"/>
        </w:rPr>
        <w:t>למעמדו של ממצא בדבר יחסים קודמים בדין המשווה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11.7.2022</w:t>
      </w:r>
      <w:r>
        <w:rPr>
          <w:rtl w:val="true"/>
        </w:rPr>
        <w:t xml:space="preserve">); </w:t>
      </w:r>
      <w:r>
        <w:rPr>
          <w:rtl w:val="true"/>
        </w:rPr>
        <w:t>למעמדה של ההצבעה על מניע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קופרשמיד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168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19.5.2022</w:t>
      </w:r>
      <w:r>
        <w:rPr>
          <w:rtl w:val="true"/>
        </w:rPr>
        <w:t xml:space="preserve">)); </w:t>
      </w:r>
      <w:r>
        <w:rPr>
          <w:rtl w:val="true"/>
        </w:rPr>
        <w:t>וכן את הצצתו של המנוח בתא המטען</w:t>
      </w:r>
      <w:r>
        <w:rPr>
          <w:rtl w:val="true"/>
        </w:rPr>
        <w:t xml:space="preserve">, </w:t>
      </w:r>
      <w:r>
        <w:rPr>
          <w:rtl w:val="true"/>
        </w:rPr>
        <w:t>עובר לנסיעה – עסקינן בנסיעה שהפעילות המרכזית</w:t>
      </w:r>
      <w:r>
        <w:rPr>
          <w:rtl w:val="true"/>
        </w:rPr>
        <w:t xml:space="preserve">, </w:t>
      </w:r>
      <w:r>
        <w:rPr>
          <w:rtl w:val="true"/>
        </w:rPr>
        <w:t>אם לא היחידה</w:t>
      </w:r>
      <w:r>
        <w:rPr>
          <w:rtl w:val="true"/>
        </w:rPr>
        <w:t xml:space="preserve">, </w:t>
      </w:r>
      <w:r>
        <w:rPr>
          <w:rtl w:val="true"/>
        </w:rPr>
        <w:t>שביצע המערער במסגרתה</w:t>
      </w:r>
      <w:r>
        <w:rPr>
          <w:rtl w:val="true"/>
        </w:rPr>
        <w:t xml:space="preserve">, </w:t>
      </w:r>
      <w:r>
        <w:rPr>
          <w:rtl w:val="true"/>
        </w:rPr>
        <w:t>היא המתתו של המנוח</w:t>
      </w:r>
      <w:r>
        <w:rPr>
          <w:rtl w:val="true"/>
        </w:rPr>
        <w:t xml:space="preserve">. </w:t>
      </w:r>
      <w:r>
        <w:rPr>
          <w:rtl w:val="true"/>
        </w:rPr>
        <w:t>ניתן אפוא להסיק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'</w:t>
      </w:r>
      <w:r>
        <w:rPr>
          <w:rtl w:val="true"/>
        </w:rPr>
        <w:t>וידוא ציוד</w:t>
      </w:r>
      <w:r>
        <w:rPr>
          <w:rtl w:val="true"/>
        </w:rPr>
        <w:t xml:space="preserve">' </w:t>
      </w:r>
      <w:r>
        <w:rPr>
          <w:rtl w:val="true"/>
        </w:rPr>
        <w:t>שנתבצע בסמוך לה – קשור במטרתה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איני סבור כי ההכרעה בשאלה אם המערער הוא שהביא את הנשק לזירה</w:t>
      </w:r>
      <w:r>
        <w:rPr>
          <w:rtl w:val="true"/>
        </w:rPr>
        <w:t xml:space="preserve">, </w:t>
      </w:r>
      <w:r>
        <w:rPr>
          <w:rtl w:val="true"/>
        </w:rPr>
        <w:t>קמה ונופלת על שאלת פרשנותה של ההצצה בתא המטען – מסקנה זו</w:t>
      </w:r>
      <w:r>
        <w:rPr>
          <w:rtl w:val="true"/>
        </w:rPr>
        <w:t xml:space="preserve">, </w:t>
      </w:r>
      <w:r>
        <w:rPr>
          <w:rtl w:val="true"/>
        </w:rPr>
        <w:t>כפי שתיארתי</w:t>
      </w:r>
      <w:r>
        <w:rPr>
          <w:rtl w:val="true"/>
        </w:rPr>
        <w:t xml:space="preserve">, </w:t>
      </w:r>
      <w:r>
        <w:rPr>
          <w:rtl w:val="true"/>
        </w:rPr>
        <w:t>נתמכת בשלל ראיות נוספות</w:t>
      </w:r>
      <w:r>
        <w:rPr>
          <w:rtl w:val="true"/>
        </w:rPr>
        <w:t xml:space="preserve">. </w:t>
      </w:r>
      <w:r>
        <w:rPr>
          <w:rtl w:val="true"/>
        </w:rPr>
        <w:t>גם אם כראיה בודדת</w:t>
      </w:r>
      <w:r>
        <w:rPr>
          <w:rtl w:val="true"/>
        </w:rPr>
        <w:t xml:space="preserve">, </w:t>
      </w:r>
      <w:r>
        <w:rPr>
          <w:rtl w:val="true"/>
        </w:rPr>
        <w:t>לא היה מקום לומר כי ההצצה אל תא המטען מלמדת על וידוא כי מזומן לו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כלי הנשק שעִמו ימית את המנוח</w:t>
      </w:r>
      <w:r>
        <w:rPr>
          <w:rtl w:val="true"/>
        </w:rPr>
        <w:t xml:space="preserve">, </w:t>
      </w:r>
      <w:r>
        <w:rPr>
          <w:rtl w:val="true"/>
        </w:rPr>
        <w:t>הרי שכאשר עסקינן בראיות נסיבתיות</w:t>
      </w:r>
      <w:r>
        <w:rPr>
          <w:rtl w:val="true"/>
        </w:rPr>
        <w:t xml:space="preserve">, </w:t>
      </w:r>
      <w:r>
        <w:rPr>
          <w:rtl w:val="true"/>
        </w:rPr>
        <w:t>שהמסקנה לגביהן מתגבשת על רקע המכלול כולו – מדובר בנתון שיש בו כדי להוסיף ולתרום למסקנה הלכאורית הכללית</w:t>
      </w:r>
      <w:r>
        <w:rPr>
          <w:rtl w:val="true"/>
        </w:rPr>
        <w:t xml:space="preserve">, </w:t>
      </w:r>
      <w:r>
        <w:rPr>
          <w:rtl w:val="true"/>
        </w:rPr>
        <w:t>שלפיה המערער הוא שהביא לזירה את כלי ההרג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לשלב הבחינה השלישי – האם עלה בידי המערער להציע פשר חלופי למסכת הראיות שנפרשה</w:t>
      </w:r>
      <w:r>
        <w:rPr>
          <w:rtl w:val="true"/>
        </w:rPr>
        <w:t xml:space="preserve">, </w:t>
      </w:r>
      <w:r>
        <w:rPr>
          <w:rtl w:val="true"/>
        </w:rPr>
        <w:t>שיש בו כדי לעורר ספק באשר להנחה המפלילה שנתגבשה</w:t>
      </w:r>
      <w:r>
        <w:rPr>
          <w:rtl w:val="true"/>
        </w:rPr>
        <w:t xml:space="preserve">? </w:t>
      </w:r>
      <w:r>
        <w:rPr>
          <w:rtl w:val="true"/>
        </w:rPr>
        <w:t>נזכור</w:t>
      </w:r>
      <w:r>
        <w:rPr>
          <w:rtl w:val="true"/>
        </w:rPr>
        <w:t xml:space="preserve">, </w:t>
      </w:r>
      <w:r>
        <w:rPr>
          <w:rtl w:val="true"/>
        </w:rPr>
        <w:t>כי על ההצעה החלופית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להיות בעלת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ריאלית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במבחני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עליה להקים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כאשר אין די 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לכרסם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11.9.2022</w:t>
      </w:r>
      <w:r>
        <w:rPr>
          <w:rtl w:val="true"/>
        </w:rPr>
        <w:t xml:space="preserve">)).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התרחיש החלופי – שעליו הצביע שופט המיעוט בבית המשפט המחוזי</w:t>
      </w:r>
      <w:r>
        <w:rPr>
          <w:rtl w:val="true"/>
        </w:rPr>
        <w:t xml:space="preserve">, </w:t>
      </w:r>
      <w:r>
        <w:rPr>
          <w:rtl w:val="true"/>
        </w:rPr>
        <w:t>ושבו ניסה להיאחז המערער בהליך דנן – אשר לפיו המנוח הוא שהביא את הנשק לזירה</w:t>
      </w:r>
      <w:r>
        <w:rPr>
          <w:rtl w:val="true"/>
        </w:rPr>
        <w:t xml:space="preserve">, </w:t>
      </w:r>
      <w:r>
        <w:rPr>
          <w:rtl w:val="true"/>
        </w:rPr>
        <w:t>בעוד שהמערער הצליח להשתלט עליו</w:t>
      </w:r>
      <w:r>
        <w:rPr>
          <w:rtl w:val="true"/>
        </w:rPr>
        <w:t xml:space="preserve">, </w:t>
      </w:r>
      <w:r>
        <w:rPr>
          <w:rtl w:val="true"/>
        </w:rPr>
        <w:t>ולהֹרגו באמצעותו</w:t>
      </w:r>
      <w:r>
        <w:rPr>
          <w:rtl w:val="true"/>
        </w:rPr>
        <w:t xml:space="preserve">, </w:t>
      </w:r>
      <w:r>
        <w:rPr>
          <w:rtl w:val="true"/>
        </w:rPr>
        <w:t>אינו עונה על הדרישות הנזכרות</w:t>
      </w:r>
      <w:r>
        <w:rPr>
          <w:rtl w:val="true"/>
        </w:rPr>
        <w:t xml:space="preserve">. </w:t>
      </w:r>
      <w:r>
        <w:rPr>
          <w:rtl w:val="true"/>
        </w:rPr>
        <w:t xml:space="preserve">קשה </w:t>
      </w:r>
      <w:r>
        <w:rPr>
          <w:rtl w:val="true"/>
        </w:rPr>
        <w:t>'</w:t>
      </w:r>
      <w:r>
        <w:rPr>
          <w:rtl w:val="true"/>
        </w:rPr>
        <w:t>לדחוק</w:t>
      </w:r>
      <w:r>
        <w:rPr>
          <w:rtl w:val="true"/>
        </w:rPr>
        <w:t xml:space="preserve">' </w:t>
      </w:r>
      <w:r>
        <w:rPr>
          <w:rtl w:val="true"/>
        </w:rPr>
        <w:t>מהלך דברים שכזה לחלון הזמנים המצומצם שבמהלכו באו במגע המנוח והמערער</w:t>
      </w:r>
      <w:r>
        <w:rPr>
          <w:rtl w:val="true"/>
        </w:rPr>
        <w:t xml:space="preserve">; </w:t>
      </w:r>
      <w:r>
        <w:rPr>
          <w:rtl w:val="true"/>
        </w:rPr>
        <w:t>ומצופה היה גם</w:t>
      </w:r>
      <w:r>
        <w:rPr>
          <w:rtl w:val="true"/>
        </w:rPr>
        <w:t xml:space="preserve">, </w:t>
      </w:r>
      <w:r>
        <w:rPr>
          <w:rtl w:val="true"/>
        </w:rPr>
        <w:t>כי מהלך דברים כאמור יותיר את אותותיו על גופיהם של המנוח ושל המערער</w:t>
      </w:r>
      <w:r>
        <w:rPr>
          <w:rtl w:val="true"/>
        </w:rPr>
        <w:t xml:space="preserve">, </w:t>
      </w:r>
      <w:r>
        <w:rPr>
          <w:rtl w:val="true"/>
        </w:rPr>
        <w:t>כמו גם בזירת האירוע – מה שלא קרה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לשים לב לכך שתחת מצב דברים כאמור</w:t>
      </w:r>
      <w:r>
        <w:rPr>
          <w:rtl w:val="true"/>
        </w:rPr>
        <w:t xml:space="preserve">, </w:t>
      </w:r>
      <w:r>
        <w:rPr>
          <w:rtl w:val="true"/>
        </w:rPr>
        <w:t>שבגדרו מעשי המערער בוצעו בתגובה לאיום שאיים עליו המנוח בנשק חם – מצבו המשפטי של המערער היה משתפר במידה ניכרת</w:t>
      </w:r>
      <w:r>
        <w:rPr>
          <w:rtl w:val="true"/>
        </w:rPr>
        <w:t xml:space="preserve">. </w:t>
      </w:r>
      <w:r>
        <w:rPr>
          <w:rtl w:val="true"/>
        </w:rPr>
        <w:t>ניתן אפוא להניח</w:t>
      </w:r>
      <w:r>
        <w:rPr>
          <w:rtl w:val="true"/>
        </w:rPr>
        <w:t xml:space="preserve">, </w:t>
      </w:r>
      <w:r>
        <w:rPr>
          <w:rtl w:val="true"/>
        </w:rPr>
        <w:t>כי לוּ אלה אכן היו פני הדברים</w:t>
      </w:r>
      <w:r>
        <w:rPr>
          <w:rtl w:val="true"/>
        </w:rPr>
        <w:t xml:space="preserve">, </w:t>
      </w:r>
      <w:r>
        <w:rPr>
          <w:rtl w:val="true"/>
        </w:rPr>
        <w:t>גרסה זו היתה נשמעת מפי המערער</w:t>
      </w:r>
      <w:r>
        <w:rPr>
          <w:rtl w:val="true"/>
        </w:rPr>
        <w:t xml:space="preserve">, </w:t>
      </w:r>
      <w:r>
        <w:rPr>
          <w:rtl w:val="true"/>
        </w:rPr>
        <w:t>כבר בשלבי ההליך המוקדם</w:t>
      </w:r>
      <w:r>
        <w:rPr>
          <w:rtl w:val="true"/>
        </w:rPr>
        <w:t xml:space="preserve">, </w:t>
      </w:r>
      <w:r>
        <w:rPr>
          <w:rtl w:val="true"/>
        </w:rPr>
        <w:t>ולא מועלית רק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שעה שזה היפך בזכותו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על הסברו החלופי של נאשם</w:t>
      </w:r>
      <w:r>
        <w:rPr>
          <w:rtl w:val="true"/>
        </w:rPr>
        <w:t xml:space="preserve">, </w:t>
      </w:r>
      <w:r>
        <w:rPr>
          <w:rtl w:val="true"/>
        </w:rPr>
        <w:t xml:space="preserve">להיות כזה הכולל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מהצטברות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להבדיל 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בנפרד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22.4.2010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נוכח האמור מעלה</w:t>
      </w:r>
      <w:r>
        <w:rPr>
          <w:rtl w:val="true"/>
        </w:rPr>
        <w:t xml:space="preserve">, </w:t>
      </w:r>
      <w:r>
        <w:rPr>
          <w:rtl w:val="true"/>
        </w:rPr>
        <w:t>אפילו היה עולה בידי המערער לעורר ספק בשיעור הנדרש</w:t>
      </w:r>
      <w:r>
        <w:rPr>
          <w:rtl w:val="true"/>
        </w:rPr>
        <w:t xml:space="preserve">, </w:t>
      </w:r>
      <w:r>
        <w:rPr>
          <w:rtl w:val="true"/>
        </w:rPr>
        <w:t>בכל הנוגע לסוגיית המבט בתא המטען – עדיין אין בכך כדי לייצר סיפור כולל</w:t>
      </w:r>
      <w:r>
        <w:rPr>
          <w:rtl w:val="true"/>
        </w:rPr>
        <w:t xml:space="preserve">, </w:t>
      </w:r>
      <w:r>
        <w:rPr>
          <w:rtl w:val="true"/>
        </w:rPr>
        <w:t>שיהא הגיוני</w:t>
      </w:r>
      <w:r>
        <w:rPr>
          <w:rtl w:val="true"/>
        </w:rPr>
        <w:t xml:space="preserve">, </w:t>
      </w:r>
      <w:r>
        <w:rPr>
          <w:rtl w:val="true"/>
        </w:rPr>
        <w:t>קוהרנטי ותואם לניסיון החיים</w:t>
      </w:r>
      <w:r>
        <w:rPr>
          <w:rtl w:val="true"/>
        </w:rPr>
        <w:t xml:space="preserve">, </w:t>
      </w:r>
      <w:r>
        <w:rPr>
          <w:rtl w:val="true"/>
        </w:rPr>
        <w:t>ושיעניק פשר חלופי למכלול הראיות כולו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 אפוא לסכם</w:t>
      </w:r>
      <w:r>
        <w:rPr>
          <w:rtl w:val="true"/>
        </w:rPr>
        <w:t xml:space="preserve">, </w:t>
      </w:r>
      <w:r>
        <w:rPr>
          <w:rtl w:val="true"/>
        </w:rPr>
        <w:t>כי לא מצאתי הצדקה להתערבותנו במסקנתה של דעת הרוב בבית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המערער הוא שהביא עמו את כלי ההרג לזירת הרצח</w:t>
      </w:r>
      <w:r>
        <w:rPr>
          <w:rtl w:val="true"/>
        </w:rPr>
        <w:t xml:space="preserve">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"?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bookmarkStart w:id="19" w:name="_Ref173941576"/>
      <w:bookmarkEnd w:id="19"/>
      <w:r>
        <w:rPr>
          <w:rtl w:val="true"/>
        </w:rPr>
        <w:t>לעיל עמדתי על שראוי להיכלל בגדרי הנסיבה המחמירה</w:t>
      </w:r>
      <w:r>
        <w:rPr>
          <w:rtl w:val="true"/>
        </w:rPr>
        <w:t xml:space="preserve">, </w:t>
      </w:r>
      <w:r>
        <w:rPr>
          <w:rtl w:val="true"/>
        </w:rPr>
        <w:t>ועל שנדרש לסלק מעל פניה – כזכור</w:t>
      </w:r>
      <w:r>
        <w:rPr>
          <w:rtl w:val="true"/>
        </w:rPr>
        <w:t xml:space="preserve">, </w:t>
      </w:r>
      <w:r>
        <w:rPr>
          <w:rtl w:val="true"/>
        </w:rPr>
        <w:t>מסקנתו של דיון זה היתה</w:t>
      </w:r>
      <w:r>
        <w:rPr>
          <w:rtl w:val="true"/>
        </w:rPr>
        <w:t xml:space="preserve">, </w:t>
      </w:r>
      <w:r>
        <w:rPr>
          <w:rtl w:val="true"/>
        </w:rPr>
        <w:t>כי אין להפריז בדרישות לאיכות ולמשך הליך השקילה</w:t>
      </w:r>
      <w:r>
        <w:rPr>
          <w:rtl w:val="true"/>
        </w:rPr>
        <w:t xml:space="preserve">; </w:t>
      </w:r>
      <w:r>
        <w:rPr>
          <w:rtl w:val="true"/>
        </w:rPr>
        <w:t>וכי יש להישמר מהכנסתם של מקרי המתה בכוונה ספונטנית</w:t>
      </w:r>
      <w:r>
        <w:rPr>
          <w:rtl w:val="true"/>
        </w:rPr>
        <w:t xml:space="preserve">, </w:t>
      </w:r>
      <w:r>
        <w:rPr>
          <w:rtl w:val="true"/>
        </w:rPr>
        <w:t>תחת כנפיה של הנסיבה המחמירה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לאחר ארגון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עדיין נותרת שאלת </w:t>
      </w:r>
      <w:r>
        <w:rPr>
          <w:rtl w:val="true"/>
        </w:rPr>
        <w:t>'</w:t>
      </w:r>
      <w:r>
        <w:rPr>
          <w:rtl w:val="true"/>
        </w:rPr>
        <w:t>כיצד מסווגין</w:t>
      </w:r>
      <w:r>
        <w:rPr>
          <w:rtl w:val="true"/>
        </w:rPr>
        <w:t xml:space="preserve">' –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השאלה כיצד יִקבע לאיזו מן הקטגוריות משתייכים מקרי ההמתה השונים שבאים לפני בתי המשפט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את ההתקדמות בפרשנותה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ציינה הפסיקה כי יש לבצע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צַו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לָצָו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צַו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לָצָו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קַו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לָקָו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קַו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לָקָו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זְעֵיר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שָׁם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זְעֵיר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שָׁם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ישעיהו כח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) – </w:t>
      </w:r>
      <w:r>
        <w:rPr>
          <w:rtl w:val="true"/>
        </w:rPr>
        <w:t>עקב בצד אגודל</w:t>
      </w:r>
      <w:r>
        <w:rPr>
          <w:rtl w:val="true"/>
        </w:rPr>
        <w:t xml:space="preserve">, </w:t>
      </w:r>
      <w:r>
        <w:rPr>
          <w:rtl w:val="true"/>
        </w:rPr>
        <w:t xml:space="preserve">כל מקרה על רקע נסיבותיו הפרטניות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);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החל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לשרטט</w:t>
      </w:r>
      <w:r>
        <w:rPr>
          <w:rtl w:val="true"/>
        </w:rPr>
        <w:t xml:space="preserve">, </w:t>
      </w:r>
      <w:r>
        <w:rPr>
          <w:rtl w:val="true"/>
        </w:rPr>
        <w:t>במסגרת אותו מקרה</w:t>
      </w:r>
      <w:r>
        <w:rPr>
          <w:rtl w:val="true"/>
        </w:rPr>
        <w:t xml:space="preserve">, </w:t>
      </w:r>
      <w:r>
        <w:rPr>
          <w:rtl w:val="true"/>
        </w:rPr>
        <w:t xml:space="preserve">גם רשימה בלתי ממצה של נסיבות עזר </w:t>
      </w:r>
      <w:r>
        <w:rPr>
          <w:rtl w:val="true"/>
        </w:rPr>
        <w:t>(</w:t>
      </w:r>
      <w:r>
        <w:rPr>
          <w:rtl w:val="true"/>
        </w:rPr>
        <w:t>שאינן תנאים מצטברים</w:t>
      </w:r>
      <w:r>
        <w:rPr>
          <w:rtl w:val="true"/>
        </w:rPr>
        <w:t xml:space="preserve">, </w:t>
      </w:r>
      <w:r>
        <w:rPr>
          <w:rtl w:val="true"/>
        </w:rPr>
        <w:t>או כל כיוצא בדבר</w:t>
      </w:r>
      <w:r>
        <w:rPr>
          <w:rtl w:val="true"/>
        </w:rPr>
        <w:t xml:space="preserve">), </w:t>
      </w:r>
      <w:r>
        <w:rPr>
          <w:rtl w:val="true"/>
        </w:rPr>
        <w:t xml:space="preserve">שבאמצעותן ניתן יהיה </w:t>
      </w:r>
      <w:r>
        <w:rPr>
          <w:rtl w:val="true"/>
        </w:rPr>
        <w:t>'</w:t>
      </w:r>
      <w:r>
        <w:rPr>
          <w:rtl w:val="true"/>
        </w:rPr>
        <w:t>לקטלג</w:t>
      </w:r>
      <w:r>
        <w:rPr>
          <w:rtl w:val="true"/>
        </w:rPr>
        <w:t xml:space="preserve">' </w:t>
      </w:r>
      <w:r>
        <w:rPr>
          <w:rtl w:val="true"/>
        </w:rPr>
        <w:t>מקרי המתה שונים</w:t>
      </w:r>
      <w:r>
        <w:rPr>
          <w:rtl w:val="true"/>
        </w:rPr>
        <w:t xml:space="preserve">, </w:t>
      </w:r>
      <w:r>
        <w:rPr>
          <w:rtl w:val="true"/>
        </w:rPr>
        <w:t xml:space="preserve">ולעמוד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; </w:t>
      </w:r>
      <w:r>
        <w:rPr>
          <w:rtl w:val="true"/>
        </w:rPr>
        <w:t>באשר לחשיבות הדבר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374</w:t>
      </w:r>
      <w:r>
        <w:rPr>
          <w:rtl w:val="true"/>
        </w:rPr>
        <w:t xml:space="preserve">).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הסתייעות בנסיבות עזר אלה בעניין דנן</w:t>
      </w:r>
      <w:r>
        <w:rPr>
          <w:rtl w:val="true"/>
        </w:rPr>
        <w:t xml:space="preserve">, </w:t>
      </w:r>
      <w:r>
        <w:rPr>
          <w:rtl w:val="true"/>
        </w:rPr>
        <w:t>תלמדנו אל</w:t>
      </w:r>
      <w:r>
        <w:rPr>
          <w:rtl w:val="true"/>
        </w:rPr>
        <w:t>-</w:t>
      </w:r>
      <w:r>
        <w:rPr>
          <w:rtl w:val="true"/>
        </w:rPr>
        <w:t>נכון כי עסקינן במעשה רצח שקדם לו הליך ממשי של שקילה ותכנון החלטה להמית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משך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השקילה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 בהקשר זה צוין</w:t>
      </w:r>
      <w:r>
        <w:rPr>
          <w:rtl w:val="true"/>
        </w:rPr>
        <w:t xml:space="preserve">, </w:t>
      </w:r>
      <w:r>
        <w:rPr>
          <w:rtl w:val="true"/>
        </w:rPr>
        <w:t>כי אין די ב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מחשבה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חולפת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כהרף</w:t>
      </w:r>
      <w:r>
        <w:rPr>
          <w:rFonts w:cs="Miriam"/>
          <w:b/>
          <w:spacing w:val="0"/>
          <w:sz w:val="22"/>
          <w:szCs w:val="24"/>
          <w:rtl w:val="true"/>
        </w:rPr>
        <w:t>-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עין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אך גם לא נדרש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הנפרס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פרק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ממושך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/>
          <w:b/>
          <w:spacing w:val="0"/>
          <w:sz w:val="22"/>
          <w:szCs w:val="24"/>
          <w:rtl w:val="true"/>
        </w:rPr>
        <w:t>'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עסקינן במעשה המתה שקדמה לו פגישת המנוח והמערער</w:t>
      </w:r>
      <w:r>
        <w:rPr>
          <w:rtl w:val="true"/>
        </w:rPr>
        <w:t xml:space="preserve">, </w:t>
      </w:r>
      <w:r>
        <w:rPr>
          <w:rtl w:val="true"/>
        </w:rPr>
        <w:t>שלאחריה ביצע המערער נסיעה שארכה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כאשר על</w:t>
      </w:r>
      <w:r>
        <w:rPr>
          <w:rtl w:val="true"/>
        </w:rPr>
        <w:t>-</w:t>
      </w:r>
      <w:r>
        <w:rPr>
          <w:rtl w:val="true"/>
        </w:rPr>
        <w:t>פי קביעתו העובדתית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שבה לא מצאתי לנכון להתערב</w:t>
      </w:r>
      <w:r>
        <w:rPr>
          <w:rtl w:val="true"/>
        </w:rPr>
        <w:t xml:space="preserve">, </w:t>
      </w:r>
      <w:r>
        <w:rPr>
          <w:rtl w:val="true"/>
        </w:rPr>
        <w:t>נסיעה זו נתבצעה כשכלי זינו של המערער – עִמו</w:t>
      </w:r>
      <w:r>
        <w:rPr>
          <w:rtl w:val="true"/>
        </w:rPr>
        <w:t xml:space="preserve">.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משך זמן זה</w:t>
      </w:r>
      <w:r>
        <w:rPr>
          <w:rtl w:val="true"/>
        </w:rPr>
        <w:t xml:space="preserve">, </w:t>
      </w:r>
      <w:r>
        <w:rPr>
          <w:rtl w:val="true"/>
        </w:rPr>
        <w:t xml:space="preserve">העולה בהרבה על </w:t>
      </w:r>
      <w:r>
        <w:rPr>
          <w:rtl w:val="true"/>
        </w:rPr>
        <w:t>'</w:t>
      </w:r>
      <w:r>
        <w:rPr>
          <w:rtl w:val="true"/>
        </w:rPr>
        <w:t>מחשבה חולפת</w:t>
      </w:r>
      <w:r>
        <w:rPr>
          <w:rtl w:val="true"/>
        </w:rPr>
        <w:t xml:space="preserve">', </w:t>
      </w:r>
      <w:r>
        <w:rPr>
          <w:rtl w:val="true"/>
        </w:rPr>
        <w:t>די בו עבור היציאה מגדר המתה ספונטנית</w:t>
      </w:r>
      <w:r>
        <w:rPr>
          <w:rtl w:val="true"/>
        </w:rPr>
        <w:t xml:space="preserve">, </w:t>
      </w:r>
      <w:r>
        <w:rPr>
          <w:rtl w:val="true"/>
        </w:rPr>
        <w:t>אל עבר המתה שקדם לה הליך ממשי של שקילה</w:t>
      </w:r>
      <w:r>
        <w:rPr>
          <w:rtl w:val="true"/>
        </w:rPr>
        <w:t xml:space="preserve">, </w:t>
      </w:r>
      <w:r>
        <w:rPr>
          <w:rtl w:val="true"/>
        </w:rPr>
        <w:t xml:space="preserve">שבמהלכו נתגבשה כוונת ההמתה </w:t>
      </w:r>
      <w:r>
        <w:rPr>
          <w:rtl w:val="true"/>
        </w:rPr>
        <w:t>(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375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תהליך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ורציני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u w:val="single"/>
          <w:rtl w:val="true"/>
        </w:rPr>
        <w:t>שיכול</w:t>
      </w:r>
      <w:r>
        <w:rPr>
          <w:rFonts w:eastAsia="Garamond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u w:val="single"/>
          <w:rtl w:val="true"/>
        </w:rPr>
        <w:t>להימשך</w:t>
      </w:r>
      <w:r>
        <w:rPr>
          <w:rFonts w:eastAsia="Garamond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u w:val="single"/>
          <w:rtl w:val="true"/>
        </w:rPr>
        <w:t>דקות</w:t>
      </w:r>
      <w:r>
        <w:rPr>
          <w:rFonts w:eastAsia="Garamond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u w:val="single"/>
          <w:rtl w:val="true"/>
        </w:rPr>
        <w:t>אחדות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ואינו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דורש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שעות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חשיבה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 הוּספה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השקילה</w:t>
      </w:r>
      <w:r>
        <w:rPr>
          <w:rtl w:val="true"/>
        </w:rPr>
        <w:t xml:space="preserve"> – בהתייחס לנסיבת עזר זו</w:t>
      </w:r>
      <w:r>
        <w:rPr>
          <w:rtl w:val="true"/>
        </w:rPr>
        <w:t xml:space="preserve">, </w:t>
      </w:r>
      <w:r>
        <w:rPr>
          <w:rtl w:val="true"/>
        </w:rPr>
        <w:t xml:space="preserve">הכוונה היא שתתקיים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התגבשות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גם תיאור זה הולם את נסיבות ענייננו – כפי שטענה המשיבה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עסקינן במעשה המתה רב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: </w:t>
      </w:r>
      <w:r>
        <w:rPr>
          <w:rtl w:val="true"/>
        </w:rPr>
        <w:t>לאחר פגישתם הראשונית של המנוח והמערער</w:t>
      </w:r>
      <w:r>
        <w:rPr>
          <w:rtl w:val="true"/>
        </w:rPr>
        <w:t xml:space="preserve">, </w:t>
      </w:r>
      <w:r>
        <w:rPr>
          <w:rtl w:val="true"/>
        </w:rPr>
        <w:t>סיכמו השניים לשוב ולהיפגש בחוף הים</w:t>
      </w:r>
      <w:r>
        <w:rPr>
          <w:rtl w:val="true"/>
        </w:rPr>
        <w:t xml:space="preserve">; </w:t>
      </w:r>
      <w:r>
        <w:rPr>
          <w:rtl w:val="true"/>
        </w:rPr>
        <w:t>אמרו – ועשו</w:t>
      </w:r>
      <w:r>
        <w:rPr>
          <w:rtl w:val="true"/>
        </w:rPr>
        <w:t xml:space="preserve">. </w:t>
      </w:r>
      <w:r>
        <w:rPr>
          <w:rtl w:val="true"/>
        </w:rPr>
        <w:t>רק בשלב זה</w:t>
      </w:r>
      <w:r>
        <w:rPr>
          <w:rtl w:val="true"/>
        </w:rPr>
        <w:t xml:space="preserve">, </w:t>
      </w:r>
      <w:r>
        <w:rPr>
          <w:rtl w:val="true"/>
        </w:rPr>
        <w:t>לאחר שנסע את שנסע</w:t>
      </w:r>
      <w:r>
        <w:rPr>
          <w:rtl w:val="true"/>
        </w:rPr>
        <w:t xml:space="preserve">, </w:t>
      </w:r>
      <w:r>
        <w:rPr>
          <w:rtl w:val="true"/>
        </w:rPr>
        <w:t>וחשב את שחשב</w:t>
      </w:r>
      <w:r>
        <w:rPr>
          <w:rtl w:val="true"/>
        </w:rPr>
        <w:t xml:space="preserve">, </w:t>
      </w:r>
      <w:r>
        <w:rPr>
          <w:rtl w:val="true"/>
        </w:rPr>
        <w:t xml:space="preserve">המית המערער את המנוח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בנימינוב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משמעות הדבר היא</w:t>
      </w:r>
      <w:r>
        <w:rPr>
          <w:rtl w:val="true"/>
        </w:rPr>
        <w:t xml:space="preserve">, </w:t>
      </w:r>
      <w:r>
        <w:rPr>
          <w:rtl w:val="true"/>
        </w:rPr>
        <w:t>שרחוקים אנו מן הסיטואציה של כוונת המתה המתגבשת בו</w:t>
      </w:r>
      <w:r>
        <w:rPr>
          <w:rtl w:val="true"/>
        </w:rPr>
        <w:t>-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ומתממשת לאלתר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השקילה</w:t>
      </w:r>
      <w:r>
        <w:rPr>
          <w:rFonts w:ascii="Century" w:hAnsi="Century" w:cs="Century"/>
          <w:rtl w:val="true"/>
        </w:rPr>
        <w:t xml:space="preserve"> – בנוגע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והתגבשות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הדברים הוסברו באמצעות התוכן שיצק המלומד</w:t>
      </w:r>
      <w:r>
        <w:rPr>
          <w:rFonts w:ascii="Century" w:hAnsi="Century" w:cs="Century"/>
          <w:sz w:val="22"/>
          <w:sz w:val="22"/>
          <w:rtl w:val="true"/>
        </w:rPr>
        <w:t xml:space="preserve">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 פלר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לדרישת ההכנה שקבועה היתה בגדרי הדין הישן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ותכליתית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היבטי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קטלנית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הזולת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ז פלר </w:t>
      </w:r>
      <w:hyperlink r:id="rId9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cs="Century"/>
          <w:rtl w:val="true"/>
        </w:rPr>
        <w:t xml:space="preserve"> כרך א </w:t>
      </w:r>
      <w:r>
        <w:rPr>
          <w:rFonts w:cs="Century" w:ascii="Century" w:hAnsi="Century"/>
        </w:rPr>
        <w:t>697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עד כמה שניתן להוכיח דברים שבלב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התנהלותו הכללית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בערב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כי זה אכן גמר אומר להמית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והתקין עצמו לביצוע המעשה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די בכך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375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השקילה</w:t>
      </w:r>
      <w:r>
        <w:rPr>
          <w:rFonts w:ascii="Century" w:hAnsi="Century" w:cs="Century"/>
          <w:rtl w:val="true"/>
        </w:rPr>
        <w:t xml:space="preserve"> – </w:t>
      </w:r>
      <w:r>
        <w:rPr>
          <w:rtl w:val="true"/>
        </w:rPr>
        <w:t>על זו להתבצע ביישוב דעת מסוים</w:t>
      </w:r>
      <w:r>
        <w:rPr>
          <w:rtl w:val="true"/>
        </w:rPr>
        <w:t xml:space="preserve">, </w:t>
      </w:r>
      <w:r>
        <w:rPr>
          <w:rtl w:val="true"/>
        </w:rPr>
        <w:t>להבדיל מהחלטה המתקבלת ב</w:t>
      </w:r>
      <w:r>
        <w:rPr>
          <w:rtl w:val="true"/>
        </w:rPr>
        <w:t>'</w:t>
      </w:r>
      <w:r>
        <w:rPr>
          <w:rtl w:val="true"/>
        </w:rPr>
        <w:t>להט קרב</w:t>
      </w:r>
      <w:r>
        <w:rPr>
          <w:rtl w:val="true"/>
        </w:rPr>
        <w:t xml:space="preserve">' </w:t>
      </w:r>
      <w:r>
        <w:rPr>
          <w:rtl w:val="true"/>
        </w:rPr>
        <w:t xml:space="preserve">ובעיצומם של ויכוח ועימות סוערים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 באשר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הנסיעה שחלף בין המפגש הראשוני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מעשה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בהחלט סיפק למערער זמן להרהר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שמא אף לעֹצרם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באשר לשיקול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לדאבון הלב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הלה בחר שלא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הזמן שעמד לרשותו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ושבו שהה בגפו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סבורני כי בכלל נסיבות העזר</w:t>
      </w:r>
      <w:r>
        <w:rPr>
          <w:rtl w:val="true"/>
        </w:rPr>
        <w:t xml:space="preserve">, </w:t>
      </w:r>
      <w:r>
        <w:rPr>
          <w:rtl w:val="true"/>
        </w:rPr>
        <w:t>שעליהן הצביעה הפסיקה</w:t>
      </w:r>
      <w:r>
        <w:rPr>
          <w:rtl w:val="true"/>
        </w:rPr>
        <w:t xml:space="preserve">, </w:t>
      </w:r>
      <w:r>
        <w:rPr>
          <w:rtl w:val="true"/>
        </w:rPr>
        <w:t>יש כדי ללמדנו כי אין עסקינן במעשה המתה ספונטני</w:t>
      </w:r>
      <w:r>
        <w:rPr>
          <w:rtl w:val="true"/>
        </w:rPr>
        <w:t xml:space="preserve">, </w:t>
      </w:r>
      <w:r>
        <w:rPr>
          <w:rtl w:val="true"/>
        </w:rPr>
        <w:t>אלא במעשה שהוא פריו של תהליך רב</w:t>
      </w:r>
      <w:r>
        <w:rPr>
          <w:rtl w:val="true"/>
        </w:rPr>
        <w:t>-</w:t>
      </w:r>
      <w:r>
        <w:rPr>
          <w:rtl w:val="true"/>
        </w:rPr>
        <w:t>שלבי – ראשיתו בפגישה בין המנוח למערער</w:t>
      </w:r>
      <w:r>
        <w:rPr>
          <w:rtl w:val="true"/>
        </w:rPr>
        <w:t xml:space="preserve">, </w:t>
      </w:r>
      <w:r>
        <w:rPr>
          <w:rtl w:val="true"/>
        </w:rPr>
        <w:t>שבה קבעו לשוב ולהיפגש</w:t>
      </w:r>
      <w:r>
        <w:rPr>
          <w:rtl w:val="true"/>
        </w:rPr>
        <w:t xml:space="preserve">; </w:t>
      </w:r>
      <w:r>
        <w:rPr>
          <w:rtl w:val="true"/>
        </w:rPr>
        <w:t>המשכו בנסיעה שנסע המנוח לחוף הים</w:t>
      </w:r>
      <w:r>
        <w:rPr>
          <w:rtl w:val="true"/>
        </w:rPr>
        <w:t xml:space="preserve">, </w:t>
      </w:r>
      <w:r>
        <w:rPr>
          <w:rtl w:val="true"/>
        </w:rPr>
        <w:t>לבדו – נסיעה שארכה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שבמהלכן יכול היה המערער לפשפש ולהרהר במעשיו</w:t>
      </w:r>
      <w:r>
        <w:rPr>
          <w:rtl w:val="true"/>
        </w:rPr>
        <w:t xml:space="preserve">; </w:t>
      </w:r>
      <w:r>
        <w:rPr>
          <w:rtl w:val="true"/>
        </w:rPr>
        <w:t>וסיומו הטרגי במעשה המתה מהיר</w:t>
      </w:r>
      <w:r>
        <w:rPr>
          <w:rtl w:val="true"/>
        </w:rPr>
        <w:t xml:space="preserve">, </w:t>
      </w:r>
      <w:r>
        <w:rPr>
          <w:rtl w:val="true"/>
        </w:rPr>
        <w:t>שלאחריו גם איים המערער על עדים</w:t>
      </w:r>
      <w:r>
        <w:rPr>
          <w:rtl w:val="true"/>
        </w:rPr>
        <w:t xml:space="preserve">, </w:t>
      </w:r>
      <w:r>
        <w:rPr>
          <w:rtl w:val="true"/>
        </w:rPr>
        <w:t>ועשה לטובת הרחקתו מן האירוע</w:t>
      </w:r>
      <w:r>
        <w:rPr>
          <w:rtl w:val="true"/>
        </w:rPr>
        <w:t xml:space="preserve">. </w:t>
      </w:r>
      <w:r>
        <w:rPr>
          <w:rtl w:val="true"/>
        </w:rPr>
        <w:t>מדובר אפוא</w:t>
      </w:r>
      <w:r>
        <w:rPr>
          <w:rtl w:val="true"/>
        </w:rPr>
        <w:t xml:space="preserve">, </w:t>
      </w:r>
      <w:r>
        <w:rPr>
          <w:rtl w:val="true"/>
        </w:rPr>
        <w:t>במעשה שהליך השקילה שנתבצע במסגרתו בהחלט עונה על דרישות החוק</w:t>
      </w:r>
      <w:r>
        <w:rPr>
          <w:rtl w:val="true"/>
        </w:rPr>
        <w:t xml:space="preserve">, </w:t>
      </w:r>
      <w:r>
        <w:rPr>
          <w:rtl w:val="true"/>
        </w:rPr>
        <w:t>ויש בו כדי להגדיר את מעשה ההמתה שבא לאחריו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שעונשו – על</w:t>
      </w:r>
      <w:r>
        <w:rPr>
          <w:rtl w:val="true"/>
        </w:rPr>
        <w:t>-</w:t>
      </w:r>
      <w:r>
        <w:rPr>
          <w:rtl w:val="true"/>
        </w:rPr>
        <w:t xml:space="preserve">פי הדין שנקבע בגדרי הרפורמה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הפועל היוצא הוא</w:t>
      </w:r>
      <w:r>
        <w:rPr>
          <w:rtl w:val="true"/>
        </w:rPr>
        <w:t xml:space="preserve">, </w:t>
      </w:r>
      <w:r>
        <w:rPr>
          <w:rtl w:val="true"/>
        </w:rPr>
        <w:t>שאין ברפורמה משום דין מקל עבור המערער – עונשו שלפי הדין החדש</w:t>
      </w:r>
      <w:r>
        <w:rPr>
          <w:rtl w:val="true"/>
        </w:rPr>
        <w:t xml:space="preserve">, </w:t>
      </w:r>
      <w:r>
        <w:rPr>
          <w:rtl w:val="true"/>
        </w:rPr>
        <w:t>זהה לעונשו שלפי הדין הישן</w:t>
      </w:r>
      <w:r>
        <w:rPr>
          <w:rtl w:val="true"/>
        </w:rPr>
        <w:t xml:space="preserve">; </w:t>
      </w:r>
      <w:r>
        <w:rPr>
          <w:rtl w:val="true"/>
        </w:rPr>
        <w:t>כזה כן זה – מובילים שניהם לעונש חובה של מאסר 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20" w:name="_Ref173941576"/>
      <w:bookmarkStart w:id="21" w:name="_Ref173941576"/>
      <w:bookmarkEnd w:id="21"/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על יסוד כלל האמור</w:t>
      </w:r>
      <w:r>
        <w:rPr>
          <w:rtl w:val="true"/>
        </w:rPr>
        <w:t xml:space="preserve">, </w:t>
      </w:r>
      <w:r>
        <w:rPr>
          <w:rtl w:val="true"/>
        </w:rPr>
        <w:t>הצעתי לחברַי היא שנדחה את הערעור שלפנינו</w:t>
      </w:r>
      <w:r>
        <w:rPr>
          <w:rtl w:val="true"/>
        </w:rPr>
        <w:t xml:space="preserve">, </w:t>
      </w:r>
      <w:r>
        <w:rPr>
          <w:rtl w:val="true"/>
        </w:rPr>
        <w:t>ונותיר על כנה את הרשעת המערער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ששכנה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 שעובר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יוותר על כנו גם עונש מאסר העולם</w:t>
      </w:r>
      <w:r>
        <w:rPr>
          <w:rtl w:val="true"/>
        </w:rPr>
        <w:t xml:space="preserve">, </w:t>
      </w:r>
      <w:r>
        <w:rPr>
          <w:rtl w:val="true"/>
        </w:rPr>
        <w:t>שגזר על המערער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סולברג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cs="Times New Roman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/>
          <w:b/>
          <w:b/>
          <w:sz w:val="22"/>
          <w:sz w:val="22"/>
          <w:u w:val="single"/>
          <w:rtl w:val="true"/>
        </w:rPr>
        <w:t>דוד</w:t>
      </w:r>
      <w:r>
        <w:rPr>
          <w:rFonts w:cs="Times New Roman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/>
          <w:b/>
          <w:b/>
          <w:sz w:val="22"/>
          <w:sz w:val="22"/>
          <w:u w:val="single"/>
          <w:rtl w:val="true"/>
        </w:rPr>
        <w:t>מינץ</w:t>
      </w:r>
      <w:r>
        <w:rPr>
          <w:rFonts w:cs="Miriam"/>
          <w:b/>
          <w:sz w:val="22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FrankRuehl" w:hAnsi="FrankRuehl" w:cs="FrankRuehl"/>
          <w:b/>
          <w:sz w:val="28"/>
          <w:u w:val="single"/>
        </w:rPr>
      </w:pPr>
      <w:r>
        <w:rPr>
          <w:rFonts w:cs="FrankRuehl" w:ascii="FrankRuehl" w:hAnsi="FrankRuehl"/>
          <w:b/>
          <w:sz w:val="28"/>
          <w:u w:val="single"/>
          <w:rtl w:val="true"/>
        </w:rPr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מסכים</w:t>
      </w:r>
    </w:p>
    <w:p>
      <w:pPr>
        <w:pStyle w:val="Normal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מינץ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Miriam Fixed" w:hAnsi="Miriam Fixed" w:cs="Miriam Fixed"/>
          <w:sz w:val="28"/>
        </w:rPr>
      </w:pPr>
      <w:r>
        <w:rPr>
          <w:rFonts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cs="Times New Roman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/>
          <w:b/>
          <w:b/>
          <w:sz w:val="22"/>
          <w:sz w:val="22"/>
          <w:u w:val="single"/>
          <w:rtl w:val="true"/>
        </w:rPr>
        <w:t>יחיאל</w:t>
      </w:r>
      <w:r>
        <w:rPr>
          <w:rFonts w:cs="Times New Roman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/>
          <w:b/>
          <w:b/>
          <w:sz w:val="22"/>
          <w:sz w:val="22"/>
          <w:u w:val="single"/>
          <w:rtl w:val="true"/>
        </w:rPr>
        <w:t>כשר</w:t>
      </w:r>
      <w:r>
        <w:rPr>
          <w:rFonts w:cs="Miriam"/>
          <w:b/>
          <w:sz w:val="22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ind w:firstLine="720" w:end="0"/>
        <w:jc w:val="both"/>
        <w:rPr>
          <w:rFonts w:ascii="FrankRuehl" w:hAnsi="FrankRuehl" w:cs="FrankRuehl"/>
          <w:sz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מסכים</w:t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22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 תשרי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31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אוקטובר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22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סולברג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מינץ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cs="FrankRuehl" w:ascii="FrankRuehl" w:hAnsi="FrankRuehl"/>
                <w:sz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  <w:tab/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נעם סולברג </w:t>
      </w:r>
      <w:r>
        <w:rPr>
          <w:rFonts w:cs="David" w:ascii="David" w:hAnsi="David"/>
          <w:color w:val="000000"/>
          <w:sz w:val="22"/>
          <w:szCs w:val="22"/>
        </w:rPr>
        <w:t>54678313-6095/20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9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r>
        <w:rPr>
          <w:rFonts w:cs="FrankRuehl" w:ascii="FrankRuehl" w:hAnsi="FrankRuehl"/>
          <w:color w:val="0000FF"/>
          <w:sz w:val="28"/>
          <w:u w:val="single"/>
          <w:rtl w:val="true"/>
        </w:rPr>
      </w:r>
    </w:p>
    <w:sectPr>
      <w:headerReference w:type="default" r:id="rId96"/>
      <w:footerReference w:type="default" r:id="rId97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Miriam Fixed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6095/20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ואסאם טאהא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79780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797802&amp;lt;/CaseID&amp;gt;&#10;        &amp;lt;CaseMonth&amp;gt;9&amp;lt;/CaseMonth&amp;gt;&#10;        &amp;lt;CaseYear&amp;gt;2020&amp;lt;/CaseYear&amp;gt;&#10;        &amp;lt;CaseNumber&amp;gt;62533&amp;lt;/CaseNumber&amp;gt;&#10;        &amp;lt;NumeratorGroupID&amp;gt;1&amp;lt;/NumeratorGroupID&amp;gt;&#10;        &amp;lt;CaseName&amp;gt;טאהא (אסיר) נ&amp;#39; מדינת ישראל  ואח&amp;#39;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0&amp;lt;/PreviousCaseYear&amp;gt;&#10;        &amp;lt;PreviousCaseNumber&amp;gt;609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6095/20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0-09-02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.&amp;lt;/CaseDesc&amp;gt;&#10;        &amp;lt;isExistMinorSide&amp;gt;false&amp;lt;/isExistMinorSide&amp;gt;&#10;        &amp;lt;isExistMinorWitness&amp;gt;false&amp;lt;/isExistMinorWitness&amp;gt;&#10;        &amp;lt;PreviousCaseIdentifier&amp;gt;2020006095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797802&amp;lt;/CaseID&amp;gt;&#10;        &amp;lt;CaseMonth&amp;gt;9&amp;lt;/CaseMonth&amp;gt;&#10;        &amp;lt;CaseYear&amp;gt;2020&amp;lt;/CaseYear&amp;gt;&#10;        &amp;lt;CaseNumber&amp;gt;62533&amp;lt;/CaseNumber&amp;gt;&#10;        &amp;lt;NumeratorGroupID&amp;gt;1&amp;lt;/NumeratorGroupID&amp;gt;&#10;        &amp;lt;CaseName&amp;gt;טאהא (אסיר) נ&amp;#39; מדינת ישראל  ואח&amp;#39;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0&amp;lt;/PreviousCaseYear&amp;gt;&#10;        &amp;lt;PreviousCaseNumber&amp;gt;609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6095/20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0-09-02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.&amp;lt;/CaseDesc&amp;gt;&#10;        &amp;lt;PreviousCaseIdentifier&amp;gt;2020006095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746005&amp;lt;/DecisionID&amp;gt;&#10;        &amp;lt;DecisionName&amp;gt;פסק דין  שניתנה ע&amp;quot;י  נעם סולברג&amp;lt;/DecisionName&amp;gt;&#10;        &amp;lt;DecisionStatusID&amp;gt;1&amp;lt;/DecisionStatusID&amp;gt;&#10;        &amp;lt;DecisionStatusChangeDate&amp;gt;2024-10-31T16:15:56.153+02:00&amp;lt;/DecisionStatusChangeDate&amp;gt;&#10;        &amp;lt;DecisionSignatureDate&amp;gt;2024-10-31T16:15:55.767+02:00&amp;lt;/DecisionSignatureDate&amp;gt;&#10;        &amp;lt;DecisionSignatureUserID&amp;gt;057380099@GOV.IL&amp;lt;/DecisionSignatureUserID&amp;gt;&#10;        &amp;lt;DecisionCreateDate&amp;gt;2024-10-31T15:32:57.063+02:00&amp;lt;/DecisionCreateDate&amp;gt;&#10;        &amp;lt;DecisionChangeDate&amp;gt;2024-10-31T16:15:56.46+02:00&amp;lt;/DecisionChangeDate&amp;gt;&#10;        &amp;lt;DecisionChangeUserID&amp;gt;315633073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9162070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738009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15633073@GOV.IL&amp;lt;/DecisionCreationUserID&amp;gt;&#10;        &amp;lt;DecisionDisplayName&amp;gt;פסק דין  שניתנה ע&amp;quot;י  נעם סולברג&amp;lt;/DecisionDisplayName&amp;gt;&#10;        &amp;lt;IsScanned&amp;gt;false&amp;lt;/IsScanned&amp;gt;&#10;        &amp;lt;DecisionSignatureUserName&amp;gt;נעם סולברג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3&amp;lt;/DecisionNumberInCase&amp;gt;&#10;        &amp;lt;DecisionMeetingDate&amp;gt;2024-10-31T00:00:00+02:00&amp;lt;/DecisionMeetingDate&amp;gt;&#10;      &amp;lt;/dt_Decision&amp;gt;&#10;      &amp;lt;dt_DecisionCase diffgr:id=&amp;quot;dt_DecisionCase1&amp;quot; msdata:rowOrder=&amp;quot;0&amp;quot;&amp;gt;&#10;        &amp;lt;DecisionID&amp;gt;155746005&amp;lt;/DecisionID&amp;gt;&#10;        &amp;lt;CaseID&amp;gt;81797802&amp;lt;/CaseID&amp;gt;&#10;        &amp;lt;IsOriginal&amp;gt;true&amp;lt;/IsOriginal&amp;gt;&#10;        &amp;lt;IsDeleted&amp;gt;false&amp;lt;/IsDeleted&amp;gt;&#10;        &amp;lt;CaseName&amp;gt;טאהא (אסיר) נ&amp;#39; מדינת ישראל  ואח&amp;#39;&amp;lt;/CaseName&amp;gt;&#10;        &amp;lt;CaseDisplayIdentifier&amp;gt;ע&amp;quot;פ 6095/20&amp;lt;/CaseDisplayIdentifier&amp;gt;&#10;      &amp;lt;/dt_DecisionCase&amp;gt;&#10;    &amp;lt;/DecisionDS&amp;gt;&#10;  &amp;lt;/diffgr:diffgram&amp;gt;&#10;&amp;lt;/DecisionDS&amp;gt;"/>
    <w:docVar w:name="DecisionID" w:val="155746005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harChar32">
    <w:name w:val=" Char Char32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20882" TargetMode="External"/><Relationship Id="rId3" Type="http://schemas.openxmlformats.org/officeDocument/2006/relationships/hyperlink" Target="http://www.nevo.co.il/safrut/book/48576" TargetMode="External"/><Relationship Id="rId4" Type="http://schemas.openxmlformats.org/officeDocument/2006/relationships/hyperlink" Target="http://www.nevo.co.il/safrut/book/48576" TargetMode="External"/><Relationship Id="rId5" Type="http://schemas.openxmlformats.org/officeDocument/2006/relationships/hyperlink" Target="http://www.nevo.co.il/safrut/book/17224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safrut/bookgroup/206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5.a" TargetMode="External"/><Relationship Id="rId11" Type="http://schemas.openxmlformats.org/officeDocument/2006/relationships/hyperlink" Target="http://www.nevo.co.il/law/70301/25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300.a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/301a" TargetMode="External"/><Relationship Id="rId18" Type="http://schemas.openxmlformats.org/officeDocument/2006/relationships/hyperlink" Target="http://www.nevo.co.il/law/70301/301a.1.a" TargetMode="External"/><Relationship Id="rId19" Type="http://schemas.openxmlformats.org/officeDocument/2006/relationships/hyperlink" Target="http://www.nevo.co.il/law/70301/301a.a" TargetMode="External"/><Relationship Id="rId20" Type="http://schemas.openxmlformats.org/officeDocument/2006/relationships/hyperlink" Target="http://www.nevo.co.il/law/70301/301a.a.1" TargetMode="External"/><Relationship Id="rId21" Type="http://schemas.openxmlformats.org/officeDocument/2006/relationships/hyperlink" Target="http://www.nevo.co.il/law/70301/301a.b" TargetMode="External"/><Relationship Id="rId22" Type="http://schemas.openxmlformats.org/officeDocument/2006/relationships/hyperlink" Target="http://www.nevo.co.il/law/70301/311a" TargetMode="External"/><Relationship Id="rId23" Type="http://schemas.openxmlformats.org/officeDocument/2006/relationships/hyperlink" Target="http://www.nevo.co.il/law/75025" TargetMode="External"/><Relationship Id="rId24" Type="http://schemas.openxmlformats.org/officeDocument/2006/relationships/hyperlink" Target="http://www.nevo.co.il/law/75025/29.a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98569/53" TargetMode="External"/><Relationship Id="rId27" Type="http://schemas.openxmlformats.org/officeDocument/2006/relationships/hyperlink" Target="http://www.nevo.co.il/law/70301/300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/300.a" TargetMode="External"/><Relationship Id="rId31" Type="http://schemas.openxmlformats.org/officeDocument/2006/relationships/hyperlink" Target="http://www.nevo.co.il/law/70301/301a" TargetMode="External"/><Relationship Id="rId32" Type="http://schemas.openxmlformats.org/officeDocument/2006/relationships/hyperlink" Target="http://www.nevo.co.il/law/70301/301a.a.1" TargetMode="External"/><Relationship Id="rId33" Type="http://schemas.openxmlformats.org/officeDocument/2006/relationships/hyperlink" Target="http://www.nevo.co.il/law/70301/301a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3420882" TargetMode="External"/><Relationship Id="rId36" Type="http://schemas.openxmlformats.org/officeDocument/2006/relationships/hyperlink" Target="http://www.nevo.co.il/law/70301/300.a.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244" TargetMode="External"/><Relationship Id="rId42" Type="http://schemas.openxmlformats.org/officeDocument/2006/relationships/hyperlink" Target="http://www.nevo.co.il/law/70301/300.a" TargetMode="External"/><Relationship Id="rId43" Type="http://schemas.openxmlformats.org/officeDocument/2006/relationships/hyperlink" Target="http://www.nevo.co.il/law/70301/301a.a.1" TargetMode="External"/><Relationship Id="rId44" Type="http://schemas.openxmlformats.org/officeDocument/2006/relationships/hyperlink" Target="http://www.nevo.co.il/law/70301/300.a" TargetMode="External"/><Relationship Id="rId45" Type="http://schemas.openxmlformats.org/officeDocument/2006/relationships/hyperlink" Target="http://www.nevo.co.il/law/70301/300.a" TargetMode="External"/><Relationship Id="rId46" Type="http://schemas.openxmlformats.org/officeDocument/2006/relationships/hyperlink" Target="http://www.nevo.co.il/law/70301/301a.a" TargetMode="External"/><Relationship Id="rId47" Type="http://schemas.openxmlformats.org/officeDocument/2006/relationships/hyperlink" Target="http://www.nevo.co.il/law/70301/301a.b" TargetMode="External"/><Relationship Id="rId48" Type="http://schemas.openxmlformats.org/officeDocument/2006/relationships/hyperlink" Target="http://www.nevo.co.il/law/70301/300.a.2" TargetMode="External"/><Relationship Id="rId49" Type="http://schemas.openxmlformats.org/officeDocument/2006/relationships/hyperlink" Target="http://www.nevo.co.il/law/70301/301a.1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5.b" TargetMode="External"/><Relationship Id="rId52" Type="http://schemas.openxmlformats.org/officeDocument/2006/relationships/hyperlink" Target="http://www.nevo.co.il/law/70301/25.b" TargetMode="External"/><Relationship Id="rId53" Type="http://schemas.openxmlformats.org/officeDocument/2006/relationships/hyperlink" Target="http://www.nevo.co.il/law/70301/5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8693576" TargetMode="External"/><Relationship Id="rId56" Type="http://schemas.openxmlformats.org/officeDocument/2006/relationships/hyperlink" Target="http://www.nevo.co.il/case/27355022" TargetMode="External"/><Relationship Id="rId57" Type="http://schemas.openxmlformats.org/officeDocument/2006/relationships/hyperlink" Target="http://www.nevo.co.il/case/26553171" TargetMode="External"/><Relationship Id="rId58" Type="http://schemas.openxmlformats.org/officeDocument/2006/relationships/hyperlink" Target="http://www.nevo.co.il/safrut/book/48576" TargetMode="External"/><Relationship Id="rId59" Type="http://schemas.openxmlformats.org/officeDocument/2006/relationships/hyperlink" Target="http://www.nevo.co.il/case/27608320" TargetMode="External"/><Relationship Id="rId60" Type="http://schemas.openxmlformats.org/officeDocument/2006/relationships/hyperlink" Target="http://www.nevo.co.il/law/70301/300.a" TargetMode="External"/><Relationship Id="rId61" Type="http://schemas.openxmlformats.org/officeDocument/2006/relationships/hyperlink" Target="http://www.nevo.co.il/case/26995434" TargetMode="External"/><Relationship Id="rId62" Type="http://schemas.openxmlformats.org/officeDocument/2006/relationships/hyperlink" Target="http://www.nevo.co.il/law/70301/301a" TargetMode="External"/><Relationship Id="rId63" Type="http://schemas.openxmlformats.org/officeDocument/2006/relationships/hyperlink" Target="http://www.nevo.co.il/law/70301/301a.a.1" TargetMode="External"/><Relationship Id="rId64" Type="http://schemas.openxmlformats.org/officeDocument/2006/relationships/hyperlink" Target="http://www.nevo.co.il/law/70301/301a.a" TargetMode="External"/><Relationship Id="rId65" Type="http://schemas.openxmlformats.org/officeDocument/2006/relationships/hyperlink" Target="http://www.nevo.co.il/law/70301/301a.a.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8116157" TargetMode="External"/><Relationship Id="rId68" Type="http://schemas.openxmlformats.org/officeDocument/2006/relationships/hyperlink" Target="http://www.nevo.co.il/safrut/bookgroup/2063" TargetMode="External"/><Relationship Id="rId69" Type="http://schemas.openxmlformats.org/officeDocument/2006/relationships/hyperlink" Target="http://www.nevo.co.il/law/70301/311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5025/29.a" TargetMode="External"/><Relationship Id="rId72" Type="http://schemas.openxmlformats.org/officeDocument/2006/relationships/hyperlink" Target="http://www.nevo.co.il/law/75025" TargetMode="External"/><Relationship Id="rId73" Type="http://schemas.openxmlformats.org/officeDocument/2006/relationships/hyperlink" Target="http://www.nevo.co.il/safrut/book/17224" TargetMode="External"/><Relationship Id="rId74" Type="http://schemas.openxmlformats.org/officeDocument/2006/relationships/hyperlink" Target="http://www.nevo.co.il/law/70301/300.a.2" TargetMode="External"/><Relationship Id="rId75" Type="http://schemas.openxmlformats.org/officeDocument/2006/relationships/hyperlink" Target="http://www.nevo.co.il/law/70301/301a.a.1" TargetMode="External"/><Relationship Id="rId76" Type="http://schemas.openxmlformats.org/officeDocument/2006/relationships/hyperlink" Target="http://www.nevo.co.il/case/26205760" TargetMode="External"/><Relationship Id="rId77" Type="http://schemas.openxmlformats.org/officeDocument/2006/relationships/hyperlink" Target="http://www.nevo.co.il/case/27351120" TargetMode="External"/><Relationship Id="rId78" Type="http://schemas.openxmlformats.org/officeDocument/2006/relationships/hyperlink" Target="http://www.nevo.co.il/law/70301/301a.a.1" TargetMode="External"/><Relationship Id="rId79" Type="http://schemas.openxmlformats.org/officeDocument/2006/relationships/hyperlink" Target="http://www.nevo.co.il/case/6151033" TargetMode="External"/><Relationship Id="rId80" Type="http://schemas.openxmlformats.org/officeDocument/2006/relationships/hyperlink" Target="http://www.nevo.co.il/case/5756128" TargetMode="External"/><Relationship Id="rId81" Type="http://schemas.openxmlformats.org/officeDocument/2006/relationships/hyperlink" Target="http://www.nevo.co.il/law/98569/53" TargetMode="External"/><Relationship Id="rId82" Type="http://schemas.openxmlformats.org/officeDocument/2006/relationships/hyperlink" Target="http://www.nevo.co.il/law/98569" TargetMode="External"/><Relationship Id="rId83" Type="http://schemas.openxmlformats.org/officeDocument/2006/relationships/hyperlink" Target="http://www.nevo.co.il/case/5672948" TargetMode="External"/><Relationship Id="rId84" Type="http://schemas.openxmlformats.org/officeDocument/2006/relationships/hyperlink" Target="http://www.nevo.co.il/case/28681495" TargetMode="External"/><Relationship Id="rId85" Type="http://schemas.openxmlformats.org/officeDocument/2006/relationships/hyperlink" Target="http://www.nevo.co.il/case/17937212" TargetMode="External"/><Relationship Id="rId86" Type="http://schemas.openxmlformats.org/officeDocument/2006/relationships/hyperlink" Target="http://www.nevo.co.il/case/26892067" TargetMode="External"/><Relationship Id="rId87" Type="http://schemas.openxmlformats.org/officeDocument/2006/relationships/hyperlink" Target="http://www.nevo.co.il/case/21478969" TargetMode="External"/><Relationship Id="rId88" Type="http://schemas.openxmlformats.org/officeDocument/2006/relationships/hyperlink" Target="http://www.nevo.co.il/case/27443208" TargetMode="External"/><Relationship Id="rId89" Type="http://schemas.openxmlformats.org/officeDocument/2006/relationships/hyperlink" Target="http://www.nevo.co.il/case/5951969" TargetMode="External"/><Relationship Id="rId90" Type="http://schemas.openxmlformats.org/officeDocument/2006/relationships/hyperlink" Target="http://www.nevo.co.il/safrut/bookgroup/412" TargetMode="External"/><Relationship Id="rId91" Type="http://schemas.openxmlformats.org/officeDocument/2006/relationships/hyperlink" Target="http://www.nevo.co.il/law/70301/301a.a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300.a.2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advertisements/nevo-100.doc" TargetMode="External"/><Relationship Id="rId96" Type="http://schemas.openxmlformats.org/officeDocument/2006/relationships/header" Target="header1.xml"/><Relationship Id="rId97" Type="http://schemas.openxmlformats.org/officeDocument/2006/relationships/footer" Target="footer1.xml"/><Relationship Id="rId98" Type="http://schemas.openxmlformats.org/officeDocument/2006/relationships/numbering" Target="numbering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2024-11-03T14:00:00Z</dcterms:created>
  <dc:creator> </dc:creator>
  <dc:description/>
  <cp:keywords/>
  <dc:language>en-IL</dc:language>
  <cp:lastModifiedBy>orly</cp:lastModifiedBy>
  <dcterms:modified xsi:type="dcterms:W3CDTF">2024-11-03T14:00:00Z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ואסאם טאהא (אסיר)</vt:lpwstr>
  </property>
  <property fmtid="{D5CDD505-2E9C-101B-9397-08002B2CF9AE}" pid="3" name="APPELLEE">
    <vt:lpwstr>מדינת ישראל;עזבון המנוח יוסף גסט ז#ל</vt:lpwstr>
  </property>
  <property fmtid="{D5CDD505-2E9C-101B-9397-08002B2CF9AE}" pid="4" name="BOOKGROUPTMP1">
    <vt:lpwstr>412;2063</vt:lpwstr>
  </property>
  <property fmtid="{D5CDD505-2E9C-101B-9397-08002B2CF9AE}" pid="5" name="BOOKLISTTMP1">
    <vt:lpwstr>48576;17224</vt:lpwstr>
  </property>
  <property fmtid="{D5CDD505-2E9C-101B-9397-08002B2CF9AE}" pid="6" name="CASESLISTTMP1">
    <vt:lpwstr>23420882:2;28693576;27355022;26553171;27608320;26995434;28116157;26205760;27351120;6151033;5756128;5672948;28681495;17937212;26892067;21478969;27443208;5951969</vt:lpwstr>
  </property>
  <property fmtid="{D5CDD505-2E9C-101B-9397-08002B2CF9AE}" pid="7" name="DATE">
    <vt:lpwstr>20241031</vt:lpwstr>
  </property>
  <property fmtid="{D5CDD505-2E9C-101B-9397-08002B2CF9AE}" pid="8" name="ISABSTRACT">
    <vt:lpwstr>Y</vt:lpwstr>
  </property>
  <property fmtid="{D5CDD505-2E9C-101B-9397-08002B2CF9AE}" pid="9" name="JUDGE">
    <vt:lpwstr>נעם סולברג;דוד מינץ;יחיאל כשר</vt:lpwstr>
  </property>
  <property fmtid="{D5CDD505-2E9C-101B-9397-08002B2CF9AE}" pid="10" name="LAWLISTTMP1">
    <vt:lpwstr>70301/300.a.2:4;144.a;144.b;244;300.a:4;301a.a.1:5;301a.a:3;301a.b;301a.1.a;025.b:2;005.a;301a;311a</vt:lpwstr>
  </property>
  <property fmtid="{D5CDD505-2E9C-101B-9397-08002B2CF9AE}" pid="11" name="LAWLISTTMP2">
    <vt:lpwstr>75025/029.a</vt:lpwstr>
  </property>
  <property fmtid="{D5CDD505-2E9C-101B-9397-08002B2CF9AE}" pid="12" name="LAWLISTTMP3">
    <vt:lpwstr>98569/053</vt:lpwstr>
  </property>
  <property fmtid="{D5CDD505-2E9C-101B-9397-08002B2CF9AE}" pid="13" name="LAWYER">
    <vt:lpwstr>איתמר גלבפיש;עביר בכר;משה גלעד</vt:lpwstr>
  </property>
  <property fmtid="{D5CDD505-2E9C-101B-9397-08002B2CF9AE}" pid="14" name="METAKZER">
    <vt:lpwstr>אהוד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פרשנות</vt:lpwstr>
  </property>
  <property fmtid="{D5CDD505-2E9C-101B-9397-08002B2CF9AE}" pid="22" name="NOSE17">
    <vt:lpwstr>בתי-משפט</vt:lpwstr>
  </property>
  <property fmtid="{D5CDD505-2E9C-101B-9397-08002B2CF9AE}" pid="23" name="NOSE18">
    <vt:lpwstr>בתי-משפט</vt:lpwstr>
  </property>
  <property fmtid="{D5CDD505-2E9C-101B-9397-08002B2CF9AE}" pid="24" name="NOSE19">
    <vt:lpwstr>דיון פלילי</vt:lpwstr>
  </property>
  <property fmtid="{D5CDD505-2E9C-101B-9397-08002B2CF9AE}" pid="25" name="NOSE1ID">
    <vt:lpwstr>77;77;77;77;77;84;14;14;18</vt:lpwstr>
  </property>
  <property fmtid="{D5CDD505-2E9C-101B-9397-08002B2CF9AE}" pid="26" name="NOSE21">
    <vt:lpwstr>עבירת הרצח</vt:lpwstr>
  </property>
  <property fmtid="{D5CDD505-2E9C-101B-9397-08002B2CF9AE}" pid="27" name="NOSE210">
    <vt:lpwstr/>
  </property>
  <property fmtid="{D5CDD505-2E9C-101B-9397-08002B2CF9AE}" pid="28" name="NOSE22">
    <vt:lpwstr>עבירת הרצח</vt:lpwstr>
  </property>
  <property fmtid="{D5CDD505-2E9C-101B-9397-08002B2CF9AE}" pid="29" name="NOSE23">
    <vt:lpwstr>עבירת הרצח</vt:lpwstr>
  </property>
  <property fmtid="{D5CDD505-2E9C-101B-9397-08002B2CF9AE}" pid="30" name="NOSE24">
    <vt:lpwstr>עבירת הרצח</vt:lpwstr>
  </property>
  <property fmtid="{D5CDD505-2E9C-101B-9397-08002B2CF9AE}" pid="31" name="NOSE25">
    <vt:lpwstr>ענישה</vt:lpwstr>
  </property>
  <property fmtid="{D5CDD505-2E9C-101B-9397-08002B2CF9AE}" pid="32" name="NOSE26">
    <vt:lpwstr>דין</vt:lpwstr>
  </property>
  <property fmtid="{D5CDD505-2E9C-101B-9397-08002B2CF9AE}" pid="33" name="NOSE27">
    <vt:lpwstr>ערעור</vt:lpwstr>
  </property>
  <property fmtid="{D5CDD505-2E9C-101B-9397-08002B2CF9AE}" pid="34" name="NOSE28">
    <vt:lpwstr>ערעור</vt:lpwstr>
  </property>
  <property fmtid="{D5CDD505-2E9C-101B-9397-08002B2CF9AE}" pid="35" name="NOSE29">
    <vt:lpwstr>הרשעה</vt:lpwstr>
  </property>
  <property fmtid="{D5CDD505-2E9C-101B-9397-08002B2CF9AE}" pid="36" name="NOSE2ID">
    <vt:lpwstr>12455;12455;12455;12455;1446;1517;333;333;465</vt:lpwstr>
  </property>
  <property fmtid="{D5CDD505-2E9C-101B-9397-08002B2CF9AE}" pid="37" name="NOSE31">
    <vt:lpwstr>תיקון 137</vt:lpwstr>
  </property>
  <property fmtid="{D5CDD505-2E9C-101B-9397-08002B2CF9AE}" pid="38" name="NOSE310">
    <vt:lpwstr/>
  </property>
  <property fmtid="{D5CDD505-2E9C-101B-9397-08002B2CF9AE}" pid="39" name="NOSE32">
    <vt:lpwstr>החלטה להמית</vt:lpwstr>
  </property>
  <property fmtid="{D5CDD505-2E9C-101B-9397-08002B2CF9AE}" pid="40" name="NOSE33">
    <vt:lpwstr>רצח בנסיבות מחמירות</vt:lpwstr>
  </property>
  <property fmtid="{D5CDD505-2E9C-101B-9397-08002B2CF9AE}" pid="41" name="NOSE34">
    <vt:lpwstr>עונש מופחת</vt:lpwstr>
  </property>
  <property fmtid="{D5CDD505-2E9C-101B-9397-08002B2CF9AE}" pid="42" name="NOSE35">
    <vt:lpwstr>מאסר</vt:lpwstr>
  </property>
  <property fmtid="{D5CDD505-2E9C-101B-9397-08002B2CF9AE}" pid="43" name="NOSE36">
    <vt:lpwstr>חוק העונשין</vt:lpwstr>
  </property>
  <property fmtid="{D5CDD505-2E9C-101B-9397-08002B2CF9AE}" pid="44" name="NOSE37">
    <vt:lpwstr>התערבות במימצאים עובדתיים</vt:lpwstr>
  </property>
  <property fmtid="{D5CDD505-2E9C-101B-9397-08002B2CF9AE}" pid="45" name="NOSE38">
    <vt:lpwstr>התערבות במהימנות עדים</vt:lpwstr>
  </property>
  <property fmtid="{D5CDD505-2E9C-101B-9397-08002B2CF9AE}" pid="46" name="NOSE39">
    <vt:lpwstr>על יסוד ראיות נסיבתיות</vt:lpwstr>
  </property>
  <property fmtid="{D5CDD505-2E9C-101B-9397-08002B2CF9AE}" pid="47" name="NOSE3ID">
    <vt:lpwstr>18905;16197;19751;15787;8979;9358;2710;13579;3637</vt:lpwstr>
  </property>
  <property fmtid="{D5CDD505-2E9C-101B-9397-08002B2CF9AE}" pid="48" name="PADIDATE">
    <vt:lpwstr>20241103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6095</vt:lpwstr>
  </property>
  <property fmtid="{D5CDD505-2E9C-101B-9397-08002B2CF9AE}" pid="52" name="PROCYEAR">
    <vt:lpwstr>20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410120241031</vt:lpwstr>
  </property>
  <property fmtid="{D5CDD505-2E9C-101B-9397-08002B2CF9AE}" pid="56" name="TYPE_N_DATE">
    <vt:lpwstr>41020241031</vt:lpwstr>
  </property>
  <property fmtid="{D5CDD505-2E9C-101B-9397-08002B2CF9AE}" pid="57" name="WORDNUMPAGES">
    <vt:lpwstr>24</vt:lpwstr>
  </property>
</Properties>
</file>