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2613"/>
        <w:gridCol w:w="5238"/>
        <w:gridCol w:w="6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6098/17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חיפה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19.07.2017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31422-12-16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השופטים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: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סג</w:t>
            </w:r>
            <w:r>
              <w:rPr>
                <w:rFonts w:cs="Miriam"/>
                <w:sz w:val="28"/>
                <w:szCs w:val="24"/>
                <w:rtl w:val="true"/>
              </w:rPr>
              <w:t>"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שפירא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סג</w:t>
            </w:r>
            <w:r>
              <w:rPr>
                <w:rFonts w:cs="Miriam"/>
                <w:sz w:val="28"/>
                <w:szCs w:val="24"/>
                <w:rtl w:val="true"/>
              </w:rPr>
              <w:t>"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אליקים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ת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נאות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05.07.2018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נדשי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</w:t>
            </w:r>
            <w:r>
              <w:rPr>
                <w:rtl w:val="true"/>
              </w:rPr>
              <w:t>יבות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75,000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גחמותיו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ותמיכה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ביקוריו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אמהּ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גחמותיו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כאבה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ופחדה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מדבריה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1"/>
        </w:numPr>
        <w:ind w:end="0"/>
        <w:jc w:val="both"/>
        <w:rPr/>
      </w:pPr>
      <w:bookmarkStart w:id="16" w:name="_GoBack"/>
      <w:bookmarkEnd w:id="16"/>
      <w:r>
        <w:rPr>
          <w:rtl w:val="true"/>
        </w:rPr>
        <w:t xml:space="preserve">המערער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 xml:space="preserve">על פי הודאתו במסגרת הסדר טיעון </w:t>
      </w:r>
      <w:r>
        <w:rPr>
          <w:rtl w:val="true"/>
        </w:rPr>
        <w:t>בעביר</w:t>
      </w:r>
      <w:r>
        <w:rPr>
          <w:rtl w:val="true"/>
        </w:rPr>
        <w:t>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בגין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ביצע את עבירות המין בבתו ד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 </w:t>
      </w:r>
      <w:r>
        <w:rPr/>
        <w:t>2012-2010</w:t>
      </w:r>
      <w:r>
        <w:rPr>
          <w:rtl w:val="true"/>
        </w:rPr>
        <w:t xml:space="preserve">, </w:t>
      </w:r>
      <w:r>
        <w:rPr>
          <w:rtl w:val="true"/>
        </w:rPr>
        <w:t>בהיותה קטינה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המסכת העובדתית שבכתב האישום המתוקן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מגוללת בפנינו את סיפורה של ד</w:t>
      </w:r>
      <w:r>
        <w:rPr>
          <w:rtl w:val="true"/>
        </w:rPr>
        <w:t xml:space="preserve">', </w:t>
      </w:r>
      <w:r>
        <w:rPr>
          <w:rtl w:val="true"/>
        </w:rPr>
        <w:t>אשר עוד בהיותה תינוקת נפרדו דרכיהם של המערער ואמהּ</w:t>
      </w:r>
      <w:r>
        <w:rPr>
          <w:rtl w:val="true"/>
        </w:rPr>
        <w:t xml:space="preserve">, </w:t>
      </w:r>
      <w:r>
        <w:rPr>
          <w:rtl w:val="true"/>
        </w:rPr>
        <w:t xml:space="preserve">והיא נותרה להתגורר </w:t>
      </w:r>
      <w:r>
        <w:rPr>
          <w:rtl w:val="true"/>
        </w:rPr>
        <w:t>ב</w:t>
      </w:r>
      <w:r>
        <w:rPr>
          <w:rtl w:val="true"/>
        </w:rPr>
        <w:t xml:space="preserve">דירתם המשותפת של אמהּ </w:t>
      </w:r>
      <w:r>
        <w:rPr>
          <w:rtl w:val="true"/>
        </w:rPr>
        <w:t>ובן</w:t>
      </w:r>
      <w:r>
        <w:rPr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. </w:t>
      </w:r>
      <w:r>
        <w:rPr>
          <w:rtl w:val="true"/>
        </w:rPr>
        <w:t>המערער אף הוא נישא בשנית</w:t>
      </w:r>
      <w:r>
        <w:rPr>
          <w:rtl w:val="true"/>
        </w:rPr>
        <w:t xml:space="preserve">, </w:t>
      </w:r>
      <w:r>
        <w:rPr>
          <w:rtl w:val="true"/>
        </w:rPr>
        <w:t>ובתו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נהגה </w:t>
      </w:r>
      <w:r>
        <w:rPr>
          <w:rtl w:val="true"/>
        </w:rPr>
        <w:t>להתארח מפעם לפעם בבי</w:t>
      </w:r>
      <w:r>
        <w:rPr>
          <w:rtl w:val="true"/>
        </w:rPr>
        <w:t>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 xml:space="preserve">את העבירות המיניות במתלוננת 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כאשר ביקרה בביתו או כאשר נהג לבקרהּ בבית האם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כמפורט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מבגדיה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חזהּ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וסיפוק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נצמד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גופהּ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וחיכך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ובישבנה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נשארה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ובשעה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ישנו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למיט</w:t>
      </w:r>
      <w:r>
        <w:rPr>
          <w:rtl w:val="true"/>
        </w:rPr>
        <w:t>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תחתוניה</w:t>
      </w:r>
      <w:r>
        <w:rPr>
          <w:rtl w:val="true"/>
        </w:rPr>
        <w:t xml:space="preserve">. </w:t>
      </w:r>
      <w:r>
        <w:rPr>
          <w:rtl w:val="true"/>
        </w:rPr>
        <w:t>משהתעוררה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משנתה</w:t>
      </w:r>
      <w:r>
        <w:rPr>
          <w:rtl w:val="true"/>
        </w:rPr>
        <w:t xml:space="preserve">, </w:t>
      </w:r>
      <w:r>
        <w:rPr>
          <w:rtl w:val="true"/>
        </w:rPr>
        <w:t>התנגדה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וסיפוק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מיני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שתמצוץ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שסירבה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שקנה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סלולארי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ונעליים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ועליה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לקבלם</w:t>
      </w:r>
      <w:r>
        <w:rPr>
          <w:rtl w:val="true"/>
        </w:rPr>
        <w:t xml:space="preserve">. </w:t>
      </w:r>
      <w:r>
        <w:rPr>
          <w:rtl w:val="true"/>
        </w:rPr>
        <w:t>משהתמידה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בסירובה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וצילם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שעשתה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</w:t>
      </w:r>
      <w:r>
        <w:rPr>
          <w:rtl w:val="true"/>
        </w:rPr>
        <w:t>חוות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 </w:t>
      </w:r>
      <w:r>
        <w:rPr>
          <w:rtl w:val="true"/>
        </w:rPr>
        <w:t>להערכת</w:t>
      </w:r>
      <w:r>
        <w:rPr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אשר הוגשה בהסכמת הצדדים בשלב הטיעונים לעונש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עלה כי המערער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ודה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פורמאלי</w:t>
      </w:r>
      <w:r>
        <w:rPr>
          <w:rtl w:val="true"/>
        </w:rPr>
        <w:t xml:space="preserve"> </w:t>
      </w:r>
      <w:r>
        <w:rPr>
          <w:rtl w:val="true"/>
        </w:rPr>
        <w:t>וחלקי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>ן ובמידת אחריותו לביצוען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 בחוות 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לשלול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משיכה</w:t>
      </w:r>
      <w:r>
        <w:rPr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 </w:t>
      </w:r>
      <w:r>
        <w:rPr>
          <w:rtl w:val="true"/>
        </w:rPr>
        <w:t>פדופילית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רמת</w:t>
      </w:r>
      <w:r>
        <w:rPr>
          <w:rtl w:val="true"/>
        </w:rPr>
        <w:t xml:space="preserve"> </w:t>
      </w:r>
      <w:r>
        <w:rPr>
          <w:rtl w:val="true"/>
        </w:rPr>
        <w:t>המסוכנות</w:t>
      </w:r>
      <w:r>
        <w:rPr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 xml:space="preserve"> </w:t>
      </w:r>
      <w:r>
        <w:rPr>
          <w:rtl w:val="true"/>
        </w:rPr>
        <w:t>הנשקפת</w:t>
      </w:r>
      <w:r>
        <w:rPr>
          <w:rtl w:val="true"/>
        </w:rPr>
        <w:t xml:space="preserve"> </w:t>
      </w:r>
      <w:r>
        <w:rPr>
          <w:rtl w:val="true"/>
        </w:rPr>
        <w:t>ממנו היא</w:t>
      </w:r>
      <w:r>
        <w:rPr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הכיר</w:t>
      </w:r>
      <w:r>
        <w:rPr>
          <w:rtl w:val="true"/>
        </w:rPr>
        <w:t xml:space="preserve"> </w:t>
      </w:r>
      <w:r>
        <w:rPr>
          <w:rtl w:val="true"/>
        </w:rPr>
        <w:t>בפגיעה</w:t>
      </w:r>
      <w:r>
        <w:rPr>
          <w:rtl w:val="true"/>
        </w:rPr>
        <w:t xml:space="preserve"> </w:t>
      </w:r>
      <w:r>
        <w:rPr>
          <w:rtl w:val="true"/>
        </w:rPr>
        <w:t>שנגרמה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>שלל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 </w:t>
      </w:r>
      <w:r>
        <w:rPr>
          <w:rtl w:val="true"/>
        </w:rPr>
        <w:t>לשילובו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 xml:space="preserve"> </w:t>
      </w:r>
      <w:r>
        <w:rPr>
          <w:rtl w:val="true"/>
        </w:rPr>
        <w:t>לעברייני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 </w:t>
      </w:r>
      <w:r>
        <w:rPr>
          <w:rtl w:val="true"/>
        </w:rPr>
        <w:t>בהתמכרותו</w:t>
      </w:r>
      <w:r>
        <w:rPr>
          <w:rtl w:val="true"/>
        </w:rPr>
        <w:t xml:space="preserve"> לסמים</w:t>
      </w:r>
      <w:r>
        <w:rPr>
          <w:rtl w:val="true"/>
        </w:rPr>
        <w:t xml:space="preserve">, </w:t>
      </w:r>
      <w:r>
        <w:rPr>
          <w:rtl w:val="true"/>
        </w:rPr>
        <w:t xml:space="preserve">המליץ שירות המבחן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מוחשית</w:t>
      </w:r>
      <w:r>
        <w:rPr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נפגעת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 הוגש אף הוא לבית המשפט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tl w:val="true"/>
        </w:rPr>
        <w:t xml:space="preserve"> </w:t>
      </w:r>
      <w:r>
        <w:rPr>
          <w:rtl w:val="true"/>
        </w:rPr>
        <w:t>ההשלכות</w:t>
      </w:r>
      <w:r>
        <w:rPr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ת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, </w:t>
      </w:r>
      <w:r>
        <w:rPr>
          <w:rtl w:val="true"/>
        </w:rPr>
        <w:t>משפחתיים</w:t>
      </w:r>
      <w:r>
        <w:rPr>
          <w:rtl w:val="true"/>
        </w:rPr>
        <w:t xml:space="preserve">, </w:t>
      </w:r>
      <w:r>
        <w:rPr>
          <w:rtl w:val="true"/>
        </w:rPr>
        <w:t>חברתיים</w:t>
      </w:r>
      <w:r>
        <w:rPr>
          <w:rtl w:val="true"/>
        </w:rPr>
        <w:t xml:space="preserve"> </w:t>
      </w:r>
      <w:r>
        <w:rPr>
          <w:rtl w:val="true"/>
        </w:rPr>
        <w:t>ולימודיים</w:t>
      </w:r>
      <w:r>
        <w:rPr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 בעקבות הפגיעה וחשיפתה</w:t>
      </w:r>
      <w:r>
        <w:rPr>
          <w:rtl w:val="true"/>
        </w:rPr>
        <w:t xml:space="preserve">. </w:t>
      </w:r>
      <w:r>
        <w:rPr>
          <w:rtl w:val="true"/>
        </w:rPr>
        <w:t xml:space="preserve">כן צוין כי המתלוננת זקוקה </w:t>
      </w:r>
      <w:r>
        <w:rPr>
          <w:rtl w:val="true"/>
        </w:rPr>
        <w:t>ל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טיפול מקצועי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לתפקד</w:t>
      </w:r>
      <w:r>
        <w:rPr>
          <w:rtl w:val="true"/>
        </w:rPr>
        <w:t xml:space="preserve"> </w:t>
      </w:r>
      <w:r>
        <w:rPr>
          <w:rtl w:val="true"/>
        </w:rPr>
        <w:t>בצורה</w:t>
      </w:r>
      <w:r>
        <w:rPr>
          <w:rtl w:val="true"/>
        </w:rPr>
        <w:t xml:space="preserve"> </w:t>
      </w:r>
      <w:r>
        <w:rPr>
          <w:rtl w:val="true"/>
        </w:rPr>
        <w:t>יציבה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תיאר בית משפט קמא את המעשים המיניים אשר בגינם הורשע המערער בעבירות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תוך שציין את גילה הצעיר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שהיתה בת </w:t>
      </w:r>
      <w:r>
        <w:rPr/>
        <w:t>11-9</w:t>
      </w:r>
      <w:r>
        <w:rPr>
          <w:rtl w:val="true"/>
        </w:rPr>
        <w:t xml:space="preserve"> </w:t>
      </w:r>
      <w:r>
        <w:rPr>
          <w:rtl w:val="true"/>
        </w:rPr>
        <w:t>שנים בלבד</w:t>
      </w:r>
      <w:r>
        <w:rPr>
          <w:rtl w:val="true"/>
        </w:rPr>
        <w:t xml:space="preserve"> בעת </w:t>
      </w:r>
      <w:r>
        <w:rPr>
          <w:rtl w:val="true"/>
        </w:rPr>
        <w:t>ביצוע המעשים</w:t>
      </w:r>
      <w:r>
        <w:rPr>
          <w:rtl w:val="true"/>
        </w:rPr>
        <w:t xml:space="preserve">, </w:t>
      </w:r>
      <w:r>
        <w:rPr>
          <w:rtl w:val="true"/>
        </w:rPr>
        <w:t>והדגיש את עובדת ניצול המפגשים עמה בעקבות פרידתו של המערער מאמהּ לצורך ביצוע העבירות במקומות שונים ובהזדמנויות שונות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בשלומה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בפרטיותה</w:t>
      </w:r>
      <w:r>
        <w:rPr>
          <w:rtl w:val="true"/>
        </w:rPr>
        <w:t xml:space="preserve">, </w:t>
      </w:r>
      <w:r>
        <w:rPr>
          <w:rtl w:val="true"/>
        </w:rPr>
        <w:t>בשלמות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בחינוכה</w:t>
      </w:r>
      <w:r>
        <w:rPr>
          <w:rtl w:val="true"/>
        </w:rPr>
        <w:t xml:space="preserve">, </w:t>
      </w:r>
      <w:r>
        <w:rPr>
          <w:rtl w:val="true"/>
        </w:rPr>
        <w:t>בתפיסתה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ובביטחונה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 xml:space="preserve">, </w:t>
      </w:r>
      <w:r>
        <w:rPr>
          <w:rtl w:val="true"/>
        </w:rPr>
        <w:t>כבגיר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וכאַב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למתחם העונש ההולם</w:t>
      </w:r>
      <w:r>
        <w:rPr>
          <w:rtl w:val="true"/>
        </w:rPr>
        <w:t xml:space="preserve">, </w:t>
      </w:r>
      <w:r>
        <w:rPr>
          <w:rtl w:val="true"/>
        </w:rPr>
        <w:t>קבע בית משפט קמא כי יש לראות את מסכת האירועים בכללותה כאירוע אחד מתמשך</w:t>
      </w:r>
      <w:r>
        <w:rPr>
          <w:rtl w:val="true"/>
        </w:rPr>
        <w:t xml:space="preserve">, </w:t>
      </w:r>
      <w:r>
        <w:rPr>
          <w:rtl w:val="true"/>
        </w:rPr>
        <w:t xml:space="preserve">תוך יישום ההוראות המתייחסות לריבוי עבירות כפי שהוגדרו </w:t>
      </w:r>
      <w:hyperlink r:id="rId1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tl w:val="true"/>
        </w:rPr>
        <w:t xml:space="preserve"> 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זאת בשל אופיים </w:t>
      </w:r>
      <w:r>
        <w:rPr>
          <w:rtl w:val="true"/>
        </w:rPr>
        <w:t>הדומה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 xml:space="preserve"> </w:t>
      </w:r>
      <w:r>
        <w:rPr>
          <w:rtl w:val="true"/>
        </w:rPr>
        <w:t>נסיבותיהם</w:t>
      </w:r>
      <w:r>
        <w:rPr>
          <w:rtl w:val="true"/>
        </w:rPr>
        <w:t xml:space="preserve">, </w:t>
      </w:r>
      <w:r>
        <w:rPr>
          <w:rtl w:val="true"/>
        </w:rPr>
        <w:t>ול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הזיקה ההדוקה שבין אירוע אחד למשנהו</w:t>
      </w:r>
      <w:r>
        <w:rPr>
          <w:rtl w:val="true"/>
        </w:rPr>
        <w:t xml:space="preserve">. </w:t>
      </w:r>
      <w:r>
        <w:rPr>
          <w:rtl w:val="true"/>
        </w:rPr>
        <w:t xml:space="preserve">לצד זאת נקבע כי יש ליתן משקל לכך </w:t>
      </w:r>
      <w:r>
        <w:rPr>
          <w:rtl w:val="true"/>
        </w:rPr>
        <w:t>"</w:t>
      </w:r>
      <w:r>
        <w:rPr>
          <w:rtl w:val="true"/>
        </w:rPr>
        <w:t>שעסקינן באירוע אחד הכולל מספר רב של מעשים במשך תקופה ממושכת</w:t>
      </w:r>
      <w:r>
        <w:rPr>
          <w:rtl w:val="true"/>
        </w:rPr>
        <w:t xml:space="preserve">".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בהתייחס לנסיבות הקשורות בביצוע העבירות צוין כי יש להתחשב בעובדה שמדובר במסכת אירועים ארוכת טווח</w:t>
      </w:r>
      <w:r>
        <w:rPr>
          <w:rtl w:val="true"/>
        </w:rPr>
        <w:t xml:space="preserve">, </w:t>
      </w:r>
      <w:r>
        <w:rPr>
          <w:rtl w:val="true"/>
        </w:rPr>
        <w:t>אשר בוצעו במספר רב של הזדמנויות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וכאמור תוך שהמערער מנצל את המפגשים עם המתלוננת ואת כמיהתה לקיים עמו קשר לצרכיו המיניים</w:t>
      </w:r>
      <w:r>
        <w:rPr>
          <w:rtl w:val="true"/>
        </w:rPr>
        <w:t xml:space="preserve">. </w:t>
      </w:r>
      <w:r>
        <w:rPr>
          <w:rtl w:val="true"/>
        </w:rPr>
        <w:t>כן צוין כי למערער היו מספר רב של הזדמנויות לעצור את המעשים</w:t>
      </w:r>
      <w:r>
        <w:rPr>
          <w:rtl w:val="true"/>
        </w:rPr>
        <w:t xml:space="preserve">, </w:t>
      </w:r>
      <w:r>
        <w:rPr>
          <w:rtl w:val="true"/>
        </w:rPr>
        <w:t>אך הוא המשיך לתכננם ולבצעם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 Unicode MS" w:hAnsi="Arial TUR;Arial Unicode MS" w:cs="Arial TUR;Arial Unicode MS"/>
          <w:sz w:val="22"/>
        </w:rPr>
      </w:pPr>
      <w:r>
        <w:rPr>
          <w:rFonts w:cs="Arial TUR;Arial Unicode MS" w:ascii="Arial TUR;Arial Unicode MS" w:hAnsi="Arial TUR;Arial Unicode MS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 Unicode MS" w:ascii="Arial TUR;Arial Unicode MS" w:hAnsi="Arial TUR;Arial Unicode MS"/>
          <w:sz w:val="22"/>
          <w:rtl w:val="true"/>
        </w:rPr>
        <w:tab/>
      </w:r>
      <w:r>
        <w:rPr>
          <w:rFonts w:ascii="Arial TUR;Arial Unicode MS" w:hAnsi="Arial TUR;Arial Unicode MS" w:cs="Arial TUR;Arial Unicode MS"/>
          <w:sz w:val="22"/>
          <w:sz w:val="22"/>
          <w:rtl w:val="true"/>
        </w:rPr>
        <w:t xml:space="preserve">חומרה יתירה ייחס בית המשפט </w:t>
      </w:r>
      <w:r>
        <w:rPr>
          <w:rtl w:val="true"/>
        </w:rPr>
        <w:t xml:space="preserve">לכך שהמערער ניסה לשדל את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להיענות לנסיונותיו לבצע בה מעשי סדום באמצעות מתנות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ולכך שצילם אותה עושה 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ובכך </w:t>
      </w:r>
      <w:r>
        <w:rPr>
          <w:rtl w:val="true"/>
        </w:rPr>
        <w:t>"</w:t>
      </w:r>
      <w:r>
        <w:rPr>
          <w:rtl w:val="true"/>
        </w:rPr>
        <w:t>הוסיף ממד נוסף של השפלה ופגיעה בפרטיות למעשים החמורים ממילא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והמתמשך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שסקר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קבע בית המשפט כי בהתחשב במהות וריבוי המעשים</w:t>
      </w:r>
      <w:r>
        <w:rPr>
          <w:rtl w:val="true"/>
        </w:rPr>
        <w:t xml:space="preserve">; </w:t>
      </w:r>
      <w:r>
        <w:rPr>
          <w:rtl w:val="true"/>
        </w:rPr>
        <w:t>בערכים החברתיים שנפגעו מביצוע העבירות</w:t>
      </w:r>
      <w:r>
        <w:rPr>
          <w:rtl w:val="true"/>
        </w:rPr>
        <w:t xml:space="preserve">; </w:t>
      </w:r>
      <w:r>
        <w:rPr>
          <w:rtl w:val="true"/>
        </w:rPr>
        <w:t>במידת הפגיעה בערכים אלה</w:t>
      </w:r>
      <w:r>
        <w:rPr>
          <w:rtl w:val="true"/>
        </w:rPr>
        <w:t xml:space="preserve">; </w:t>
      </w:r>
      <w:r>
        <w:rPr>
          <w:rtl w:val="true"/>
        </w:rPr>
        <w:t>ובנסיבות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מתחם הענישה ההולם נע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שפורטו השיקולים הרלוונטיים בטרם גזירת הדין</w:t>
      </w:r>
      <w:r>
        <w:rPr>
          <w:rtl w:val="true"/>
        </w:rPr>
        <w:t xml:space="preserve">, </w:t>
      </w:r>
      <w:r>
        <w:rPr>
          <w:rtl w:val="true"/>
        </w:rPr>
        <w:t>ובכלל זה שיקולי שיקום והרתעה</w:t>
      </w:r>
      <w:r>
        <w:rPr>
          <w:rtl w:val="true"/>
        </w:rPr>
        <w:t xml:space="preserve">; </w:t>
      </w:r>
      <w:r>
        <w:rPr>
          <w:rtl w:val="true"/>
        </w:rPr>
        <w:t>הודאת המערער</w:t>
      </w:r>
      <w:r>
        <w:rPr>
          <w:rtl w:val="true"/>
        </w:rPr>
        <w:t xml:space="preserve">, </w:t>
      </w:r>
      <w:r>
        <w:rPr>
          <w:rtl w:val="true"/>
        </w:rPr>
        <w:t>אשר בעטיהּ נחסכה עדותה של המתלוננת בבית המשפט</w:t>
      </w:r>
      <w:r>
        <w:rPr>
          <w:rtl w:val="true"/>
        </w:rPr>
        <w:t xml:space="preserve">; </w:t>
      </w:r>
      <w:r>
        <w:rPr>
          <w:rtl w:val="true"/>
        </w:rPr>
        <w:t>וכן חלוף הזמן מביצוע העבירה</w:t>
      </w:r>
      <w:r>
        <w:rPr>
          <w:rtl w:val="true"/>
        </w:rPr>
        <w:t xml:space="preserve">, </w:t>
      </w:r>
      <w:r>
        <w:rPr>
          <w:rtl w:val="true"/>
        </w:rPr>
        <w:t>גזר בית משפט קמא על המערער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ועונשים נלווים</w:t>
      </w:r>
      <w:r>
        <w:rPr>
          <w:rtl w:val="true"/>
        </w:rPr>
        <w:t xml:space="preserve">, </w:t>
      </w:r>
      <w:r>
        <w:rPr>
          <w:rtl w:val="true"/>
        </w:rPr>
        <w:t xml:space="preserve">כמפורט בפסקה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הן מתחם הענישה שנקבע בעניינו הן עונש המאסר שהוטל עליו בתוך המתחם סוטים לחומרא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וזאת מבלי שניתן משקל ראוי לנסיבות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אשר לשיטתו תומכות בעונש קל יותר מזה שנגזר עליו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למתחם העונש שנקבע</w:t>
      </w:r>
      <w:r>
        <w:rPr>
          <w:rtl w:val="true"/>
        </w:rPr>
        <w:t xml:space="preserve">, </w:t>
      </w:r>
      <w:r>
        <w:rPr>
          <w:rtl w:val="true"/>
        </w:rPr>
        <w:t xml:space="preserve">טען המערער כי שגה בית משפט קמא כשמיקם את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 xml:space="preserve">ביצוע עבירת מעשה הסדום 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מדרג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", </w:t>
      </w:r>
      <w:r>
        <w:rPr>
          <w:rtl w:val="true"/>
        </w:rPr>
        <w:t>וכי היה עליו ליתן משקל לקולא לעובדה שלא הופעל כוח במהלך ביצוע המעשים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 xml:space="preserve">נטען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 xml:space="preserve">בכך </w:t>
      </w:r>
      <w:r>
        <w:rPr>
          <w:rtl w:val="true"/>
        </w:rPr>
        <w:t>שנתן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לשיטתו</w:t>
      </w:r>
      <w:r>
        <w:rPr>
          <w:rtl w:val="true"/>
        </w:rPr>
        <w:t>, "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מהנזק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 למתלוננת</w:t>
      </w:r>
      <w:r>
        <w:rPr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 </w:t>
      </w:r>
      <w:r>
        <w:rPr>
          <w:rtl w:val="true"/>
        </w:rPr>
        <w:t>בהשפעות שהיו למות אמה כשנתיים לאחר ביצוע 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לא היה מקום לשקול את ניצולו של המערער את </w:t>
      </w:r>
      <w:r>
        <w:rPr>
          <w:rtl w:val="true"/>
        </w:rPr>
        <w:t>"</w:t>
      </w:r>
      <w:r>
        <w:rPr>
          <w:rtl w:val="true"/>
        </w:rPr>
        <w:t>כמיהתה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 </w:t>
      </w:r>
      <w:r>
        <w:rPr>
          <w:rtl w:val="true"/>
        </w:rPr>
        <w:t xml:space="preserve">עמו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שנפרד</w:t>
      </w:r>
      <w:r>
        <w:rPr>
          <w:rtl w:val="true"/>
        </w:rPr>
        <w:t xml:space="preserve"> </w:t>
      </w:r>
      <w:r>
        <w:rPr>
          <w:rtl w:val="true"/>
        </w:rPr>
        <w:t>מאמה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כנסיבה לחומרא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קביעה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ומכיוון ש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כמיהה</w:t>
      </w:r>
      <w:r>
        <w:rPr>
          <w:rtl w:val="true"/>
        </w:rPr>
        <w:t xml:space="preserve">", </w:t>
      </w:r>
      <w:r>
        <w:rPr>
          <w:rtl w:val="true"/>
        </w:rPr>
        <w:t>הנובעת</w:t>
      </w:r>
      <w:r>
        <w:rPr>
          <w:rtl w:val="true"/>
        </w:rPr>
        <w:t xml:space="preserve"> </w:t>
      </w:r>
      <w:r>
        <w:rPr>
          <w:rtl w:val="true"/>
        </w:rPr>
        <w:t>מהקשר</w:t>
      </w:r>
      <w:r>
        <w:rPr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 </w:t>
      </w:r>
      <w:r>
        <w:rPr>
          <w:rtl w:val="true"/>
        </w:rPr>
        <w:t>מנסיבות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ואינה מהווה נסיבה ייחודית למקרה הנדון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הוסיף וטען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החמיר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בתוך המתחם</w:t>
      </w:r>
      <w:r>
        <w:rPr>
          <w:rtl w:val="true"/>
        </w:rPr>
        <w:t xml:space="preserve">, </w:t>
      </w:r>
      <w:r>
        <w:rPr>
          <w:rtl w:val="true"/>
        </w:rPr>
        <w:t>תוך ש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ייחס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>יו</w:t>
      </w:r>
      <w:r>
        <w:rPr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בכלל</w:t>
      </w:r>
      <w:r>
        <w:rPr>
          <w:rtl w:val="true"/>
        </w:rPr>
        <w:t xml:space="preserve">ן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; </w:t>
      </w:r>
      <w:r>
        <w:rPr>
          <w:rtl w:val="true"/>
        </w:rPr>
        <w:t>פרק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הממוש</w:t>
      </w:r>
      <w:r>
        <w:rPr>
          <w:rtl w:val="true"/>
        </w:rPr>
        <w:t>ך</w:t>
      </w:r>
      <w:r>
        <w:rPr>
          <w:rtl w:val="true"/>
        </w:rPr>
        <w:t xml:space="preserve"> </w:t>
      </w:r>
      <w:r>
        <w:rPr>
          <w:rtl w:val="true"/>
        </w:rPr>
        <w:t>שחל</w:t>
      </w:r>
      <w:r>
        <w:rPr>
          <w:rtl w:val="true"/>
        </w:rPr>
        <w:t>ף</w:t>
      </w:r>
      <w:r>
        <w:rPr>
          <w:rtl w:val="true"/>
        </w:rPr>
        <w:t xml:space="preserve"> </w:t>
      </w:r>
      <w:r>
        <w:rPr>
          <w:rtl w:val="true"/>
        </w:rPr>
        <w:t>ממועד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להרשעת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שיתוף</w:t>
      </w:r>
      <w:r>
        <w:rPr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 של המערער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 </w:t>
      </w:r>
      <w:r>
        <w:rPr>
          <w:rtl w:val="true"/>
        </w:rPr>
        <w:t>אכיפת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מתחשב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ובפועל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סבורה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בתוך כך מדגישה המשיבה את מספרן הרב של עבירות המין שבהן הורשע המערער</w:t>
      </w:r>
      <w:r>
        <w:rPr>
          <w:rtl w:val="true"/>
        </w:rPr>
        <w:t xml:space="preserve">, </w:t>
      </w:r>
      <w:r>
        <w:rPr>
          <w:rtl w:val="true"/>
        </w:rPr>
        <w:t>ובכלל זה הרשעתו בעבירה של מעשה סדום</w:t>
      </w:r>
      <w:r>
        <w:rPr>
          <w:rtl w:val="true"/>
        </w:rPr>
        <w:t xml:space="preserve">. </w:t>
      </w:r>
      <w:r>
        <w:rPr>
          <w:rtl w:val="true"/>
        </w:rPr>
        <w:t>כמו כן עמדה המשיבה על השלכותיה הקשות של הפגיעה המינית במתלוננת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להשגותיו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חויב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שהחוב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נפרס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>הוכנו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 </w:t>
      </w:r>
      <w:r>
        <w:rPr>
          <w:rtl w:val="true"/>
        </w:rPr>
        <w:t>מטעם שירות המבחן למבוגרים ו</w:t>
      </w:r>
      <w:r>
        <w:rPr>
          <w:rtl w:val="true"/>
        </w:rPr>
        <w:t>חוות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משלימה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 </w:t>
      </w:r>
      <w:r>
        <w:rPr>
          <w:rtl w:val="true"/>
        </w:rPr>
        <w:t>להערכת</w:t>
      </w:r>
      <w:r>
        <w:rPr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בולטים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ו</w:t>
      </w:r>
      <w:r>
        <w:rPr>
          <w:rtl w:val="true"/>
        </w:rPr>
        <w:t>רמים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סביבתיים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אמביוולנטית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להשתלבותו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בהתמכרות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חינוכית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מחוות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דחפים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מוגברים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ובנטיה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פורצת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חסרת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ופוגענית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הפוגעניות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 Unicode MS" w:hAnsi="Arial TUR;Arial Unicode MS" w:cs="Arial TUR;Arial Unicode MS"/>
          <w:b/>
          <w:spacing w:val="0"/>
          <w:sz w:val="22"/>
          <w:szCs w:val="24"/>
        </w:rPr>
      </w:pPr>
      <w:r>
        <w:rPr>
          <w:rFonts w:cs="Arial TUR;Arial Unicode MS" w:ascii="Arial TUR;Arial Unicode MS" w:hAnsi="Arial TUR;Arial Unicode MS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 Unicode MS" w:hAnsi="Arial TUR;Arial Unicode MS" w:cs="Arial TUR;Arial Unicode MS"/>
          <w:sz w:val="22"/>
        </w:rPr>
      </w:pPr>
      <w:r>
        <w:rPr>
          <w:rFonts w:cs="Arial TUR;Arial Unicode MS" w:ascii="Arial TUR;Arial Unicode MS" w:hAnsi="Arial TUR;Arial Unicode MS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מתערבת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24.4.2018</w:t>
      </w:r>
      <w:r>
        <w:rPr>
          <w:rtl w:val="true"/>
        </w:rPr>
        <w:t xml:space="preserve">)). </w:t>
      </w:r>
      <w:r>
        <w:rPr>
          <w:rtl w:val="true"/>
        </w:rPr>
        <w:t>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החריגים</w:t>
      </w:r>
      <w:r>
        <w:rPr>
          <w:rtl w:val="true"/>
        </w:rPr>
        <w:t xml:space="preserve"> </w:t>
      </w:r>
      <w:r>
        <w:rPr>
          <w:rtl w:val="true"/>
        </w:rPr>
        <w:t>המצדיקים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 xml:space="preserve">לא אחת על החומרה שיש לראות בעבירות </w:t>
      </w:r>
      <w:r>
        <w:rPr>
          <w:rtl w:val="true"/>
        </w:rPr>
        <w:t>מין</w:t>
      </w:r>
      <w:r>
        <w:rPr>
          <w:rtl w:val="true"/>
        </w:rPr>
        <w:t xml:space="preserve"> בכלל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 בפרט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 </w:t>
      </w:r>
      <w:r>
        <w:rPr>
          <w:rtl w:val="true"/>
        </w:rPr>
        <w:t>לבטא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 xml:space="preserve">הסלידה </w:t>
      </w:r>
      <w:r>
        <w:rPr>
          <w:rtl w:val="true"/>
        </w:rPr>
        <w:t>ממעשים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29.4.2018</w:t>
      </w:r>
      <w:r>
        <w:rPr>
          <w:rtl w:val="true"/>
        </w:rPr>
        <w:t xml:space="preserve">)).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 </w:t>
      </w:r>
      <w:r>
        <w:rPr>
          <w:rtl w:val="true"/>
        </w:rPr>
        <w:t>שבעתיים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מופרת ה</w:t>
      </w:r>
      <w:r>
        <w:rPr>
          <w:rtl w:val="true"/>
        </w:rPr>
        <w:t>מחויבות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מוסרית</w:t>
      </w:r>
      <w:r>
        <w:rPr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שלומם</w:t>
      </w:r>
      <w:r>
        <w:rPr>
          <w:rtl w:val="true"/>
        </w:rPr>
        <w:t xml:space="preserve"> </w:t>
      </w:r>
      <w:r>
        <w:rPr>
          <w:rtl w:val="true"/>
        </w:rPr>
        <w:t>הגופני</w:t>
      </w:r>
      <w:r>
        <w:rPr>
          <w:rtl w:val="true"/>
        </w:rPr>
        <w:t xml:space="preserve"> והנפשי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 </w:t>
      </w:r>
      <w:r>
        <w:rPr>
          <w:rtl w:val="true"/>
        </w:rPr>
        <w:t>למרותו</w:t>
      </w:r>
      <w:r>
        <w:rPr>
          <w:rtl w:val="true"/>
        </w:rPr>
        <w:t xml:space="preserve"> של עבריין המין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 </w:t>
      </w:r>
      <w:r>
        <w:rPr>
          <w:rtl w:val="true"/>
        </w:rPr>
        <w:t>ומימוש</w:t>
      </w:r>
      <w:r>
        <w:rPr>
          <w:rtl w:val="true"/>
        </w:rPr>
        <w:t xml:space="preserve"> </w:t>
      </w:r>
      <w:r>
        <w:rPr>
          <w:rtl w:val="true"/>
        </w:rPr>
        <w:t>גחמותיו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בבנותיו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חומרתם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מתעצמת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המצומצם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מבצרן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שישמש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כמקום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הבטוח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אדמות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עבורן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שאביהן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יגונן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כחומת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שבחוץ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אויבן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מפניו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ולהתגונן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פגיעותיו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החוזרות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ונשנות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אנושה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הטבעי</w:t>
      </w:r>
      <w:r>
        <w:rPr>
          <w:rtl w:val="true"/>
        </w:rPr>
        <w:t xml:space="preserve">, </w:t>
      </w:r>
      <w:r>
        <w:rPr>
          <w:rtl w:val="true"/>
        </w:rPr>
        <w:t>הפשוט</w:t>
      </w:r>
      <w:r>
        <w:rPr>
          <w:rtl w:val="true"/>
        </w:rPr>
        <w:t xml:space="preserve">, </w:t>
      </w:r>
      <w:r>
        <w:rPr>
          <w:rtl w:val="true"/>
        </w:rPr>
        <w:t>שנתנו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שספק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לתקון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9058/16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(‏</w:t>
      </w:r>
      <w:r>
        <w:rPr/>
        <w:t>7.3.2018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. </w:t>
      </w:r>
      <w:r>
        <w:rPr>
          <w:rtl w:val="true"/>
        </w:rPr>
        <w:t>במסכת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המחושבת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והמתוכננת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במעמדו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ההורי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ובתלותה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המוחלטת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לגונן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ולשמש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ביקוריו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אמהּ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ביקוריה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גחמותיו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הונחו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ובפנינו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כאבה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ופחדה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מדבריה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ולהתערבות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לטובתה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שאמרה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יקחו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השקט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שנתנו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ונסיבותיהם</w:t>
      </w:r>
      <w:r>
        <w:rPr>
          <w:rtl w:val="true"/>
        </w:rPr>
        <w:t xml:space="preserve">, </w:t>
      </w:r>
      <w:r>
        <w:rPr>
          <w:rtl w:val="true"/>
        </w:rPr>
        <w:t>אנו סבורים כי אף אם העונש שנגזר על המערער נוטה</w:t>
      </w:r>
      <w:r>
        <w:rPr>
          <w:rtl w:val="true"/>
        </w:rPr>
        <w:t xml:space="preserve">, </w:t>
      </w:r>
      <w:r>
        <w:rPr>
          <w:rtl w:val="true"/>
        </w:rPr>
        <w:t>במידת מה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אין בו כדי סטייה מהותית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 </w:t>
      </w:r>
      <w:r>
        <w:rPr>
          <w:rtl w:val="true"/>
        </w:rPr>
        <w:t>בשיקול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המסור</w:t>
      </w:r>
      <w:r>
        <w:rPr>
          <w:rtl w:val="true"/>
        </w:rPr>
        <w:t xml:space="preserve"> </w:t>
      </w:r>
      <w:r>
        <w:rPr>
          <w:rtl w:val="true"/>
        </w:rPr>
        <w:t>לערכאה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כמו כן נתנו דעתנו לפיצוי הכספי אשר נפסק לטובת המתלוננת</w:t>
      </w:r>
      <w:r>
        <w:rPr>
          <w:rtl w:val="true"/>
        </w:rPr>
        <w:t xml:space="preserve">, </w:t>
      </w:r>
      <w:r>
        <w:rPr>
          <w:rtl w:val="true"/>
        </w:rPr>
        <w:t>ולא מצאנו כי יש להתערב 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(‏</w:t>
      </w:r>
      <w:r>
        <w:rPr/>
        <w:t>24.7.2018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17060980</w:t>
      </w:r>
      <w:r>
        <w:rPr>
          <w:sz w:val="16"/>
          <w:rtl w:val="true"/>
        </w:rPr>
        <w:t>_</w:t>
      </w:r>
      <w:r>
        <w:rPr>
          <w:sz w:val="16"/>
        </w:rPr>
        <w:t>J04.doc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54678313-6098/17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6098/17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771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51.a" TargetMode="External"/><Relationship Id="rId9" Type="http://schemas.openxmlformats.org/officeDocument/2006/relationships/hyperlink" Target="http://www.nevo.co.il/law/70301/351.c.2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351.a" TargetMode="External"/><Relationship Id="rId12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51.c.2" TargetMode="External"/><Relationship Id="rId16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3507449" TargetMode="External"/><Relationship Id="rId22" Type="http://schemas.openxmlformats.org/officeDocument/2006/relationships/hyperlink" Target="http://www.nevo.co.il/case/24140772" TargetMode="External"/><Relationship Id="rId23" Type="http://schemas.openxmlformats.org/officeDocument/2006/relationships/hyperlink" Target="http://www.nevo.co.il/case/23613030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2018-07-26T11:55:00Z</dcterms:created>
  <dc:creator> </dc:creator>
  <dc:description/>
  <cp:keywords/>
  <dc:language>en-IL</dc:language>
  <cp:lastModifiedBy>orly</cp:lastModifiedBy>
  <cp:lastPrinted>2018-07-22T18:39:00Z</cp:lastPrinted>
  <dcterms:modified xsi:type="dcterms:W3CDTF">2018-07-26T11:55:00Z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ישראל;המתלוננת ד'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21777121;23507449;24140772;23613030</vt:lpwstr>
  </property>
  <property fmtid="{D5CDD505-2E9C-101B-9397-08002B2CF9AE}" pid="9" name="CITY">
    <vt:lpwstr/>
  </property>
  <property fmtid="{D5CDD505-2E9C-101B-9397-08002B2CF9AE}" pid="10" name="DATE">
    <vt:lpwstr>20180724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עמית;י' אלרון;ח' מלצר</vt:lpwstr>
  </property>
  <property fmtid="{D5CDD505-2E9C-101B-9397-08002B2CF9AE}" pid="14" name="LAWLISTTMP1">
    <vt:lpwstr>70301/351.a;347.b;345.a.1:2;351.c.2;348.b;345.b.1;40jc</vt:lpwstr>
  </property>
  <property fmtid="{D5CDD505-2E9C-101B-9397-08002B2CF9AE}" pid="15" name="LAWYER">
    <vt:lpwstr>נגה בן סידי;יאיר נדשי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מדיניות ענישה: עבירות מין במשפחה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17039;16970;16241</vt:lpwstr>
  </property>
  <property fmtid="{D5CDD505-2E9C-101B-9397-08002B2CF9AE}" pid="59" name="PADIDATE">
    <vt:lpwstr>20180725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6098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410120180724</vt:lpwstr>
  </property>
  <property fmtid="{D5CDD505-2E9C-101B-9397-08002B2CF9AE}" pid="69" name="TYPE_N_DATE">
    <vt:lpwstr>41020180724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