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6122/19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6"/>
          <w:szCs w:val="22"/>
        </w:rPr>
      </w:pPr>
      <w:r>
        <w:rPr>
          <w:rFonts w:cs="Miriam"/>
          <w:b/>
          <w:bCs/>
          <w:sz w:val="16"/>
          <w:szCs w:val="2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</w:r>
      <w:r>
        <w:rPr>
          <w:rtl w:val="true"/>
        </w:rPr>
        <w:t xml:space="preserve">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5.8.2019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רובין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52291-03-18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30.12.2019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הדיה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חתוקה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40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3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348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348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בשיטתנו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ערכו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ואינטרסים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שיפוטית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אחים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בפירוט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שבביצועם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ואשר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התגייס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ורצון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מקפיד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למפגשים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הקבוצתיים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להשתתף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ולקחת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והדרגתי</w:t>
      </w:r>
      <w:r>
        <w:rPr>
          <w:rFonts w:cs="FrankRuehl"/>
          <w:sz w:val="24"/>
          <w:szCs w:val="26"/>
          <w:rtl w:val="true"/>
        </w:rPr>
        <w:t xml:space="preserve">";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עיסוק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בזהותו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ובמשמעותה</w:t>
      </w:r>
      <w:r>
        <w:rPr>
          <w:rFonts w:cs="FrankRuehl"/>
          <w:sz w:val="24"/>
          <w:szCs w:val="26"/>
          <w:rtl w:val="true"/>
        </w:rPr>
        <w:t xml:space="preserve">";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זקוק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טווח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המסוכנות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בינונית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ייאמר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המקצועי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הבוחן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מגבש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ערכו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ואינטרסים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שיפוטית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האחרונה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בביטחונם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זכותם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לאוטונומיה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וזכותם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ונפשם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שהמתלוננים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כבן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בשיטתנו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והירתמותו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מאמצי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לפסוע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  <w:bookmarkStart w:id="16" w:name="Start_Write"/>
      <w:bookmarkEnd w:id="16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5.8.2019</w:t>
      </w:r>
      <w:r>
        <w:rPr>
          <w:rtl w:val="true"/>
        </w:rPr>
        <w:t xml:space="preserve"> (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רובין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52291-03-18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tl w:val="true"/>
        </w:rPr>
        <w:t xml:space="preserve">), </w:t>
      </w:r>
      <w:r>
        <w:rPr>
          <w:rtl w:val="true"/>
        </w:rPr>
        <w:t>שבמסגרתו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30.4.2018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;Arial" w:cs="Arial TUR;Arial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חונך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eastAsia="Arial TUR;Arial" w:cs="Arial TUR;Arial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ולאחותו</w:t>
      </w:r>
      <w:r>
        <w:rPr>
          <w:rtl w:val="true"/>
        </w:rPr>
        <w:t xml:space="preserve">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אפריל</w:t>
      </w:r>
      <w:r>
        <w:rPr>
          <w:rFonts w:eastAsia="Arial TUR;Arial" w:cs="Arial TUR;Arial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המתלוננים</w:t>
      </w:r>
      <w:r>
        <w:rPr>
          <w:rtl w:val="true"/>
        </w:rPr>
        <w:t xml:space="preserve">).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טבריה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בישיבה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, </w:t>
      </w:r>
      <w:r>
        <w:rPr>
          <w:rtl w:val="true"/>
        </w:rPr>
        <w:t>ובאחד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מיטתו</w:t>
      </w:r>
      <w:r>
        <w:rPr>
          <w:rtl w:val="true"/>
        </w:rPr>
        <w:t xml:space="preserve">,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ובישבנו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למכנסי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קפוא</w:t>
      </w:r>
      <w:r>
        <w:rPr>
          <w:rtl w:val="true"/>
        </w:rPr>
        <w:t xml:space="preserve">"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ניע</w:t>
      </w:r>
      <w:r>
        <w:rPr>
          <w:rtl w:val="true"/>
        </w:rPr>
        <w:t xml:space="preserve">. 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משחק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ובמפשעתה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5.8.2019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;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; </w:t>
      </w:r>
      <w:r>
        <w:rPr>
          <w:rtl w:val="true"/>
        </w:rPr>
        <w:t>ובתסקיר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הומלץ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וסיטואציות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חותמם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), </w:t>
      </w:r>
      <w:r>
        <w:rPr>
          <w:rtl w:val="true"/>
        </w:rPr>
        <w:t>אישיותו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בשלה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.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36-10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ההולמים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בחפיפה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).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Fonts w:ascii="Century" w:hAnsi="Century" w:cs="Century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שלפיהם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חורגת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 xml:space="preserve">;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;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tl w:val="true"/>
        </w:rPr>
        <w:t xml:space="preserve">;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חינוך</w:t>
      </w:r>
      <w:r>
        <w:rPr>
          <w:rtl w:val="true"/>
        </w:rPr>
        <w:t xml:space="preserve">, </w:t>
      </w:r>
      <w:r>
        <w:rPr>
          <w:rtl w:val="true"/>
        </w:rPr>
        <w:t>מתמודד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נפשיות</w:t>
      </w:r>
      <w:r>
        <w:rPr>
          <w:rtl w:val="true"/>
        </w:rPr>
        <w:t xml:space="preserve">, </w:t>
      </w:r>
      <w:r>
        <w:rPr>
          <w:rtl w:val="true"/>
        </w:rPr>
        <w:t>מתוסכל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ומדוכא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הסוציאלית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ברכה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ללכת</w:t>
      </w:r>
      <w:r>
        <w:rPr>
          <w:rtl w:val="true"/>
        </w:rPr>
        <w:t xml:space="preserve">".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נספחיה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ומשהוספנו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והיטינו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ייעשה</w:t>
      </w:r>
      <w:r>
        <w:rPr>
          <w:rtl w:val="true"/>
        </w:rPr>
        <w:t xml:space="preserve">.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18.7.2019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15.1.2019</w:t>
      </w:r>
      <w:r>
        <w:rPr>
          <w:rtl w:val="true"/>
        </w:rPr>
        <w:t xml:space="preserve">)); </w:t>
      </w:r>
      <w:r>
        <w:rPr>
          <w:rtl w:val="true"/>
        </w:rPr>
        <w:t>והמקרה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tl w:val="true"/>
        </w:rPr>
        <w:t>נבאר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לטענתו של המערער שלפיה בית המשפט המחוזי סטה ממדיניות הענישה הנוהגת בכל הנוגע לאישום הראשון שעה שקבע כי העונש ההולם בעניינו לא יפחת 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בפועל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בית המשפט המחוזי סקר בפירוט את מדיניות הענישה במעשים שבביצועם הורשע המערער במסגרת האישום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מצאנו יסוד לשנות מקביעתו בעניין זה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ויצוין כי בית משפט זה עמד לא אחת על החומרה הרבה הכרוכה בביצוען של עבירות מין שמבוצעות בקטינים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שמצדיקה ככלל השתת עונשי מאסר משמעותיים ומרתיעים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: 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8377/18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31.7.2019</w:t>
      </w:r>
      <w:r>
        <w:rPr>
          <w:rFonts w:cs="Century" w:ascii="Century" w:hAnsi="Century"/>
          <w:rtl w:val="true"/>
        </w:rPr>
        <w:t xml:space="preserve">); 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1229/19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סלומינסקי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1.7.2019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ועתה לטענתו המרכזית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שומה היה על בית המשפט המחוזי לסטות לקולה ממתחם העונש שנקבע בעניינו וזאת לנוכח הליך השיקום שבו החל ושעודנו מצוי בעיצומו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תסקיר שירות המבחן העדכני בעניינו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זה האחרון שהוצג לפני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חיובי וטומן בחובו המלצה שלפיה יש להשית על המערער עונש מאסר שירוצה בדרך של עבודות שירות לצד הטלת צו 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למקרא התסקיר עולה כי המערער התגייס להליך הטיפולי מתוך תחושה עמוקה של חרטה ומתוך רצון כן לתקן את דרכיו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ובתוך כך הוא מקפיד להגיע למפגשים הקבוצתיים מזה תקופה ואף מרבה להשתתף ולקחת חלק פעיל בהם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התסקיר עומד על כך שמדובר בתהליך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והדרגתי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כי המערער עודנו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עיסוק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בזהותו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המינית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ובמשמעותה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וכי לנוכח רמת מסוכנותו הוא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זקוק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טווח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בעניין אחרון זה צוין גם בתסקיר הערכת המסוכנות העדכני בעניינו של המערער כי רמת המסוכנות הנשקפת ממנו עודנה בינונית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גבוהה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בהינתן כל האמור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ובתוך כך בהתחשב בחומרת מעשיו של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איננו סבורים כי המערער עמד בנטל להראות כי קיימת הצדקה לסטות לקולה ממתחם העונש ההולם בעניינו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והשוו</w:t>
      </w:r>
      <w:r>
        <w:rPr>
          <w:rFonts w:cs="Century" w:ascii="Century" w:hAnsi="Century"/>
          <w:rtl w:val="true"/>
        </w:rPr>
        <w:t xml:space="preserve">: 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9036/18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27.1.2020</w:t>
      </w:r>
      <w:r>
        <w:rPr>
          <w:rFonts w:cs="Century" w:ascii="Century" w:hAnsi="Century"/>
          <w:rtl w:val="true"/>
        </w:rPr>
        <w:t xml:space="preserve">); </w:t>
      </w:r>
      <w:hyperlink r:id="rId18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319/17</w:t>
        </w:r>
        <w:r>
          <w:rPr>
            <w:rStyle w:val="Hyperlink"/>
            <w:rFonts w:cs="Century" w:ascii="Century" w:hAnsi="Century"/>
            <w:rtl w:val="true"/>
          </w:rPr>
          <w:t xml:space="preserve"> 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19.7.2018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עוד ייאמר בהקשר זה כי שירות המבחן הוא אמנם הגורם המקצועי הבוחן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מסוכנותו של נאשם ואת הפוטנציאל השיקומי ולבסוף אף מגבש המלצה בכל הנוגע לעונשו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ערכו של התסקיר 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המלצה כשמה כן היא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שאמון על שיקולים ואינטרסים רחבים יותר מצווה לבחון את האמור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עין שיפוטית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ולו מסורה המילה האחרונה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: 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3183/16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עופרי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8.3.2017</w:t>
      </w:r>
      <w:r>
        <w:rPr>
          <w:rFonts w:cs="Century" w:ascii="Century" w:hAnsi="Century"/>
          <w:rtl w:val="true"/>
        </w:rPr>
        <w:t xml:space="preserve">);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1170/15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11.1.2016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פגע בערכים המוגנים הקשורים בביטחונם של 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זכותם לאוטונומיה על גופם וזכותם לשלמות גופם ונפשם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זאת תוך ניצול האמון שהמתלוננים ובני משפחתם נתנו בו כבן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מעשיו החמורים של המערער מחייבים כי הלה ירצה בגינם עונש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מנת ליתן ביטוי לעקרון המנחה בענישה בשיטתנו המשפטית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הוא עקרון ההלימה </w:t>
      </w:r>
      <w:r>
        <w:rPr>
          <w:rFonts w:cs="Century" w:ascii="Century" w:hAnsi="Century"/>
          <w:rtl w:val="true"/>
        </w:rPr>
        <w:t>(</w:t>
      </w:r>
      <w:hyperlink r:id="rId2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</w:t>
        </w:r>
        <w:r>
          <w:rPr>
            <w:rStyle w:val="Hyperlink"/>
            <w:rFonts w:ascii="Century" w:hAnsi="Century" w:cs="Century"/>
            <w:rtl w:val="true"/>
          </w:rPr>
          <w:t>ב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ניכר בגזר הדין כי ניתן משקל לא מבוטל להליך השיקומי שבו מצוי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למכלול השיקולים המקילים העומדים לזכותו ובהם הודאתו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גילו הצעיר והעובדה שזו הסתבכותו הראשונה עם החוק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המחוזי כי עונש המאסר בפועל שייגזר על המערער יהיה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יחסית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לצד זאת צוין כי אלמלא התקיימו שיקולים אלה במערער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עונשו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בהרבה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נראה אפוא כי בית המשפט המחוי ערך את האיזון הראוי בין חומרת מעשיו לבין נסיבות חייו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החרטה הכנה שהביע והירתמותו להליך השיקום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במצב דברים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מצאנו כי יש מקום להתערב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נותר על כנו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בשולי הדברים אך לא בשולי חשיבותם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יצוין כי יש לברך על מאמצי השיקום שלהם נרתם המערער וניתן לקוות כי יתמיד וימשיך בדרך הטובה שבה החל לפסוע זה מכבר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1.3.2020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בבית סוהר</w:t>
      </w:r>
      <w:r>
        <w:rPr>
          <w:rtl w:val="true"/>
        </w:rPr>
        <w:t xml:space="preserve"> ימ</w:t>
      </w:r>
      <w:r>
        <w:rPr>
          <w:rtl w:val="true"/>
        </w:rPr>
        <w:t>"</w:t>
      </w:r>
      <w:r>
        <w:rPr>
          <w:rtl w:val="true"/>
        </w:rPr>
        <w:t>ר ניצן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lineRule="auto" w:line="240"/>
        <w:ind w:hanging="0" w:start="0" w:end="0"/>
        <w:jc w:val="both"/>
        <w:rPr>
          <w:sz w:val="2"/>
          <w:szCs w:val="2"/>
        </w:rPr>
      </w:pPr>
      <w:bookmarkStart w:id="17" w:name="Nitan"/>
      <w:r>
        <w:rPr>
          <w:rFonts w:eastAsia="Arial TUR;Arial" w:cs="Arial TUR;Arial" w:ascii="Arial TUR;Arial" w:hAnsi="Arial TUR;Arial"/>
          <w:sz w:val="22"/>
          <w:rtl w:val="true"/>
        </w:rPr>
        <w:t xml:space="preserve"> </w:t>
      </w:r>
      <w:r>
        <w:rPr>
          <w:rFonts w:ascii="Arial TUR;Arial" w:hAnsi="Arial TUR;Arial" w:cs="Arial TUR;Arial"/>
          <w:sz w:val="22"/>
          <w:sz w:val="22"/>
          <w:rtl w:val="true"/>
        </w:rPr>
        <w:t>ניתן היום</w:t>
      </w:r>
      <w:r>
        <w:rPr>
          <w:rFonts w:cs="Arial TUR;Arial" w:ascii="Arial TUR;Arial" w:hAnsi="Arial TUR;Arial"/>
          <w:sz w:val="22"/>
          <w:rtl w:val="true"/>
        </w:rPr>
        <w:t>, ‏</w:t>
      </w:r>
      <w:r>
        <w:rPr>
          <w:rFonts w:ascii="Arial TUR;Arial" w:hAnsi="Arial TUR;Arial" w:cs="Arial TUR;Arial"/>
          <w:sz w:val="22"/>
          <w:sz w:val="22"/>
          <w:rtl w:val="true"/>
        </w:rPr>
        <w:t>י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>ח בשבט התש</w:t>
      </w:r>
      <w:r>
        <w:rPr>
          <w:rFonts w:cs="Arial TUR;Arial" w:ascii="Arial TUR;Arial" w:hAnsi="Arial TUR;Arial"/>
          <w:sz w:val="22"/>
          <w:rtl w:val="true"/>
        </w:rPr>
        <w:t>"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ף </w:t>
      </w:r>
      <w:r>
        <w:rPr>
          <w:rFonts w:cs="Arial TUR;Arial" w:ascii="Arial TUR;Arial" w:hAnsi="Arial TUR;Arial"/>
          <w:sz w:val="22"/>
          <w:rtl w:val="true"/>
        </w:rPr>
        <w:t>(‏</w:t>
      </w:r>
      <w:r>
        <w:rPr>
          <w:rFonts w:cs="Arial TUR;Arial" w:ascii="Arial TUR;Arial" w:hAnsi="Arial TUR;Arial"/>
          <w:sz w:val="22"/>
        </w:rPr>
        <w:t>13.2.2020</w:t>
      </w:r>
      <w:r>
        <w:rPr>
          <w:rFonts w:cs="Arial TUR;Arial" w:ascii="Arial TUR;Arial" w:hAnsi="Arial TUR;Arial"/>
          <w:sz w:val="22"/>
          <w:rtl w:val="true"/>
        </w:rPr>
        <w:t xml:space="preserve">). </w:t>
      </w:r>
      <w:bookmarkEnd w:id="17"/>
    </w:p>
    <w:p>
      <w:pPr>
        <w:pStyle w:val="Ruller4"/>
        <w:spacing w:lineRule="auto" w:line="24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</w:t>
      </w:r>
      <w:r>
        <w:rPr>
          <w:sz w:val="16"/>
        </w:rPr>
        <w:t>19061220</w:t>
      </w:r>
      <w:r>
        <w:rPr>
          <w:sz w:val="16"/>
          <w:rtl w:val="true"/>
        </w:rPr>
        <w:t>_</w:t>
      </w:r>
      <w:r>
        <w:rPr>
          <w:sz w:val="16"/>
        </w:rPr>
        <w:t>G01.docx</w:t>
      </w:r>
      <w:r>
        <w:rPr>
          <w:sz w:val="16"/>
          <w:rtl w:val="true"/>
        </w:rPr>
        <w:t xml:space="preserve"> </w:t>
      </w:r>
      <w:r>
        <w:rPr>
          <w:sz w:val="16"/>
          <w:sz w:val="16"/>
          <w:rtl w:val="true"/>
        </w:rPr>
        <w:t>אא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</w:t>
      </w:r>
      <w:hyperlink r:id="rId2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54678313-6122/19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6122/19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default">
    <w:name w:val="defaul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5.b.1" TargetMode="External"/><Relationship Id="rId6" Type="http://schemas.openxmlformats.org/officeDocument/2006/relationships/hyperlink" Target="http://www.nevo.co.il/law/70301/348.a" TargetMode="External"/><Relationship Id="rId7" Type="http://schemas.openxmlformats.org/officeDocument/2006/relationships/hyperlink" Target="http://www.nevo.co.il/law/70301/348.b" TargetMode="External"/><Relationship Id="rId8" Type="http://schemas.openxmlformats.org/officeDocument/2006/relationships/hyperlink" Target="http://www.nevo.co.il/law/70301/348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5.b.1" TargetMode="External"/><Relationship Id="rId11" Type="http://schemas.openxmlformats.org/officeDocument/2006/relationships/hyperlink" Target="http://www.nevo.co.il/law/70301/348.a" TargetMode="External"/><Relationship Id="rId12" Type="http://schemas.openxmlformats.org/officeDocument/2006/relationships/hyperlink" Target="http://www.nevo.co.il/law/70301/345.a.3" TargetMode="External"/><Relationship Id="rId13" Type="http://schemas.openxmlformats.org/officeDocument/2006/relationships/hyperlink" Target="http://www.nevo.co.il/case/25388948" TargetMode="External"/><Relationship Id="rId14" Type="http://schemas.openxmlformats.org/officeDocument/2006/relationships/hyperlink" Target="http://www.nevo.co.il/case/23850993" TargetMode="External"/><Relationship Id="rId15" Type="http://schemas.openxmlformats.org/officeDocument/2006/relationships/hyperlink" Target="http://www.nevo.co.il/case/25179725" TargetMode="External"/><Relationship Id="rId16" Type="http://schemas.openxmlformats.org/officeDocument/2006/relationships/hyperlink" Target="http://www.nevo.co.il/case/25459244" TargetMode="External"/><Relationship Id="rId17" Type="http://schemas.openxmlformats.org/officeDocument/2006/relationships/hyperlink" Target="http://www.nevo.co.il/case/25254028" TargetMode="External"/><Relationship Id="rId18" Type="http://schemas.openxmlformats.org/officeDocument/2006/relationships/hyperlink" Target="http://www.nevo.co.il/case/22303378" TargetMode="External"/><Relationship Id="rId19" Type="http://schemas.openxmlformats.org/officeDocument/2006/relationships/hyperlink" Target="http://www.nevo.co.il/case/21473281" TargetMode="External"/><Relationship Id="rId20" Type="http://schemas.openxmlformats.org/officeDocument/2006/relationships/hyperlink" Target="http://www.nevo.co.il/case/20031943" TargetMode="External"/><Relationship Id="rId21" Type="http://schemas.openxmlformats.org/officeDocument/2006/relationships/hyperlink" Target="http://www.nevo.co.il/law/70301/40b" TargetMode="External"/><Relationship Id="rId22" Type="http://schemas.openxmlformats.org/officeDocument/2006/relationships/hyperlink" Target="http://supreme.court.gov.il/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2020-02-16T11:43:00Z</dcterms:created>
  <dc:creator>h4</dc:creator>
  <dc:description/>
  <cp:keywords/>
  <dc:language>en-IL</dc:language>
  <cp:lastModifiedBy>orly</cp:lastModifiedBy>
  <cp:lastPrinted>2020-02-13T14:22:00Z</cp:lastPrinted>
  <dcterms:modified xsi:type="dcterms:W3CDTF">2020-02-16T11:43:00Z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25388948;23850993;25179725;25459244;25254028;22303378;21473281;20031943</vt:lpwstr>
  </property>
  <property fmtid="{D5CDD505-2E9C-101B-9397-08002B2CF9AE}" pid="9" name="CITY">
    <vt:lpwstr/>
  </property>
  <property fmtid="{D5CDD505-2E9C-101B-9397-08002B2CF9AE}" pid="10" name="DATE">
    <vt:lpwstr>20200213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הנדל;ע' ברון;ע' גרוסקופף</vt:lpwstr>
  </property>
  <property fmtid="{D5CDD505-2E9C-101B-9397-08002B2CF9AE}" pid="14" name="LAWLISTTMP1">
    <vt:lpwstr>70301/348.b;345.b.1;348.a;345.a.3;040b</vt:lpwstr>
  </property>
  <property fmtid="{D5CDD505-2E9C-101B-9397-08002B2CF9AE}" pid="15" name="LAWYER">
    <vt:lpwstr>שרית חתוקה;חיים הדיה;ברכה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בקטינים</vt:lpwstr>
  </property>
  <property fmtid="{D5CDD505-2E9C-101B-9397-08002B2CF9AE}" pid="51" name="NOSE33">
    <vt:lpwstr>עקרון ההלימה‏</vt:lpwstr>
  </property>
  <property fmtid="{D5CDD505-2E9C-101B-9397-08002B2CF9AE}" pid="52" name="NOSE34">
    <vt:lpwstr>תסקיר שירות מבחן</vt:lpwstr>
  </property>
  <property fmtid="{D5CDD505-2E9C-101B-9397-08002B2CF9AE}" pid="53" name="NOSE35">
    <vt:lpwstr>שיקום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17039;16970;14799;13182;17420</vt:lpwstr>
  </property>
  <property fmtid="{D5CDD505-2E9C-101B-9397-08002B2CF9AE}" pid="59" name="PADIDATE">
    <vt:lpwstr>20200216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6122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410120200213</vt:lpwstr>
  </property>
  <property fmtid="{D5CDD505-2E9C-101B-9397-08002B2CF9AE}" pid="69" name="TYPE_N_DATE">
    <vt:lpwstr>41020200213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