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76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276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76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6123/23</w:t>
            </w:r>
          </w:p>
        </w:tc>
      </w:tr>
    </w:tbl>
    <w:p>
      <w:pPr>
        <w:pStyle w:val="Normal"/>
        <w:spacing w:lineRule="auto" w:line="276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spacing w:lineRule="auto" w:line="276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spacing w:lineRule="auto" w:line="276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הבכירה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מלמד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12.6.2023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בתפח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ע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51183-12-21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בטבת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  <w:rtl w:val="true"/>
              </w:rPr>
              <w:t>‏</w:t>
            </w:r>
            <w:r>
              <w:rPr>
                <w:sz w:val="26"/>
                <w:szCs w:val="26"/>
              </w:rPr>
              <w:t>27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2023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BodyRuller1"/>
        <w:spacing w:lineRule="auto" w:line="276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גלפיש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BodyRuller1"/>
        <w:spacing w:lineRule="auto" w:line="276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מבורך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BodyRuller1"/>
        <w:spacing w:lineRule="auto" w:line="276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איתן זרחיה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הערת מערכת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הטלת מאסר עולם על קטינים – בחינה מחודשת לאור התפתחויות בחקר מוחם של בני נוער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נא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אוגוסט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311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אלי שרון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>נוער בפלילים – שפיטה</w:t>
      </w:r>
      <w:r>
        <w:rPr>
          <w:rFonts w:cs="FrankRuehl" w:ascii="FrankRuehl" w:hAnsi="FrankRuehl"/>
          <w:b/>
          <w:bCs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דרכי טיפול וענישה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לימור עציוני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נוער במשפט הפלילי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26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26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 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טיפול והשגחה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להוציא תיקון שגגה שנפלה בגזר הדין בהתייחס למשכו של הצו למעון הנעול שניתן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מצא כי מתקיימת עילה להתערבות בהחלטת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לנוער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להטיל על המשיב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אשר הורשע בביצוע עבירות מין חמורות בשש קטינות בנות גילו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עת היה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15-13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צו החזקה במעון נעול חלף מאסר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מעון נעול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נוער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נוער – ענישה – מעון נעול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נוער – ענישה – שיקולי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נוער – ענישה – שיקול בית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המשפט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נוער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המדינה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Cs w:val="26"/>
          <w:rtl w:val="true"/>
        </w:rPr>
        <w:t>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לנוער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בדעת רוב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אומצה המלצת שירות המבחן ו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צו להחזקתו של המשיב במעון נעול לתקופה של שלוש שנים ותשעה 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פי סעיף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3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חוק הנוער 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שפיטה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ענישה ודרכי טיפול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בערעורה עותרת המדינה להשית על המשיב עונש מאסר בפועל מאחורי סורג ובריח חלף הצו להחזקתו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Cs w:val="26"/>
        </w:rPr>
        <w:t>2006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הודה בכתב אישום מתוקן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עבירות מין בשש קטינות אשר למדו עמו באותה שכבת 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השנים </w:t>
      </w:r>
      <w:r>
        <w:rPr>
          <w:rFonts w:cs="Times New Roman" w:ascii="Times New Roman" w:hAnsi="Times New Roman"/>
          <w:spacing w:val="0"/>
          <w:szCs w:val="26"/>
        </w:rPr>
        <w:t>2021-2019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עת היה כבן </w:t>
      </w:r>
      <w:r>
        <w:rPr>
          <w:rFonts w:cs="Times New Roman" w:ascii="Times New Roman" w:hAnsi="Times New Roman"/>
          <w:spacing w:val="0"/>
          <w:szCs w:val="26"/>
        </w:rPr>
        <w:t>15-13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השופטת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 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בעיקרו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מערכת השיקולים שיש להפעיל בעת גזירת עונשו של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שונה מזו שיש להפעיל בעת גזירת עונשו של 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אמנם </w:t>
      </w:r>
      <w:r>
        <w:rPr>
          <w:rFonts w:ascii="Times New Roman" w:hAnsi="Times New Roman" w:cs="Times New Roman"/>
          <w:spacing w:val="0"/>
          <w:szCs w:val="26"/>
          <w:rtl w:val="true"/>
        </w:rPr>
        <w:t>להתחשב בשיקולים אלה ואולם הוא מחויב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 לכל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לעקרונות הטיפול והענישה אותם מתווה חוק הנוער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 לא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להעניק מעמד בכורה לנסיבותיו האישיות של הקטין ולסיכויי 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שיקולים הצופים מטבעם פני 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בניגוד לעקרון ההלימה – העקרון המנחה בענישת בגירים לאחר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3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 אינה יוצרת חסינות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 ענישה 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ולעיתים שיקולי 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 ומניעה יגברו על שיקולים הנוגעים לנסיבותיו האישיות של הקטין וסיכויי 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 שלפיו ניתן משקל מיוחד לסיכויי השיקום של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יפה גם בעניינם של קטינים שביצעו עבירות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לרבות עבירות מין – ובעניין זה נפסק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ראוי ואף אין זה נכון להחיל חזקה לפיה החומרה שמשתקפת מעבירות מין שביצעו קטינים תאיין את שיקול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מעמד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העל שניתן לשיקול בדבר שיקום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משתקף בהסדר המיוחד שעוצב בחוק הנוער בעניינם של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הסדר זה מאפשר בין היתר ל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לנוער שהרשיע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לצוות על החזקתו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במקום להטיל עליו עונש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תכליתו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הסדר זה הוא </w:t>
      </w:r>
      <w:r>
        <w:rPr>
          <w:rFonts w:ascii="Times New Roman" w:hAnsi="Times New Roman" w:cs="Times New Roman"/>
          <w:spacing w:val="0"/>
          <w:szCs w:val="26"/>
          <w:rtl w:val="true"/>
        </w:rPr>
        <w:t>הענקת טיפול לקטין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להשיבו למוטב ולחיק החברה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המדובר בסנקציה הנחשבת לחמורה ביחס לענישת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המשרתת לא רק תכלית שיקומית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תכליות של גמול והרתעה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ההכרעה אם לעונש מאסר או למעון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תיעשה בהתחשב בכלל 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היעזרות בפרמטרים שהותוו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הנשקלים בבוא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לגזור את דינו של קטין</w:t>
      </w:r>
      <w:r>
        <w:rPr>
          <w:rFonts w:cs="Times New Roman" w:ascii="Times New Roman" w:hAnsi="Times New Roman"/>
          <w:spacing w:val="0"/>
          <w:szCs w:val="26"/>
          <w:rtl w:val="true"/>
        </w:rPr>
        <w:t>: 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 של העבריין הקטין בעת ביצוע העבירה – ככל שהקטין קרוב לגיל האחריות הפלילית בעת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יגבר משקלם של שיקולי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שהוא קרוב יותר לגיל הבגירות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יגבר משקלו של עיקרון ההלימה בין חומרת המעשים לבין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; 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סיכויי השיקום של הקטין – סיכויי השיקום הם השיקול המרכזי בהכרעה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בהקשר זה מוקנה משקל רב להמלצות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המלצות אלה אמנם אינן מחייבות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משנפתח לקטין אופק 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נדרשים טעמים כבדי משקל כדי לסטות מהן</w:t>
      </w:r>
      <w:r>
        <w:rPr>
          <w:rFonts w:cs="Times New Roman" w:ascii="Times New Roman" w:hAnsi="Times New Roman"/>
          <w:spacing w:val="0"/>
          <w:szCs w:val="26"/>
          <w:rtl w:val="true"/>
        </w:rPr>
        <w:t>; (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העבירה ונסיבותיה – נסיבות ביצוע עבירה חמורות במיוחד מהוות שיקול התומך בהפעלת אמצעים עונשיים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אין מדובר בשיקול מכריע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שיקולים מרכזיים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נמנו שיקולים נוספים העשויים להישקל</w:t>
      </w:r>
      <w:r>
        <w:rPr>
          <w:rFonts w:cs="Times New Roman" w:ascii="Times New Roman" w:hAnsi="Times New Roman"/>
          <w:spacing w:val="0"/>
          <w:szCs w:val="26"/>
          <w:rtl w:val="true"/>
        </w:rPr>
        <w:t>: (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הבעת חרטה כנה של הקטין על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ונטילת אחריות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; 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 הפלילי של הקטין – העדר עבר פלילי מהווה שיקול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וקיום עבר פלילי מהווה טעם להחמרה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להוציא תיקון שגגה שנפלה בגזר הדין בהתייחס למשכו של הצו למעון הנעול שניתן – 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מתקיימת עילה להתערבות בהחלטתו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להטיל על המשיב צו החזקה במעון נעול חלף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חלק מן הפרמטרים בהתייחס לענישת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מקלים עם עניינו של המשיב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ביצע את העבירות בגיל צעיר מאד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עת היה בן </w:t>
      </w:r>
      <w:r>
        <w:rPr>
          <w:rFonts w:cs="Times New Roman" w:ascii="Times New Roman" w:hAnsi="Times New Roman"/>
          <w:spacing w:val="0"/>
          <w:szCs w:val="26"/>
        </w:rPr>
        <w:t>15-13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בלבד – באופן המהווה שיקול משמעותי להעדפת אמצעים שיקומיים על פני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למשיב אין עבר פלילי 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הודה בביצוע העבירות בשלב מוקדם של ההליך וחסך מן הקטינות את הצורך להעיד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הביע חרטה על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טענותיה של המערערת התמקדו בשני השיקולים הנותרים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הנוגעים לחומרת העבירות שביצע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וסיכויי 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לחומרת העבירות 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פעם על חומרתן הרבה של עבירות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כשאלה מבוצעות כלפי 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אלה מחללות את כבוד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פוצעות את הגוף ואת הנפש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מותירות צלקות עמוקות ופוגעות לא אחת בתפקודן של נפגעות העבירה בהיבטים שונים של חייהן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במישור האישי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הזוגי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החברתי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דנא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עולה תמונת נזק קשה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ביחס לנפגעות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מישורי חייהן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יתרה טמונה בענייננו בריבוי העבירות וריבוי הנפגעות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בדעת הרוב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התייחס לעניין זה בהרחבה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נמצא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 במסקנתו המנומקת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ולפיה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בשיקול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להכריע את הכף לעבר הטלת עונש מאסר על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 בדבר חומרת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כשמדובר בעבירות מין חמורות המבוצעות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מאיין את שיקולי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לסיכויי השיקום – הוא השיקול המרכזי בענישת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 של המשיב הוגשו מספר תסקירים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דבקו באופן עקבי בהמלצה לקידום ההליך השיקומי במעון הנעול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ולהימנעות משליחת המשיב למאסר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בתסקירים המפורטים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שנערכו תוך היוועצות עם כלל גורמי המקצוע תואר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המשיב מביע מוטיבציה לטיפול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הוא נוטל חלק במסגרות הטיפוליות במעון ומראה התקדמות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איטית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במישורים שונים של הטיפול – באופן המעיד על פרוגנוזת שיקום חיובית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לקבל את טענות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ולפיהן מבנה אישיותו של המשיב וקצב התקדמותו בטיפול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מטילים ספק בפוטנציאל השיקום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שיש בו כדי להוביל להטלת עונש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תסקיר שירות המבחן העדכני מעיד על מגמת התקדמות של המשיב בהליך השיקום במעון מאז ניתן גזר הדין – תוך שהודגש כי הטלת עונש מאסר עלולה לפגוע בהליך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להגביר את גורמי הסיכון בעניינו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סיכויי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בהצטרפם לגילו הצעיר של המשיב בעת ביצוע העבירות – הובילו במכלול הנסיבות ובאיזון שערך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להעדפת אפיק שיקומי של החזקה במעון נעול על פני עונש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– הכולל גם 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שהיא בעלת השלכות משמעותיות על חייו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שלילה של חירותו לפרק זמן ממושך שיגיע כדי כחמש שנים בתום ההליך – מגשים לא רק תכליות של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תכליות עונשיות של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גמול ומניעה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אף אינו חורג ממדיניות הענישה הנוהגת ביחס לקטינים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אחרים בהם בוצעו עבירות מין חמורות 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לתקן טעות שנפלה מלפני שירות המבחן ובעקבות זאת גם לפני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הטיל על המשיב צו החזקה במעון נעול מכוח סעיף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לתקופה של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ותשעה 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שימלאו לו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– בעוד שלפי הוראות חוק הנוער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צו כאמור מוגבל עד הגיע הקטין לגיל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המשיב יוחזק במעון נעול מכוח סעיף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הגיעו לגיל עשרים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כי יוטל עליו צו מבחן בתנאי מגורים במעון נעול למשך שנה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הגיעו לגיל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לאחר סיום שהותו במעון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יוטל עליו צו מבחן בקהילה לשנה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הענישה יעמדו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המדינה על גזר דינו של בית המשפט המחוזי לנוער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השופטת הבכירה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12.6.2023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תפח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51183-12-21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בגדרו ניתן צו להחזקתו של המשיב במעון נעול לתקופה של שלוש שנים ותשעה חודשים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 xml:space="preserve">),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בערעורה עותרת המדינה להשית על המשיב עונש מאסר בפועל מאחורי סורג ובריח חלף הצו להחזקתו במעון נעול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הודה בכתב אישום 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בביצוע עבירות מין בשש קטינות אשר למדו עמו באותה שכבת גיל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2021-2019</w:t>
      </w:r>
      <w:r>
        <w:rPr>
          <w:rtl w:val="true"/>
        </w:rPr>
        <w:t xml:space="preserve">, </w:t>
      </w:r>
      <w:r>
        <w:rPr>
          <w:rtl w:val="true"/>
        </w:rPr>
        <w:t xml:space="preserve">עת היה כבן </w:t>
      </w:r>
      <w:r>
        <w:rPr/>
        <w:t>15-13</w:t>
      </w:r>
      <w:r>
        <w:rPr>
          <w:rtl w:val="true"/>
        </w:rPr>
        <w:t xml:space="preserve">. </w:t>
      </w:r>
      <w:r>
        <w:rPr>
          <w:rtl w:val="true"/>
        </w:rPr>
        <w:t>כתב האישום המתוקן כולל שישה אישומים</w:t>
      </w:r>
      <w:r>
        <w:rPr>
          <w:rtl w:val="true"/>
        </w:rPr>
        <w:t xml:space="preserve">, </w:t>
      </w:r>
      <w:r>
        <w:rPr>
          <w:rtl w:val="true"/>
        </w:rPr>
        <w:t>המתייחסים כל אחד לקטינה אחרת</w:t>
      </w:r>
      <w:r>
        <w:rPr>
          <w:rtl w:val="true"/>
        </w:rPr>
        <w:t xml:space="preserve">, </w:t>
      </w:r>
      <w:r>
        <w:rPr>
          <w:rtl w:val="true"/>
        </w:rPr>
        <w:t xml:space="preserve">והמייחסים למשיב עבירות של אינוס קטינה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שתי עבירות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מלאו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אינוס</w:t>
      </w:r>
      <w:r>
        <w:rPr>
          <w:rtl w:val="true"/>
        </w:rPr>
        <w:t xml:space="preserve"> </w:t>
      </w:r>
      <w:r>
        <w:rPr>
          <w:rtl w:val="true"/>
        </w:rPr>
        <w:t>קטינ</w:t>
      </w:r>
      <w:r>
        <w:rPr>
          <w:rtl w:val="true"/>
        </w:rPr>
        <w:t xml:space="preserve">ה 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). </w:t>
      </w:r>
      <w:r>
        <w:rPr>
          <w:rtl w:val="true"/>
        </w:rPr>
        <w:t>אלה הן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עובדות כתב האישום</w:t>
      </w:r>
      <w:r>
        <w:rPr>
          <w:rtl w:val="true"/>
        </w:rPr>
        <w:t xml:space="preserve">: </w:t>
      </w:r>
      <w:r>
        <w:rPr>
          <w:rtl w:val="true"/>
        </w:rPr>
        <w:br/>
        <w:br/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מתואר כי בסוף 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שהה המשיב בבית חבר יחד עם א</w:t>
      </w:r>
      <w:r>
        <w:rPr>
          <w:rtl w:val="true"/>
        </w:rPr>
        <w:t xml:space="preserve">'. </w:t>
      </w:r>
      <w:r>
        <w:rPr>
          <w:rtl w:val="true"/>
        </w:rPr>
        <w:t>המשיב נכנס למיטה בה ישנה א</w:t>
      </w:r>
      <w:r>
        <w:rPr>
          <w:rtl w:val="true"/>
        </w:rPr>
        <w:t xml:space="preserve">', </w:t>
      </w:r>
      <w:r>
        <w:rPr>
          <w:rtl w:val="true"/>
        </w:rPr>
        <w:t>נגע בחזה ובישבנה</w:t>
      </w:r>
      <w:r>
        <w:rPr>
          <w:rtl w:val="true"/>
        </w:rPr>
        <w:t xml:space="preserve">, </w:t>
      </w:r>
      <w:r>
        <w:rPr>
          <w:rtl w:val="true"/>
        </w:rPr>
        <w:t>וכשזו נעורה משנתה הפשיל את מכנסיה ונגע באיבר מינה מעל תחתוניה ללא הסכמתה</w:t>
      </w:r>
      <w:r>
        <w:rPr>
          <w:rtl w:val="true"/>
        </w:rPr>
        <w:t xml:space="preserve">. </w:t>
      </w:r>
      <w:r>
        <w:rPr>
          <w:rtl w:val="true"/>
        </w:rPr>
        <w:t>בהמשך החדיר את אצבעותיו לאיבר מינה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, </w:t>
      </w:r>
      <w:r>
        <w:rPr>
          <w:rtl w:val="true"/>
        </w:rPr>
        <w:t>אף שניסתה לסגת לאחור ואמרה לו שאינה חשה בטוב</w:t>
      </w:r>
      <w:r>
        <w:rPr>
          <w:rtl w:val="true"/>
        </w:rPr>
        <w:t xml:space="preserve">. </w:t>
      </w:r>
      <w:r>
        <w:rPr>
          <w:rtl w:val="true"/>
        </w:rPr>
        <w:t>לאחר זמן מה חדל ממעשיו</w:t>
      </w:r>
      <w:r>
        <w:rPr>
          <w:rtl w:val="true"/>
        </w:rPr>
        <w:t xml:space="preserve">, </w:t>
      </w:r>
      <w:r>
        <w:rPr>
          <w:rtl w:val="true"/>
        </w:rPr>
        <w:t>אמר לה שהוא מצטער ויצא מהחדר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מתאר אירוע שהתרחש בחודש אוגוסט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כאשר המשיב שהה עם ב</w:t>
      </w:r>
      <w:r>
        <w:rPr>
          <w:rtl w:val="true"/>
        </w:rPr>
        <w:t xml:space="preserve">' </w:t>
      </w:r>
      <w:r>
        <w:rPr>
          <w:rtl w:val="true"/>
        </w:rPr>
        <w:t>בבית חברה</w:t>
      </w:r>
      <w:r>
        <w:rPr>
          <w:rtl w:val="true"/>
        </w:rPr>
        <w:t xml:space="preserve">. </w:t>
      </w:r>
      <w:r>
        <w:rPr>
          <w:rtl w:val="true"/>
        </w:rPr>
        <w:t>בעת שהשניים וחברה נוספת ישנו במיטה משותפת באחד החדרים</w:t>
      </w:r>
      <w:r>
        <w:rPr>
          <w:rtl w:val="true"/>
        </w:rPr>
        <w:t xml:space="preserve">, </w:t>
      </w:r>
      <w:r>
        <w:rPr>
          <w:rtl w:val="true"/>
        </w:rPr>
        <w:t>התנשקו המשיב וב</w:t>
      </w:r>
      <w:r>
        <w:rPr>
          <w:rtl w:val="true"/>
        </w:rPr>
        <w:t xml:space="preserve">', </w:t>
      </w:r>
      <w:r>
        <w:rPr>
          <w:rtl w:val="true"/>
        </w:rPr>
        <w:t>והוא נגע פעמיים באיבר מינה ללא הסכמתה</w:t>
      </w:r>
      <w:r>
        <w:rPr>
          <w:rtl w:val="true"/>
        </w:rPr>
        <w:t xml:space="preserve">. </w:t>
      </w:r>
      <w:r>
        <w:rPr>
          <w:rtl w:val="true"/>
        </w:rPr>
        <w:t>בהמשך קמה ב</w:t>
      </w:r>
      <w:r>
        <w:rPr>
          <w:rtl w:val="true"/>
        </w:rPr>
        <w:t xml:space="preserve">' </w:t>
      </w:r>
      <w:r>
        <w:rPr>
          <w:rtl w:val="true"/>
        </w:rPr>
        <w:t>מן המיטה</w:t>
      </w:r>
      <w:r>
        <w:rPr>
          <w:rtl w:val="true"/>
        </w:rPr>
        <w:t xml:space="preserve">, </w:t>
      </w:r>
      <w:r>
        <w:rPr>
          <w:rtl w:val="true"/>
        </w:rPr>
        <w:t>סירבה לשוב אליה</w:t>
      </w:r>
      <w:r>
        <w:rPr>
          <w:rtl w:val="true"/>
        </w:rPr>
        <w:t xml:space="preserve">, </w:t>
      </w:r>
      <w:r>
        <w:rPr>
          <w:rtl w:val="true"/>
        </w:rPr>
        <w:t>ונותרה לשבת על רצפת החדר במשך כשעתיים</w:t>
      </w:r>
      <w:r>
        <w:rPr>
          <w:rtl w:val="true"/>
        </w:rPr>
        <w:t xml:space="preserve">. </w:t>
      </w:r>
      <w:r>
        <w:rPr>
          <w:rtl w:val="true"/>
        </w:rPr>
        <w:t>רק משהניחה כי המשיב נרדם שבה למיטה</w:t>
      </w:r>
      <w:r>
        <w:rPr>
          <w:rtl w:val="true"/>
        </w:rPr>
        <w:t xml:space="preserve">, </w:t>
      </w:r>
      <w:r>
        <w:rPr>
          <w:rtl w:val="true"/>
        </w:rPr>
        <w:t>ומשנרדמה</w:t>
      </w:r>
      <w:r>
        <w:rPr>
          <w:rtl w:val="true"/>
        </w:rPr>
        <w:t xml:space="preserve">, </w:t>
      </w:r>
      <w:r>
        <w:rPr>
          <w:rtl w:val="true"/>
        </w:rPr>
        <w:t>נצמד המשיב עם איבר מינו הזקור לאחורי גופה ללא הסכמתה</w:t>
      </w:r>
      <w:r>
        <w:rPr>
          <w:rtl w:val="true"/>
        </w:rPr>
        <w:t xml:space="preserve">. </w:t>
      </w:r>
      <w:r>
        <w:rPr>
          <w:rtl w:val="true"/>
        </w:rPr>
        <w:t>משחשה בכך</w:t>
      </w:r>
      <w:r>
        <w:rPr>
          <w:rtl w:val="true"/>
        </w:rPr>
        <w:t xml:space="preserve">, </w:t>
      </w:r>
      <w:r>
        <w:rPr>
          <w:rtl w:val="true"/>
        </w:rPr>
        <w:t>קמה מהמיטה ועזבה את הבית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מגולל שני אירועים שהתרחשו בחודש ספטמבר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זמן קצר לאחר שנוצר קשר זוגי בין המשיב לבין ג</w:t>
      </w:r>
      <w:r>
        <w:rPr>
          <w:rtl w:val="true"/>
        </w:rPr>
        <w:t xml:space="preserve">'. </w:t>
      </w:r>
      <w:r>
        <w:rPr>
          <w:rtl w:val="true"/>
        </w:rPr>
        <w:t>בשני האירועים</w:t>
      </w:r>
      <w:r>
        <w:rPr>
          <w:rtl w:val="true"/>
        </w:rPr>
        <w:t xml:space="preserve">, </w:t>
      </w:r>
      <w:r>
        <w:rPr>
          <w:rtl w:val="true"/>
        </w:rPr>
        <w:t>בעת שהשניים שכבו יחד במיטתו של המשיב</w:t>
      </w:r>
      <w:r>
        <w:rPr>
          <w:rtl w:val="true"/>
        </w:rPr>
        <w:t xml:space="preserve">, </w:t>
      </w:r>
      <w:r>
        <w:rPr>
          <w:rtl w:val="true"/>
        </w:rPr>
        <w:t>החדיר המשיב את איבר מינו לאיבר מינה של ג</w:t>
      </w:r>
      <w:r>
        <w:rPr>
          <w:rtl w:val="true"/>
        </w:rPr>
        <w:t xml:space="preserve">'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  <w:r>
        <w:rPr>
          <w:rtl w:val="true"/>
        </w:rPr>
        <w:t>באירוע הראשון לאחר מספר דקות חדל ממעשיו</w:t>
      </w:r>
      <w:r>
        <w:rPr>
          <w:rtl w:val="true"/>
        </w:rPr>
        <w:t xml:space="preserve">, </w:t>
      </w:r>
      <w:r>
        <w:rPr>
          <w:rtl w:val="true"/>
        </w:rPr>
        <w:t>ואז היא הדפה אותו מעליה</w:t>
      </w:r>
      <w:r>
        <w:rPr>
          <w:rtl w:val="true"/>
        </w:rPr>
        <w:t xml:space="preserve">. </w:t>
      </w:r>
      <w:r>
        <w:rPr>
          <w:rtl w:val="true"/>
        </w:rPr>
        <w:t>באירוע השני</w:t>
      </w:r>
      <w:r>
        <w:rPr>
          <w:rtl w:val="true"/>
        </w:rPr>
        <w:t xml:space="preserve">, </w:t>
      </w:r>
      <w:r>
        <w:rPr>
          <w:rtl w:val="true"/>
        </w:rPr>
        <w:t>היא ביקשה ממנו לחדול ממעשיו ואמרה לו שהוא מכאיב לה</w:t>
      </w:r>
      <w:r>
        <w:rPr>
          <w:rtl w:val="true"/>
        </w:rPr>
        <w:t xml:space="preserve">, </w:t>
      </w:r>
      <w:r>
        <w:rPr>
          <w:rtl w:val="true"/>
        </w:rPr>
        <w:t>אך הוא לא חדל</w:t>
      </w:r>
      <w:r>
        <w:rPr>
          <w:rtl w:val="true"/>
        </w:rPr>
        <w:t xml:space="preserve">, </w:t>
      </w:r>
      <w:r>
        <w:rPr>
          <w:rtl w:val="true"/>
        </w:rPr>
        <w:t>עד שהיא הצליחה להדפו מעל גופה ברגליה</w:t>
      </w:r>
      <w:r>
        <w:rPr>
          <w:rtl w:val="true"/>
        </w:rPr>
        <w:t xml:space="preserve">, </w:t>
      </w:r>
      <w:r>
        <w:rPr>
          <w:rtl w:val="true"/>
        </w:rPr>
        <w:t>וקמה מהמיטה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 מגולל אף הוא שני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מחודש מאי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שהתרחשו בביתו של המשיב</w:t>
      </w:r>
      <w:r>
        <w:rPr>
          <w:rtl w:val="true"/>
        </w:rPr>
        <w:t xml:space="preserve">. </w:t>
      </w:r>
      <w:r>
        <w:rPr>
          <w:rtl w:val="true"/>
        </w:rPr>
        <w:t>בשני האירועים ניסה המשיב להחדיר את איבר מינו לאיבר מינה של ד</w:t>
      </w:r>
      <w:r>
        <w:rPr>
          <w:rtl w:val="true"/>
        </w:rPr>
        <w:t xml:space="preserve">'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  <w:r>
        <w:rPr>
          <w:rtl w:val="true"/>
        </w:rPr>
        <w:t>באירוע השני</w:t>
      </w:r>
      <w:r>
        <w:rPr>
          <w:rtl w:val="true"/>
        </w:rPr>
        <w:t xml:space="preserve">, </w:t>
      </w:r>
      <w:r>
        <w:rPr>
          <w:rtl w:val="true"/>
        </w:rPr>
        <w:t>הוסיף המשיב וביצע ב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מעשה מגונה בכך שנגע באיבר מינה שלא בהסכמתה ואף ניסה להחדיר אליו את אצבעותיו</w:t>
      </w:r>
      <w:r>
        <w:rPr>
          <w:rtl w:val="true"/>
        </w:rPr>
        <w:t xml:space="preserve">, </w:t>
      </w:r>
      <w:r>
        <w:rPr>
          <w:rtl w:val="true"/>
        </w:rPr>
        <w:t>עד שהיא הזיזה בכוח את ידו</w:t>
      </w:r>
      <w:r>
        <w:rPr>
          <w:rtl w:val="true"/>
        </w:rPr>
        <w:t xml:space="preserve">, </w:t>
      </w:r>
      <w:r>
        <w:rPr>
          <w:rtl w:val="true"/>
        </w:rPr>
        <w:t>ורק אז חדל ממעשיו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tl w:val="true"/>
        </w:rPr>
        <w:t xml:space="preserve"> מתואר כי בחודש אוגוסט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בעת שהמשיב שהה עם ה</w:t>
      </w:r>
      <w:r>
        <w:rPr>
          <w:rtl w:val="true"/>
        </w:rPr>
        <w:t xml:space="preserve">' </w:t>
      </w:r>
      <w:r>
        <w:rPr>
          <w:rtl w:val="true"/>
        </w:rPr>
        <w:t>בבית חבר בנסיבות חברתיות</w:t>
      </w:r>
      <w:r>
        <w:rPr>
          <w:rtl w:val="true"/>
        </w:rPr>
        <w:t xml:space="preserve">, </w:t>
      </w:r>
      <w:r>
        <w:rPr>
          <w:rtl w:val="true"/>
        </w:rPr>
        <w:t>אחז המשיב בחזה של ה</w:t>
      </w:r>
      <w:r>
        <w:rPr>
          <w:rtl w:val="true"/>
        </w:rPr>
        <w:t xml:space="preserve">'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tl w:val="true"/>
        </w:rPr>
        <w:t xml:space="preserve"> מתייחס למספר אירועים שאירעו בין המשיב לבין ו</w:t>
      </w:r>
      <w:r>
        <w:rPr>
          <w:rtl w:val="true"/>
        </w:rPr>
        <w:t xml:space="preserve">' </w:t>
      </w:r>
      <w:r>
        <w:rPr>
          <w:rtl w:val="true"/>
        </w:rPr>
        <w:t>עמה היה לו קשר חברי</w:t>
      </w:r>
      <w:r>
        <w:rPr>
          <w:rtl w:val="true"/>
        </w:rPr>
        <w:t xml:space="preserve">. </w:t>
      </w:r>
      <w:r>
        <w:rPr>
          <w:rtl w:val="true"/>
        </w:rPr>
        <w:t xml:space="preserve">בתקופה שבין חודש יוני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לחודש יולי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במספר מועדים</w:t>
      </w:r>
      <w:r>
        <w:rPr>
          <w:rtl w:val="true"/>
        </w:rPr>
        <w:t xml:space="preserve">, </w:t>
      </w:r>
      <w:r>
        <w:rPr>
          <w:rtl w:val="true"/>
        </w:rPr>
        <w:t>בעת שהשניים היו בביתה של ו</w:t>
      </w:r>
      <w:r>
        <w:rPr>
          <w:rtl w:val="true"/>
        </w:rPr>
        <w:t xml:space="preserve">' </w:t>
      </w:r>
      <w:r>
        <w:rPr>
          <w:rtl w:val="true"/>
        </w:rPr>
        <w:t>חיכך המשיב את איבר מינו בגופה ללא הסכמתה</w:t>
      </w:r>
      <w:r>
        <w:rPr>
          <w:rtl w:val="true"/>
        </w:rPr>
        <w:t xml:space="preserve">, </w:t>
      </w:r>
      <w:r>
        <w:rPr>
          <w:rtl w:val="true"/>
        </w:rPr>
        <w:t>וחרף בקשותיה שיחדל מכך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7.12.2022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על יסוד הודאת המשיב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כי המשיב ביצע את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ונקבע מועד לשמיעת הטיעונים לעונש</w:t>
      </w:r>
      <w:r>
        <w:rPr>
          <w:rtl w:val="true"/>
        </w:rPr>
        <w:t xml:space="preserve">. </w:t>
      </w:r>
      <w:r>
        <w:rPr>
          <w:rtl w:val="true"/>
        </w:rPr>
        <w:t>ביני לביני</w:t>
      </w:r>
      <w:r>
        <w:rPr>
          <w:rtl w:val="true"/>
        </w:rPr>
        <w:t xml:space="preserve">, </w:t>
      </w:r>
      <w:r>
        <w:rPr>
          <w:rtl w:val="true"/>
        </w:rPr>
        <w:t xml:space="preserve">החל מינואר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 xml:space="preserve">שהה המשיב במעון האבחוני </w:t>
      </w:r>
      <w:r>
        <w:rPr>
          <w:rtl w:val="true"/>
        </w:rPr>
        <w:t>"</w:t>
      </w:r>
      <w:r>
        <w:rPr>
          <w:rtl w:val="true"/>
        </w:rPr>
        <w:t>נווה חורש</w:t>
      </w:r>
      <w:r>
        <w:rPr>
          <w:rtl w:val="true"/>
        </w:rPr>
        <w:t xml:space="preserve">" </w:t>
      </w:r>
      <w:r>
        <w:rPr>
          <w:rtl w:val="true"/>
        </w:rPr>
        <w:t>במסגרת צו אבחון והסתכלות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 xml:space="preserve">החל מיולי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 xml:space="preserve">שהה במעון הנעול </w:t>
      </w:r>
      <w:r>
        <w:rPr>
          <w:rtl w:val="true"/>
        </w:rPr>
        <w:t>"</w:t>
      </w:r>
      <w:r>
        <w:rPr>
          <w:rtl w:val="true"/>
        </w:rPr>
        <w:t>מצפה ים</w:t>
      </w:r>
      <w:r>
        <w:rPr>
          <w:rtl w:val="true"/>
        </w:rPr>
        <w:t xml:space="preserve">" </w:t>
      </w:r>
      <w:r>
        <w:rPr>
          <w:rtl w:val="true"/>
        </w:rPr>
        <w:t>במסגרת צו השגחה זמנית בתנאי מגורים</w:t>
      </w:r>
      <w:r>
        <w:rPr>
          <w:rtl w:val="true"/>
        </w:rPr>
        <w:t xml:space="preserve">. </w:t>
      </w:r>
      <w:r>
        <w:rPr>
          <w:rtl w:val="true"/>
        </w:rPr>
        <w:t>עד למועד גזירת הדין</w:t>
      </w:r>
      <w:r>
        <w:rPr>
          <w:rtl w:val="true"/>
        </w:rPr>
        <w:t xml:space="preserve">, </w:t>
      </w:r>
      <w:r>
        <w:rPr>
          <w:rtl w:val="true"/>
        </w:rPr>
        <w:t>הוגשו בעניינו של המשיב שלושה תסקירים של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מהמועדים </w:t>
      </w:r>
      <w:r>
        <w:rPr/>
        <w:t>1.12.2022</w:t>
      </w:r>
      <w:r>
        <w:rPr>
          <w:rtl w:val="true"/>
        </w:rPr>
        <w:t xml:space="preserve">, </w:t>
      </w:r>
      <w:r>
        <w:rPr/>
        <w:t>15.3.2023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24.4.2023</w:t>
      </w:r>
      <w:r>
        <w:rPr>
          <w:rtl w:val="true"/>
        </w:rPr>
        <w:t xml:space="preserve">, </w:t>
      </w:r>
      <w:r>
        <w:rPr>
          <w:rtl w:val="true"/>
        </w:rPr>
        <w:t>הסוקרים בהרחבה את ממצאי האבחון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את השתלבותו במעון </w:t>
      </w:r>
      <w:r>
        <w:rPr>
          <w:rtl w:val="true"/>
        </w:rPr>
        <w:t>"</w:t>
      </w:r>
      <w:r>
        <w:rPr>
          <w:rtl w:val="true"/>
        </w:rPr>
        <w:t>מצפה ים</w:t>
      </w:r>
      <w:r>
        <w:rPr>
          <w:rtl w:val="true"/>
        </w:rPr>
        <w:t xml:space="preserve">", </w:t>
      </w:r>
      <w:r>
        <w:rPr>
          <w:rtl w:val="true"/>
        </w:rPr>
        <w:t>את תפקודו שם ואת ההליך הטיפולי והשיקומי שעבר</w:t>
      </w:r>
      <w:r>
        <w:rPr>
          <w:rtl w:val="true"/>
        </w:rPr>
        <w:t xml:space="preserve">. </w:t>
      </w:r>
      <w:r>
        <w:rPr>
          <w:rtl w:val="true"/>
        </w:rPr>
        <w:t>המלצת שירות המבחן בתסקיר המסכם הייתה להרשיע את המשיב ולהטיל עליו צו החזקה במעון נעול</w:t>
      </w:r>
      <w:r>
        <w:rPr>
          <w:rtl w:val="true"/>
        </w:rPr>
        <w:t xml:space="preserve">, </w:t>
      </w:r>
      <w:r>
        <w:rPr>
          <w:rtl w:val="true"/>
        </w:rPr>
        <w:t>חלף מאסר</w:t>
      </w:r>
      <w:r>
        <w:rPr>
          <w:rtl w:val="true"/>
        </w:rPr>
        <w:t xml:space="preserve">, </w:t>
      </w:r>
      <w:r>
        <w:rPr>
          <w:rtl w:val="true"/>
        </w:rPr>
        <w:t xml:space="preserve">עד הגיעו לגיל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פרק זמן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ותשעה חודשים</w:t>
      </w:r>
      <w:r>
        <w:rPr>
          <w:rtl w:val="true"/>
        </w:rPr>
        <w:t xml:space="preserve">, </w:t>
      </w:r>
      <w:r>
        <w:rPr>
          <w:rtl w:val="true"/>
        </w:rPr>
        <w:t>לצד מאסר על תנאי</w:t>
      </w:r>
      <w:r>
        <w:rPr>
          <w:rtl w:val="true"/>
        </w:rPr>
        <w:t xml:space="preserve">, </w:t>
      </w:r>
      <w:r>
        <w:rPr>
          <w:rtl w:val="true"/>
        </w:rPr>
        <w:t>התחייבות ופיצוי לנפגעות העבירה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נשמעו עדויותיהן של ארבע מנפגעות העבירה ואמהותיה</w:t>
      </w:r>
      <w:r>
        <w:rPr>
          <w:rtl w:val="true"/>
        </w:rPr>
        <w:t>ן</w:t>
      </w:r>
      <w:r>
        <w:rPr>
          <w:rtl w:val="true"/>
        </w:rPr>
        <w:t xml:space="preserve"> של שתיים מן הנפגעות</w:t>
      </w:r>
      <w:r>
        <w:rPr>
          <w:rtl w:val="true"/>
        </w:rPr>
        <w:t xml:space="preserve">, </w:t>
      </w:r>
      <w:r>
        <w:rPr>
          <w:rtl w:val="true"/>
        </w:rPr>
        <w:t>הורי המשיב</w:t>
      </w:r>
      <w:r>
        <w:rPr>
          <w:rtl w:val="true"/>
        </w:rPr>
        <w:t xml:space="preserve">, </w:t>
      </w:r>
      <w:r>
        <w:rPr>
          <w:rtl w:val="true"/>
        </w:rPr>
        <w:t xml:space="preserve">קצינת המבחן ומנהל המעון הנעול </w:t>
      </w:r>
      <w:r>
        <w:rPr>
          <w:rtl w:val="true"/>
        </w:rPr>
        <w:t>"</w:t>
      </w:r>
      <w:r>
        <w:rPr>
          <w:rtl w:val="true"/>
        </w:rPr>
        <w:t>מצפה ים</w:t>
      </w:r>
      <w:r>
        <w:rPr>
          <w:rtl w:val="true"/>
        </w:rPr>
        <w:t xml:space="preserve">". </w:t>
      </w:r>
      <w:r>
        <w:rPr>
          <w:rtl w:val="true"/>
        </w:rPr>
        <w:t>כן הוגשו תסקירי נפגעת עבירה בעניינן של חמש נפגעות</w:t>
      </w:r>
      <w:r>
        <w:rPr>
          <w:rtl w:val="true"/>
        </w:rPr>
        <w:t xml:space="preserve">, </w:t>
      </w:r>
      <w:r>
        <w:rPr>
          <w:rtl w:val="true"/>
        </w:rPr>
        <w:t>והצהרת נפגעת עבירה מאת אביה של אחת הנפגעות</w:t>
      </w:r>
      <w:r>
        <w:rPr>
          <w:rtl w:val="true"/>
        </w:rPr>
        <w:t xml:space="preserve">. </w:t>
      </w:r>
      <w:r>
        <w:rPr>
          <w:rtl w:val="true"/>
        </w:rPr>
        <w:t>המדינה עתרה להרשיע את המשיב</w:t>
      </w:r>
      <w:r>
        <w:rPr>
          <w:rtl w:val="true"/>
        </w:rPr>
        <w:t xml:space="preserve">, </w:t>
      </w:r>
      <w:r>
        <w:rPr>
          <w:rtl w:val="true"/>
        </w:rPr>
        <w:t xml:space="preserve">ולהשית עליו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יש להעדיף בעניינו של המשיב את שיקולי הגמול וההרתעה על פני שיקולי השיקום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בהתחשב בחומרת המעשים שביצע</w:t>
      </w:r>
      <w:r>
        <w:rPr>
          <w:rtl w:val="true"/>
        </w:rPr>
        <w:t xml:space="preserve">, </w:t>
      </w:r>
      <w:r>
        <w:rPr>
          <w:rtl w:val="true"/>
        </w:rPr>
        <w:t>בריבוי הנפגעות וריבוי העבירות</w:t>
      </w:r>
      <w:r>
        <w:rPr>
          <w:rtl w:val="true"/>
        </w:rPr>
        <w:t xml:space="preserve">, </w:t>
      </w:r>
      <w:r>
        <w:rPr>
          <w:rtl w:val="true"/>
        </w:rPr>
        <w:t>בתמונת הנזקים הקשה שנגרמה לנפגעות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וכן בשים לב להתקדמות </w:t>
      </w:r>
      <w:r>
        <w:rPr>
          <w:rtl w:val="true"/>
        </w:rPr>
        <w:t>"</w:t>
      </w:r>
      <w:r>
        <w:rPr>
          <w:rtl w:val="true"/>
        </w:rPr>
        <w:t>המזערית</w:t>
      </w:r>
      <w:r>
        <w:rPr>
          <w:rtl w:val="true"/>
        </w:rPr>
        <w:t xml:space="preserve">" </w:t>
      </w:r>
      <w:r>
        <w:rPr>
          <w:rtl w:val="true"/>
        </w:rPr>
        <w:t>של המשיב בהליך השיקומי</w:t>
      </w:r>
      <w:r>
        <w:rPr>
          <w:rtl w:val="true"/>
        </w:rPr>
        <w:t xml:space="preserve">, </w:t>
      </w:r>
      <w:r>
        <w:rPr>
          <w:rtl w:val="true"/>
        </w:rPr>
        <w:t>ביחס לזמן הממושך בו הוא שוהה במעון הנעול</w:t>
      </w:r>
      <w:r>
        <w:rPr>
          <w:rtl w:val="true"/>
        </w:rPr>
        <w:t xml:space="preserve">. </w:t>
      </w:r>
      <w:r>
        <w:rPr>
          <w:rtl w:val="true"/>
        </w:rPr>
        <w:t>ההגנה עתרה מנגד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ולהשית על המשיב צו להחזקתו במעון נעול חלף מאסר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12.6.2023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שיוחסו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br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     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12.6.2023</w:t>
      </w:r>
      <w:r>
        <w:rPr>
          <w:rtl w:val="true"/>
        </w:rPr>
        <w:t xml:space="preserve">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בדעת רוב </w:t>
      </w:r>
      <w:r>
        <w:rPr>
          <w:rtl w:val="true"/>
        </w:rPr>
        <w:t>(</w:t>
      </w:r>
      <w:r>
        <w:rPr>
          <w:rtl w:val="true"/>
        </w:rPr>
        <w:t xml:space="preserve">השופטת הבכירה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tl w:val="true"/>
        </w:rPr>
        <w:t xml:space="preserve">) </w:t>
      </w:r>
      <w:r>
        <w:rPr>
          <w:rtl w:val="true"/>
        </w:rPr>
        <w:t>כי יש לאמץ את המלצת שירות המבחן ולהורות בעניינו על המשיב על צו החזקה במעון נעול חלף מאסר</w:t>
      </w:r>
      <w:r>
        <w:rPr>
          <w:rtl w:val="true"/>
        </w:rPr>
        <w:t xml:space="preserve">. </w:t>
      </w:r>
      <w:r>
        <w:rPr>
          <w:rtl w:val="true"/>
        </w:rPr>
        <w:t>בחוות הדעת העיקרית</w:t>
      </w:r>
      <w:r>
        <w:rPr>
          <w:rtl w:val="true"/>
        </w:rPr>
        <w:t xml:space="preserve">, </w:t>
      </w:r>
      <w:r>
        <w:rPr>
          <w:rtl w:val="true"/>
        </w:rPr>
        <w:t xml:space="preserve">עמדה השופטת הבכירה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 על כך שמעשיו של המשיב חמורים וכיעורם ניכר</w:t>
      </w:r>
      <w:r>
        <w:rPr>
          <w:rtl w:val="true"/>
        </w:rPr>
        <w:t xml:space="preserve">, </w:t>
      </w:r>
      <w:r>
        <w:rPr>
          <w:rtl w:val="true"/>
        </w:rPr>
        <w:t>בין היתר בשל ריבוי המעשים ובשל גילן הצעיר של הנפגעות</w:t>
      </w:r>
      <w:r>
        <w:rPr>
          <w:rtl w:val="true"/>
        </w:rPr>
        <w:t xml:space="preserve">, </w:t>
      </w:r>
      <w:r>
        <w:rPr>
          <w:rtl w:val="true"/>
        </w:rPr>
        <w:t>וכן בשל הנזק הכבד שנגרם לנפגעות ולבני משפחותיהן</w:t>
      </w:r>
      <w:r>
        <w:rPr>
          <w:rtl w:val="true"/>
        </w:rPr>
        <w:t xml:space="preserve">. </w:t>
      </w:r>
      <w:r>
        <w:rPr>
          <w:rtl w:val="true"/>
        </w:rPr>
        <w:t>לצד זאת ציינה</w:t>
      </w:r>
      <w:r>
        <w:rPr>
          <w:rtl w:val="true"/>
        </w:rPr>
        <w:t xml:space="preserve">, </w:t>
      </w:r>
      <w:r>
        <w:rPr>
          <w:rtl w:val="true"/>
        </w:rPr>
        <w:t>כי לא כל האישומים הם בדרגת חומרה דומה</w:t>
      </w:r>
      <w:r>
        <w:rPr>
          <w:rtl w:val="true"/>
        </w:rPr>
        <w:t xml:space="preserve">. </w:t>
      </w:r>
      <w:r>
        <w:rPr>
          <w:rtl w:val="true"/>
        </w:rPr>
        <w:t>כן ציינה</w:t>
      </w:r>
      <w:r>
        <w:rPr>
          <w:rtl w:val="true"/>
        </w:rPr>
        <w:t xml:space="preserve">, </w:t>
      </w:r>
      <w:r>
        <w:rPr>
          <w:rtl w:val="true"/>
        </w:rPr>
        <w:t>כי לא ניתן להתעלם מגילו הצעיר של המשיב בעת ביצוע העבירות ומהיותו בן גילן של הנפגעות</w:t>
      </w:r>
      <w:r>
        <w:rPr>
          <w:rtl w:val="true"/>
        </w:rPr>
        <w:t xml:space="preserve">. </w:t>
      </w:r>
      <w:r>
        <w:rPr>
          <w:rtl w:val="true"/>
        </w:rPr>
        <w:t>בהקשר זה הוסף</w:t>
      </w:r>
      <w:r>
        <w:rPr>
          <w:rtl w:val="true"/>
        </w:rPr>
        <w:t xml:space="preserve">, </w:t>
      </w:r>
      <w:r>
        <w:rPr>
          <w:rtl w:val="true"/>
        </w:rPr>
        <w:t>כי מהפסיקה העוסקת בענישת קטינים עולה העדפה ברורה של האפיק השיקומי על פני עונש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המוטל רק כאשר דרכי ענישה אחרות אינן רלוונטיות או אפשריות</w:t>
      </w:r>
      <w:r>
        <w:rPr>
          <w:rtl w:val="true"/>
        </w:rPr>
        <w:t xml:space="preserve">. </w:t>
      </w:r>
      <w:r>
        <w:rPr>
          <w:rtl w:val="true"/>
        </w:rPr>
        <w:t>נקבע כי זה אינו המצב בענייננו</w:t>
      </w:r>
      <w:r>
        <w:rPr>
          <w:rtl w:val="true"/>
        </w:rPr>
        <w:t xml:space="preserve">. </w:t>
      </w:r>
      <w:r>
        <w:rPr>
          <w:rtl w:val="true"/>
        </w:rPr>
        <w:t>אף שהמשיב מצוי עדיין בתחילת הדרך ואף שהתקדמותו איטית</w:t>
      </w:r>
      <w:r>
        <w:rPr>
          <w:rtl w:val="true"/>
        </w:rPr>
        <w:t xml:space="preserve">, </w:t>
      </w:r>
      <w:r>
        <w:rPr>
          <w:rtl w:val="true"/>
        </w:rPr>
        <w:t>בשל נתוניו האישיותיים</w:t>
      </w:r>
      <w:r>
        <w:rPr>
          <w:rtl w:val="true"/>
        </w:rPr>
        <w:t xml:space="preserve">, </w:t>
      </w:r>
      <w:r>
        <w:rPr>
          <w:rtl w:val="true"/>
        </w:rPr>
        <w:t>גורמי הטיפול סברו כי קיימים בעניינו אופק טיפולי וסיכויי שיקום</w:t>
      </w:r>
      <w:r>
        <w:rPr>
          <w:rtl w:val="true"/>
        </w:rPr>
        <w:t xml:space="preserve">, </w:t>
      </w:r>
      <w:r>
        <w:rPr>
          <w:rtl w:val="true"/>
        </w:rPr>
        <w:t>ואף המליצו על המשך טיפול במעון נעול</w:t>
      </w:r>
      <w:r>
        <w:rPr>
          <w:rtl w:val="true"/>
        </w:rPr>
        <w:t xml:space="preserve">. </w:t>
      </w:r>
      <w:r>
        <w:rPr>
          <w:rtl w:val="true"/>
        </w:rPr>
        <w:t>במכלול הנסיבות</w:t>
      </w:r>
      <w:r>
        <w:rPr>
          <w:rtl w:val="true"/>
        </w:rPr>
        <w:t xml:space="preserve">, </w:t>
      </w:r>
      <w:r>
        <w:rPr>
          <w:rtl w:val="true"/>
        </w:rPr>
        <w:t>בהן העדרו של עבר פלילי</w:t>
      </w:r>
      <w:r>
        <w:rPr>
          <w:rtl w:val="true"/>
        </w:rPr>
        <w:t xml:space="preserve">, </w:t>
      </w:r>
      <w:r>
        <w:rPr>
          <w:rtl w:val="true"/>
        </w:rPr>
        <w:t>הודאתו של המשיב והחרטה שהביע</w:t>
      </w:r>
      <w:r>
        <w:rPr>
          <w:rtl w:val="true"/>
        </w:rPr>
        <w:t xml:space="preserve">, </w:t>
      </w:r>
      <w:r>
        <w:rPr>
          <w:rtl w:val="true"/>
        </w:rPr>
        <w:t>נקבע כי יש לקבל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ולא לגדוע את ההליך הטיפולי בו החל המשיב </w:t>
      </w:r>
      <w:r>
        <w:rPr>
          <w:rtl w:val="true"/>
        </w:rPr>
        <w:t>–</w:t>
      </w:r>
      <w:r>
        <w:rPr>
          <w:rtl w:val="true"/>
        </w:rPr>
        <w:t xml:space="preserve"> אותו יש להעדיף על פני מאסר לתקופה לא ארוכה</w:t>
      </w:r>
      <w:r>
        <w:rPr>
          <w:rtl w:val="true"/>
        </w:rPr>
        <w:t xml:space="preserve">, </w:t>
      </w:r>
      <w:r>
        <w:rPr>
          <w:rtl w:val="true"/>
        </w:rPr>
        <w:t>כמתחייב מן הפסיקה</w:t>
      </w:r>
      <w:r>
        <w:rPr>
          <w:rtl w:val="true"/>
        </w:rPr>
        <w:t xml:space="preserve">, </w:t>
      </w:r>
      <w:r>
        <w:rPr>
          <w:rtl w:val="true"/>
        </w:rPr>
        <w:t>ללא מענה טיפולי מתאים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tl w:val="true"/>
        </w:rPr>
        <w:t xml:space="preserve"> הסכים עם 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, </w:t>
      </w:r>
      <w:r>
        <w:rPr>
          <w:rtl w:val="true"/>
        </w:rPr>
        <w:t>והוסיף כי הרחקתו של המשיב למעון נעול לפרק הזמן המרבי האפשרי בדין</w:t>
      </w:r>
      <w:r>
        <w:rPr>
          <w:rtl w:val="true"/>
        </w:rPr>
        <w:t xml:space="preserve">, </w:t>
      </w:r>
      <w:r>
        <w:rPr>
          <w:rtl w:val="true"/>
        </w:rPr>
        <w:t>כשחירותו מוגבלת</w:t>
      </w:r>
      <w:r>
        <w:rPr>
          <w:rtl w:val="true"/>
        </w:rPr>
        <w:t xml:space="preserve">, </w:t>
      </w:r>
      <w:r>
        <w:rPr>
          <w:rtl w:val="true"/>
        </w:rPr>
        <w:t>כשהוא מפוקח ונדרש לעבור הליך של טיפול ושיקום</w:t>
      </w:r>
      <w:r>
        <w:rPr>
          <w:rtl w:val="true"/>
        </w:rPr>
        <w:t xml:space="preserve">, </w:t>
      </w:r>
      <w:r>
        <w:rPr>
          <w:rtl w:val="true"/>
        </w:rPr>
        <w:t>עונה הן על אינטרס השיקום והן על שיקולי הרתעה וגמול</w:t>
      </w:r>
      <w:r>
        <w:rPr>
          <w:rtl w:val="true"/>
        </w:rPr>
        <w:t xml:space="preserve">. </w:t>
      </w:r>
      <w:r>
        <w:rPr>
          <w:rtl w:val="true"/>
        </w:rPr>
        <w:br/>
      </w:r>
      <w:r>
        <w:rPr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בדעת מיעוט</w:t>
      </w:r>
      <w:r>
        <w:rPr>
          <w:rtl w:val="true"/>
        </w:rPr>
        <w:t xml:space="preserve">, </w:t>
      </w:r>
      <w:r>
        <w:rPr>
          <w:rtl w:val="true"/>
        </w:rPr>
        <w:t xml:space="preserve">סבר מנגד כי במקרה הנוכחי </w:t>
      </w:r>
      <w:r>
        <w:rPr>
          <w:rtl w:val="true"/>
        </w:rPr>
        <w:t>"</w:t>
      </w:r>
      <w:r>
        <w:rPr>
          <w:rtl w:val="true"/>
        </w:rPr>
        <w:t>יש להעדיף את הענישה על פני השיקום</w:t>
      </w:r>
      <w:r>
        <w:rPr>
          <w:rtl w:val="true"/>
        </w:rPr>
        <w:t xml:space="preserve">" </w:t>
      </w:r>
      <w:r>
        <w:rPr>
          <w:rtl w:val="true"/>
        </w:rPr>
        <w:t>ולהטיל על המשיב עונש של מאסר בפועל</w:t>
      </w:r>
      <w:r>
        <w:rPr>
          <w:rtl w:val="true"/>
        </w:rPr>
        <w:t xml:space="preserve">, </w:t>
      </w:r>
      <w:r>
        <w:rPr>
          <w:rtl w:val="true"/>
        </w:rPr>
        <w:t>בשל סיכויי השיקום של המשיב שאינם מובהקים</w:t>
      </w:r>
      <w:r>
        <w:rPr>
          <w:rtl w:val="true"/>
        </w:rPr>
        <w:t xml:space="preserve">, </w:t>
      </w:r>
      <w:r>
        <w:rPr>
          <w:rtl w:val="true"/>
        </w:rPr>
        <w:t>וחומרתן הרבה של העבירות שביצע</w:t>
      </w:r>
      <w:r>
        <w:rPr>
          <w:rtl w:val="true"/>
        </w:rPr>
        <w:t xml:space="preserve">. </w:t>
      </w:r>
      <w:r>
        <w:rPr>
          <w:rtl w:val="true"/>
        </w:rPr>
        <w:t>בחוות דעתו ציין</w:t>
      </w:r>
      <w:r>
        <w:rPr>
          <w:rtl w:val="true"/>
        </w:rPr>
        <w:t xml:space="preserve">, </w:t>
      </w:r>
      <w:r>
        <w:rPr>
          <w:rtl w:val="true"/>
        </w:rPr>
        <w:t>לעניין סיכויי השיקום</w:t>
      </w:r>
      <w:r>
        <w:rPr>
          <w:rtl w:val="true"/>
        </w:rPr>
        <w:t xml:space="preserve">, </w:t>
      </w:r>
      <w:r>
        <w:rPr>
          <w:rtl w:val="true"/>
        </w:rPr>
        <w:t>כי הגם שקיים אופק שיקומי</w:t>
      </w:r>
      <w:r>
        <w:rPr>
          <w:rtl w:val="true"/>
        </w:rPr>
        <w:t xml:space="preserve">, </w:t>
      </w:r>
      <w:r>
        <w:rPr>
          <w:rtl w:val="true"/>
        </w:rPr>
        <w:t>זה אינו נקי מספקות ולא ברור אם הוא יביא לתוצאה המקווה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לנוכח מאפייני אישיותו של המשיב</w:t>
      </w:r>
      <w:r>
        <w:rPr>
          <w:rtl w:val="true"/>
        </w:rPr>
        <w:t xml:space="preserve">, </w:t>
      </w:r>
      <w:r>
        <w:rPr>
          <w:rtl w:val="true"/>
        </w:rPr>
        <w:t>המקשים על קביעת פרוגנוזה חיובית לשיקומו</w:t>
      </w:r>
      <w:r>
        <w:rPr>
          <w:rtl w:val="true"/>
        </w:rPr>
        <w:t xml:space="preserve">; </w:t>
      </w:r>
      <w:r>
        <w:rPr>
          <w:rtl w:val="true"/>
        </w:rPr>
        <w:t>בשל כשל קודם בהליך טיפולי אליו הופנה המשיב</w:t>
      </w:r>
      <w:r>
        <w:rPr>
          <w:rtl w:val="true"/>
        </w:rPr>
        <w:t xml:space="preserve">, </w:t>
      </w:r>
      <w:r>
        <w:rPr>
          <w:rtl w:val="true"/>
        </w:rPr>
        <w:t>עקב עבירה בתחום הסמים שביצע בעבר</w:t>
      </w:r>
      <w:r>
        <w:rPr>
          <w:rtl w:val="true"/>
        </w:rPr>
        <w:t xml:space="preserve">; </w:t>
      </w:r>
      <w:r>
        <w:rPr>
          <w:rtl w:val="true"/>
        </w:rPr>
        <w:t>והתקדמותו האיטית בהליך הטיפולי כיום</w:t>
      </w:r>
      <w:r>
        <w:rPr>
          <w:rtl w:val="true"/>
        </w:rPr>
        <w:t xml:space="preserve">, </w:t>
      </w:r>
      <w:r>
        <w:rPr>
          <w:rtl w:val="true"/>
        </w:rPr>
        <w:t>הקשורה</w:t>
      </w:r>
      <w:r>
        <w:rPr>
          <w:rtl w:val="true"/>
        </w:rPr>
        <w:t xml:space="preserve">, </w:t>
      </w:r>
      <w:r>
        <w:rPr>
          <w:rtl w:val="true"/>
        </w:rPr>
        <w:t xml:space="preserve">על פי התרשמותו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 xml:space="preserve">ביכולת </w:t>
      </w:r>
      <w:r>
        <w:rPr>
          <w:rtl w:val="true"/>
        </w:rPr>
        <w:t>ובתובנה</w:t>
      </w:r>
      <w:r>
        <w:rPr>
          <w:rtl w:val="true"/>
        </w:rPr>
        <w:t xml:space="preserve"> שלו לעבור את ההליך</w:t>
      </w:r>
      <w:r>
        <w:rPr>
          <w:rtl w:val="true"/>
        </w:rPr>
        <w:t xml:space="preserve">. </w:t>
      </w:r>
      <w:r>
        <w:rPr>
          <w:rtl w:val="true"/>
        </w:rPr>
        <w:t>אשר לשיקול של חומרת המעשים נקבע</w:t>
      </w:r>
      <w:r>
        <w:rPr>
          <w:rtl w:val="true"/>
        </w:rPr>
        <w:t xml:space="preserve">, </w:t>
      </w:r>
      <w:r>
        <w:rPr>
          <w:rtl w:val="true"/>
        </w:rPr>
        <w:t>כי גם אם נניח שכל אחד מן האירועים כשלעצמו אינו ברף חומרה גבוה של עבירות המין</w:t>
      </w:r>
      <w:r>
        <w:rPr>
          <w:rtl w:val="true"/>
        </w:rPr>
        <w:t xml:space="preserve">, </w:t>
      </w:r>
      <w:r>
        <w:rPr>
          <w:rtl w:val="true"/>
        </w:rPr>
        <w:t>הרי שצבר המעשים יוצר תמונה עגומה וקשה</w:t>
      </w:r>
      <w:r>
        <w:rPr>
          <w:rtl w:val="true"/>
        </w:rPr>
        <w:t xml:space="preserve">. </w:t>
      </w:r>
      <w:r>
        <w:rPr>
          <w:rtl w:val="true"/>
        </w:rPr>
        <w:t>צוין כי חלק מן האישומים כוללים בחובם מספר אירועים</w:t>
      </w:r>
      <w:r>
        <w:rPr>
          <w:rtl w:val="true"/>
        </w:rPr>
        <w:t xml:space="preserve">, </w:t>
      </w:r>
      <w:r>
        <w:rPr>
          <w:rtl w:val="true"/>
        </w:rPr>
        <w:t>וכי חלה אסקלציה במעשים במהלך השנים</w:t>
      </w:r>
      <w:r>
        <w:rPr>
          <w:rtl w:val="true"/>
        </w:rPr>
        <w:t xml:space="preserve">. </w:t>
      </w:r>
      <w:r>
        <w:rPr>
          <w:rtl w:val="true"/>
        </w:rPr>
        <w:t>על רקע האמור סבר 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 חלף הקביעה שהמשיב יוחזק במעון נעול</w:t>
      </w:r>
      <w:r>
        <w:rPr>
          <w:rtl w:val="true"/>
        </w:rPr>
        <w:t xml:space="preserve">, </w:t>
      </w:r>
      <w:r>
        <w:rPr>
          <w:rtl w:val="true"/>
        </w:rPr>
        <w:t xml:space="preserve">יש להשית עליו עונש מאסר לתקופה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עמדת שופטי הרוב</w:t>
      </w:r>
      <w:r>
        <w:rPr>
          <w:rtl w:val="true"/>
        </w:rPr>
        <w:t xml:space="preserve">, </w:t>
      </w:r>
      <w:r>
        <w:rPr>
          <w:rtl w:val="true"/>
        </w:rPr>
        <w:t>הושתו על המשיב העונשים הבאים</w:t>
      </w:r>
      <w:r>
        <w:rPr>
          <w:rtl w:val="true"/>
        </w:rPr>
        <w:t xml:space="preserve">: </w:t>
      </w:r>
      <w:r>
        <w:rPr>
          <w:rtl w:val="true"/>
        </w:rPr>
        <w:t xml:space="preserve">צו החזקה במעון נעול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ותשעה חודשים </w:t>
      </w:r>
      <w:r>
        <w:rPr>
          <w:rtl w:val="true"/>
        </w:rPr>
        <w:t>(</w:t>
      </w:r>
      <w:r>
        <w:rPr>
          <w:rtl w:val="true"/>
        </w:rPr>
        <w:t xml:space="preserve">עד הגיעו לגיל </w:t>
      </w:r>
      <w:r>
        <w:rPr/>
        <w:t>21</w:t>
      </w:r>
      <w:r>
        <w:rPr>
          <w:rtl w:val="true"/>
        </w:rPr>
        <w:t xml:space="preserve">);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שחרורו מהמעון הנעול</w:t>
      </w:r>
      <w:r>
        <w:rPr>
          <w:rtl w:val="true"/>
        </w:rPr>
        <w:t xml:space="preserve">; </w:t>
      </w:r>
      <w:r>
        <w:rPr>
          <w:rtl w:val="true"/>
        </w:rPr>
        <w:t xml:space="preserve">פיצוי בסך של </w:t>
      </w:r>
      <w:r>
        <w:rPr/>
        <w:t>120,000</w:t>
      </w:r>
      <w:r>
        <w:rPr>
          <w:rtl w:val="true"/>
        </w:rPr>
        <w:t xml:space="preserve"> ₪ </w:t>
      </w:r>
      <w:r>
        <w:rPr>
          <w:rtl w:val="true"/>
        </w:rPr>
        <w:t>שיחולק באופן שווה בין הנפגעות</w:t>
      </w:r>
      <w:r>
        <w:rPr>
          <w:rtl w:val="true"/>
        </w:rPr>
        <w:t xml:space="preserve">; </w:t>
      </w:r>
      <w:r>
        <w:rPr>
          <w:rtl w:val="true"/>
        </w:rPr>
        <w:t xml:space="preserve">והתחייבות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למשך שנתיים מיום שחרורו מהמעון הנעול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בו מבקשת המדינה לאמץ את עמדת המיעוט</w:t>
      </w:r>
      <w:r>
        <w:rPr>
          <w:rtl w:val="true"/>
        </w:rPr>
        <w:t xml:space="preserve">, </w:t>
      </w:r>
      <w:r>
        <w:rPr>
          <w:rtl w:val="true"/>
        </w:rPr>
        <w:t>ולהשית על המשיב עונש מאסר בפועל לתקופה משמעותית</w:t>
      </w:r>
      <w:r>
        <w:rPr>
          <w:rtl w:val="true"/>
        </w:rPr>
        <w:t xml:space="preserve">. </w:t>
      </w:r>
      <w:r>
        <w:rPr>
          <w:rtl w:val="true"/>
        </w:rPr>
        <w:br/>
        <w:br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 טוענת כי בית המשפט המחוזי</w:t>
      </w:r>
      <w:r>
        <w:rPr>
          <w:rtl w:val="true"/>
        </w:rPr>
        <w:t xml:space="preserve">, </w:t>
      </w:r>
      <w:r>
        <w:rPr>
          <w:rtl w:val="true"/>
        </w:rPr>
        <w:t>בדעת הרוב</w:t>
      </w:r>
      <w:r>
        <w:rPr>
          <w:rtl w:val="true"/>
        </w:rPr>
        <w:t xml:space="preserve">, </w:t>
      </w:r>
      <w:r>
        <w:rPr>
          <w:rtl w:val="true"/>
        </w:rPr>
        <w:t xml:space="preserve">שגה </w:t>
      </w:r>
      <w:r>
        <w:rPr>
          <w:rtl w:val="true"/>
        </w:rPr>
        <w:t>"</w:t>
      </w:r>
      <w:r>
        <w:rPr>
          <w:rtl w:val="true"/>
        </w:rPr>
        <w:t>באומדן חומרת העבירות שביצע המשיב</w:t>
      </w:r>
      <w:r>
        <w:rPr>
          <w:rtl w:val="true"/>
        </w:rPr>
        <w:t xml:space="preserve">, </w:t>
      </w:r>
      <w:r>
        <w:rPr>
          <w:rtl w:val="true"/>
        </w:rPr>
        <w:t>ובפירוש סיכויי השיקום בעניינו</w:t>
      </w:r>
      <w:r>
        <w:rPr>
          <w:rtl w:val="true"/>
        </w:rPr>
        <w:t xml:space="preserve">". </w:t>
      </w:r>
      <w:r>
        <w:rPr>
          <w:rtl w:val="true"/>
        </w:rPr>
        <w:t>בהתייחס לחומרת העבירות הודגש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מדובר במעשים ברף חומרה גבוה</w:t>
      </w:r>
      <w:r>
        <w:rPr>
          <w:rtl w:val="true"/>
        </w:rPr>
        <w:t xml:space="preserve">, </w:t>
      </w:r>
      <w:r>
        <w:rPr>
          <w:rtl w:val="true"/>
        </w:rPr>
        <w:t>שבוצעו לאורך תקופה ממושכת בנסיבות המלמדות על מסוכנות רבתי</w:t>
      </w:r>
      <w:r>
        <w:rPr>
          <w:rtl w:val="true"/>
        </w:rPr>
        <w:t xml:space="preserve">. </w:t>
      </w:r>
      <w:r>
        <w:rPr>
          <w:rtl w:val="true"/>
        </w:rPr>
        <w:t>הודגש ריבוי הנפגעות וריבוי המעשים</w:t>
      </w:r>
      <w:r>
        <w:rPr>
          <w:rtl w:val="true"/>
        </w:rPr>
        <w:t xml:space="preserve">, </w:t>
      </w:r>
      <w:r>
        <w:rPr>
          <w:rtl w:val="true"/>
        </w:rPr>
        <w:t>כמו גם ביצוע המעשים חרף אי</w:t>
      </w:r>
      <w:r>
        <w:rPr>
          <w:rtl w:val="true"/>
        </w:rPr>
        <w:t>-</w:t>
      </w:r>
      <w:r>
        <w:rPr>
          <w:rtl w:val="true"/>
        </w:rPr>
        <w:t>הסכמתן הברורה של הנפגעות</w:t>
      </w:r>
      <w:r>
        <w:rPr>
          <w:rtl w:val="true"/>
        </w:rPr>
        <w:t xml:space="preserve">, </w:t>
      </w:r>
      <w:r>
        <w:rPr>
          <w:rtl w:val="true"/>
        </w:rPr>
        <w:t>בנסיבות חברתיות ובתהליך מסלים</w:t>
      </w:r>
      <w:r>
        <w:rPr>
          <w:rtl w:val="true"/>
        </w:rPr>
        <w:t xml:space="preserve">. </w:t>
      </w:r>
      <w:r>
        <w:rPr>
          <w:rtl w:val="true"/>
        </w:rPr>
        <w:t>פורטה גם תמונת הנזק הקשה והמורכבת של הנפגעות</w:t>
      </w:r>
      <w:r>
        <w:rPr>
          <w:rtl w:val="true"/>
        </w:rPr>
        <w:t xml:space="preserve">, </w:t>
      </w:r>
      <w:r>
        <w:rPr>
          <w:rtl w:val="true"/>
        </w:rPr>
        <w:t>כולן קטינות</w:t>
      </w:r>
      <w:r>
        <w:rPr>
          <w:rtl w:val="true"/>
        </w:rPr>
        <w:t xml:space="preserve">, </w:t>
      </w:r>
      <w:r>
        <w:rPr>
          <w:rtl w:val="true"/>
        </w:rPr>
        <w:t>הנאלצות להתמודד כיום עם תוצאות מעשיו של המשיב</w:t>
      </w:r>
      <w:r>
        <w:rPr>
          <w:rtl w:val="true"/>
        </w:rPr>
        <w:t xml:space="preserve">. </w:t>
      </w:r>
      <w:r>
        <w:rPr>
          <w:rtl w:val="true"/>
        </w:rPr>
        <w:t>אשר להליך השיקום נטען</w:t>
      </w:r>
      <w:r>
        <w:rPr>
          <w:rtl w:val="true"/>
        </w:rPr>
        <w:t xml:space="preserve">, </w:t>
      </w:r>
      <w:r>
        <w:rPr>
          <w:rtl w:val="true"/>
        </w:rPr>
        <w:t>כי המורכבות העולה מתסקירי שירות המבחן בעניינו של המשיב</w:t>
      </w:r>
      <w:r>
        <w:rPr>
          <w:rtl w:val="true"/>
        </w:rPr>
        <w:t xml:space="preserve">, </w:t>
      </w:r>
      <w:r>
        <w:rPr>
          <w:rtl w:val="true"/>
        </w:rPr>
        <w:t>כפי שפורטה בחוות דעתו של שופט המיעוט</w:t>
      </w:r>
      <w:r>
        <w:rPr>
          <w:rtl w:val="true"/>
        </w:rPr>
        <w:t xml:space="preserve">, </w:t>
      </w:r>
      <w:r>
        <w:rPr>
          <w:rtl w:val="true"/>
        </w:rPr>
        <w:t>מעלה ספק ממשי בדבר סיכויי שיקומו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נטען כי שיקולי גמול והרתעה מטים את הכף לטובת הטלת עונש מאסר לתקופה משמעותית</w:t>
      </w:r>
      <w:r>
        <w:rPr>
          <w:rtl w:val="true"/>
        </w:rPr>
        <w:t xml:space="preserve">. </w:t>
      </w:r>
      <w:r>
        <w:rPr>
          <w:rtl w:val="true"/>
        </w:rPr>
        <w:t>טענה נוספת של המערערת היא</w:t>
      </w:r>
      <w:r>
        <w:rPr>
          <w:rtl w:val="true"/>
        </w:rPr>
        <w:t xml:space="preserve">, </w:t>
      </w:r>
      <w:r>
        <w:rPr>
          <w:rtl w:val="true"/>
        </w:rPr>
        <w:t>כי נפלה שגיאה משפטית בגזר הדין של שופטי הרוב בגדרו הושת על המשיב צו החזקה במעון נעול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 xml:space="preserve">עד הגיעו לגיל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בעוד שלפי הוראות חוק הנוער</w:t>
      </w:r>
      <w:r>
        <w:rPr>
          <w:rtl w:val="true"/>
        </w:rPr>
        <w:t xml:space="preserve">, </w:t>
      </w:r>
      <w:r>
        <w:rPr>
          <w:rtl w:val="true"/>
        </w:rPr>
        <w:t xml:space="preserve">צו כאמור מוגבל עד הגיע הקטין לגיל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נטען כי אלמלא שגיאה זו ספק אם שופטי הרוב היו רואים בהחזקה במעון נעול עונש הולם</w:t>
      </w:r>
      <w:r>
        <w:rPr>
          <w:rtl w:val="true"/>
        </w:rPr>
        <w:t xml:space="preserve">, </w:t>
      </w:r>
      <w:r>
        <w:rPr>
          <w:rtl w:val="true"/>
        </w:rPr>
        <w:t>מקום שייחסו חשיבות רבה לשהיית המשיב במעון נעול למשך תקופה ממושכת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מנגד סומך ידיו על עמדת הרוב בגזר הדין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העונש שהושת עליו ראוי</w:t>
      </w:r>
      <w:r>
        <w:rPr>
          <w:rtl w:val="true"/>
        </w:rPr>
        <w:t xml:space="preserve">, </w:t>
      </w:r>
      <w:r>
        <w:rPr>
          <w:rtl w:val="true"/>
        </w:rPr>
        <w:t>לאור המלצת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והפסיקה הנוהגת בנושא ענישת קטינים</w:t>
      </w:r>
      <w:r>
        <w:rPr>
          <w:rtl w:val="true"/>
        </w:rPr>
        <w:t xml:space="preserve">.  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עדכני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 הונח לפנינו תסקיר עדכני של שירות המבחן</w:t>
      </w:r>
      <w:r>
        <w:rPr>
          <w:rtl w:val="true"/>
        </w:rPr>
        <w:t xml:space="preserve">, </w:t>
      </w:r>
      <w:r>
        <w:rPr>
          <w:rtl w:val="true"/>
        </w:rPr>
        <w:t>המתייחס לתפקודו של המשיב במעון הנעול ואופן התקדמותו בהליך הטיפולי מאז ניתן גזר הדין</w:t>
      </w:r>
      <w:r>
        <w:rPr>
          <w:rtl w:val="true"/>
        </w:rPr>
        <w:t xml:space="preserve">. </w:t>
      </w:r>
      <w:r>
        <w:rPr>
          <w:rtl w:val="true"/>
        </w:rPr>
        <w:t>בתמצית יצוין</w:t>
      </w:r>
      <w:r>
        <w:rPr>
          <w:rtl w:val="true"/>
        </w:rPr>
        <w:t xml:space="preserve">, </w:t>
      </w:r>
      <w:r>
        <w:rPr>
          <w:rtl w:val="true"/>
        </w:rPr>
        <w:t>כי בתסקיר מתואר כי המשיב ממשיך לשמור על תפקוד תקין במעון</w:t>
      </w:r>
      <w:r>
        <w:rPr>
          <w:rtl w:val="true"/>
        </w:rPr>
        <w:t xml:space="preserve">, </w:t>
      </w:r>
      <w:r>
        <w:rPr>
          <w:rtl w:val="true"/>
        </w:rPr>
        <w:t>וכי ביחס להליך הטיפולי</w:t>
      </w:r>
      <w:r>
        <w:rPr>
          <w:rtl w:val="true"/>
        </w:rPr>
        <w:t xml:space="preserve">, </w:t>
      </w:r>
      <w:r>
        <w:rPr>
          <w:rtl w:val="true"/>
        </w:rPr>
        <w:t>ניכרת התקדמות</w:t>
      </w:r>
      <w:r>
        <w:rPr>
          <w:rtl w:val="true"/>
        </w:rPr>
        <w:t xml:space="preserve">, </w:t>
      </w:r>
      <w:r>
        <w:rPr>
          <w:rtl w:val="true"/>
        </w:rPr>
        <w:t xml:space="preserve">גם אם איטית </w:t>
      </w:r>
      <w:r>
        <w:rPr>
          <w:rtl w:val="true"/>
        </w:rPr>
        <w:t>–</w:t>
      </w:r>
      <w:r>
        <w:rPr>
          <w:rtl w:val="true"/>
        </w:rPr>
        <w:t xml:space="preserve"> ביכולתו של המשיב ליטול אחריות לדפוסי התנהגותו</w:t>
      </w:r>
      <w:r>
        <w:rPr>
          <w:rtl w:val="true"/>
        </w:rPr>
        <w:t xml:space="preserve">, </w:t>
      </w:r>
      <w:r>
        <w:rPr>
          <w:rtl w:val="true"/>
        </w:rPr>
        <w:t>ולראות עצמו כפוגע</w:t>
      </w:r>
      <w:r>
        <w:rPr>
          <w:rtl w:val="true"/>
        </w:rPr>
        <w:t xml:space="preserve">. </w:t>
      </w:r>
      <w:r>
        <w:rPr>
          <w:rtl w:val="true"/>
        </w:rPr>
        <w:t>הוערך כי המשיב נתרם מהמסגרת הטיפולית במעון</w:t>
      </w:r>
      <w:r>
        <w:rPr>
          <w:rtl w:val="true"/>
        </w:rPr>
        <w:t xml:space="preserve">, </w:t>
      </w:r>
      <w:r>
        <w:rPr>
          <w:rtl w:val="true"/>
        </w:rPr>
        <w:t>וכי טיפול ממושך ואינטנסיבי עשוי לסייע לו לחיות חיים בריאים יותר ולהפחית את הסיכון לביצוע עבירות מין נוספות</w:t>
      </w:r>
      <w:r>
        <w:rPr>
          <w:rtl w:val="true"/>
        </w:rPr>
        <w:t xml:space="preserve">. </w:t>
      </w:r>
      <w:r>
        <w:rPr>
          <w:rtl w:val="true"/>
        </w:rPr>
        <w:t>צוין כי אמנם למשיב נכונה עבודה משמעותית וארוכת טווח במישור הטיפולי</w:t>
      </w:r>
      <w:r>
        <w:rPr>
          <w:rtl w:val="true"/>
        </w:rPr>
        <w:t xml:space="preserve">, </w:t>
      </w:r>
      <w:r>
        <w:rPr>
          <w:rtl w:val="true"/>
        </w:rPr>
        <w:t>אולם להערכת שירות המבחן</w:t>
      </w:r>
      <w:r>
        <w:rPr>
          <w:rtl w:val="true"/>
        </w:rPr>
        <w:t xml:space="preserve">, </w:t>
      </w:r>
      <w:r>
        <w:rPr>
          <w:rtl w:val="true"/>
        </w:rPr>
        <w:t>יש לו את הכוחות והיכולת לכך</w:t>
      </w:r>
      <w:r>
        <w:rPr>
          <w:rtl w:val="true"/>
        </w:rPr>
        <w:t xml:space="preserve">. </w:t>
      </w:r>
      <w:r>
        <w:rPr>
          <w:rtl w:val="true"/>
        </w:rPr>
        <w:t>כן הוערך כי מאסר מאחורי סורג ובריח יקטע את התהליך הטיפולי של המשיב</w:t>
      </w:r>
      <w:r>
        <w:rPr>
          <w:rtl w:val="true"/>
        </w:rPr>
        <w:t xml:space="preserve">, </w:t>
      </w:r>
      <w:r>
        <w:rPr>
          <w:rtl w:val="true"/>
        </w:rPr>
        <w:t>ובשל מאפייני אישיותו אף עלול להוביל לרגרסיה משמעותית</w:t>
      </w:r>
      <w:r>
        <w:rPr>
          <w:rtl w:val="true"/>
        </w:rPr>
        <w:t xml:space="preserve">, </w:t>
      </w:r>
      <w:r>
        <w:rPr>
          <w:rtl w:val="true"/>
        </w:rPr>
        <w:t>ולחשיפת צדדים באישיותו אשר עשויים להגביר את גורמי הסיכון בעניינו</w:t>
      </w:r>
      <w:r>
        <w:rPr>
          <w:rtl w:val="true"/>
        </w:rPr>
        <w:t xml:space="preserve">. </w:t>
      </w:r>
      <w:r>
        <w:rPr>
          <w:rtl w:val="true"/>
        </w:rPr>
        <w:t>ולבסוף 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בתסקיר שהוגש לבית המשפט המחוזי נפלה טעות בהמלצה להטיל על המשיב צו החזקה במעון נעול עד לגיל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שכן על פי חוק הנוער ניתן להטיל צו כאמור עד לגיל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הומלץ להטיל על המשיב צו החזקה במעון נעול עד שימלאו לו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צו מבחן בתנאי מגורים במעון הנעול לשנה נוספת</w:t>
      </w:r>
      <w:r>
        <w:rPr>
          <w:rtl w:val="true"/>
        </w:rPr>
        <w:t xml:space="preserve">, </w:t>
      </w:r>
      <w:r>
        <w:rPr>
          <w:rtl w:val="true"/>
        </w:rPr>
        <w:t xml:space="preserve">עד הגיעו לגיל </w:t>
      </w:r>
      <w:r>
        <w:rPr/>
        <w:t>21</w:t>
      </w:r>
      <w:r>
        <w:rPr>
          <w:rtl w:val="true"/>
        </w:rPr>
        <w:t xml:space="preserve">;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ליתן צו מבחן בקהילה לשנה נוספת</w:t>
      </w:r>
      <w:r>
        <w:rPr>
          <w:rtl w:val="true"/>
        </w:rPr>
        <w:t xml:space="preserve">, </w:t>
      </w:r>
      <w:r>
        <w:rPr>
          <w:rtl w:val="true"/>
        </w:rPr>
        <w:t>לצורך ליווי המשיב לאחר סיום שהותו במעון</w:t>
      </w:r>
      <w:r>
        <w:rPr>
          <w:rtl w:val="true"/>
        </w:rPr>
        <w:t xml:space="preserve">. </w:t>
      </w:r>
      <w:r>
        <w:rPr>
          <w:rtl w:val="true"/>
        </w:rPr>
        <w:t>כן הומלץ להותיר את יתר רכיבי הענישה על כנם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27.12.2023</w:t>
      </w:r>
      <w:r>
        <w:rPr>
          <w:rtl w:val="true"/>
        </w:rPr>
        <w:t xml:space="preserve"> </w:t>
      </w:r>
      <w:r>
        <w:rPr>
          <w:rtl w:val="true"/>
        </w:rPr>
        <w:t>קיימנו דיון בערעור</w:t>
      </w:r>
      <w:r>
        <w:rPr>
          <w:rtl w:val="true"/>
        </w:rPr>
        <w:t xml:space="preserve">, </w:t>
      </w:r>
      <w:r>
        <w:rPr>
          <w:rtl w:val="true"/>
        </w:rPr>
        <w:t>בו טענו באי</w:t>
      </w:r>
      <w:r>
        <w:rPr>
          <w:rtl w:val="true"/>
        </w:rPr>
        <w:t>-</w:t>
      </w:r>
      <w:r>
        <w:rPr>
          <w:rtl w:val="true"/>
        </w:rPr>
        <w:t>כוחם של הצדדים</w:t>
      </w:r>
      <w:r>
        <w:rPr>
          <w:rtl w:val="true"/>
        </w:rPr>
        <w:t xml:space="preserve">, </w:t>
      </w:r>
      <w:r>
        <w:rPr>
          <w:rtl w:val="true"/>
        </w:rPr>
        <w:t>וכן נשמעו דבריהם של נציגת שירות המבחן לנוער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 </w:t>
      </w:r>
      <w:r>
        <w:rPr>
          <w:rtl w:val="true"/>
        </w:rPr>
        <w:t>המטפלת</w:t>
      </w:r>
      <w:r>
        <w:rPr>
          <w:rtl w:val="true"/>
        </w:rPr>
        <w:t xml:space="preserve"> </w:t>
      </w:r>
      <w:r>
        <w:rPr>
          <w:rtl w:val="true"/>
        </w:rPr>
        <w:t>במשיב</w:t>
      </w:r>
      <w:r>
        <w:rPr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br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במכלול החומר שהונח לפנינו</w:t>
      </w:r>
      <w:r>
        <w:rPr>
          <w:rtl w:val="true"/>
        </w:rPr>
        <w:t xml:space="preserve">, </w:t>
      </w:r>
      <w:r>
        <w:rPr>
          <w:rtl w:val="true"/>
        </w:rPr>
        <w:t>ובטענות הצדדים כפי שהועלו 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יש לדחות את הערעור בכל המתייחס לעתירת המדינה להטיל על המשיב עונש מאסר מאחורי סורג ובריח </w:t>
      </w:r>
      <w:r>
        <w:rPr>
          <w:rtl w:val="true"/>
        </w:rPr>
        <w:t>–</w:t>
      </w:r>
      <w:r>
        <w:rPr>
          <w:rtl w:val="true"/>
        </w:rPr>
        <w:t xml:space="preserve"> וכך אציע לחבריי שנעשה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אציע כי נתקן את הטעון תיקון במשכו של צו ההחזקה במעון הנעול שהוטל על המשיב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להמלצות שירות המבחן </w:t>
      </w:r>
      <w:r>
        <w:rPr>
          <w:rtl w:val="true"/>
        </w:rPr>
        <w:t>–</w:t>
      </w:r>
      <w:r>
        <w:rPr>
          <w:rtl w:val="true"/>
        </w:rPr>
        <w:t xml:space="preserve"> הכול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מערכת השיקולים שיש להפעיל בעת גזירת עונשו של קטין</w:t>
      </w:r>
      <w:r>
        <w:rPr>
          <w:rtl w:val="true"/>
        </w:rPr>
        <w:t xml:space="preserve">, </w:t>
      </w:r>
      <w:r>
        <w:rPr>
          <w:rtl w:val="true"/>
        </w:rPr>
        <w:t>שונה מזו שיש להפעיל בעת גזירת עונשו של בגיר</w:t>
      </w:r>
      <w:r>
        <w:rPr>
          <w:rtl w:val="true"/>
        </w:rPr>
        <w:t xml:space="preserve">.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hyperlink r:id="rId4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הנוער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שפיטה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ענישה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ודרכי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טיפול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1971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מוסיף וקובע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התאמתם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הוראות אלה משמיעות כי העקרונות והשיקולים המנויים </w:t>
      </w:r>
      <w:hyperlink r:id="rId51">
        <w:r>
          <w:rPr>
            <w:rStyle w:val="Hyperlink"/>
            <w:rtl w:val="true"/>
          </w:rPr>
          <w:t>בסימן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לפרק ו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העוסק בהבניית שיקול הדעת השיפוטי בענישה</w:t>
      </w:r>
      <w:r>
        <w:rPr>
          <w:rtl w:val="true"/>
        </w:rPr>
        <w:t xml:space="preserve">, </w:t>
      </w:r>
      <w:r>
        <w:rPr>
          <w:rtl w:val="true"/>
        </w:rPr>
        <w:t>כפי שחוקק בתיקון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–</w:t>
      </w:r>
      <w:r>
        <w:rPr>
          <w:rtl w:val="true"/>
        </w:rPr>
        <w:t xml:space="preserve"> אינם חלים במישרין על ענישת קטינים</w:t>
      </w:r>
      <w:r>
        <w:rPr>
          <w:rtl w:val="true"/>
        </w:rPr>
        <w:t xml:space="preserve">. </w:t>
      </w:r>
      <w:r>
        <w:rPr>
          <w:rtl w:val="true"/>
        </w:rPr>
        <w:t>בית המשפט רשאי להתחשב בשיקולים אלה בעת גזירת דינו של קטין</w:t>
      </w:r>
      <w:r>
        <w:rPr>
          <w:rtl w:val="true"/>
        </w:rPr>
        <w:t xml:space="preserve">, </w:t>
      </w:r>
      <w:r>
        <w:rPr>
          <w:rtl w:val="true"/>
        </w:rPr>
        <w:t>ואולם הוא מחויב</w:t>
      </w:r>
      <w:r>
        <w:rPr>
          <w:rtl w:val="true"/>
        </w:rPr>
        <w:t xml:space="preserve">, </w:t>
      </w:r>
      <w:r>
        <w:rPr>
          <w:rtl w:val="true"/>
        </w:rPr>
        <w:t>ראשית לכל</w:t>
      </w:r>
      <w:r>
        <w:rPr>
          <w:rtl w:val="true"/>
        </w:rPr>
        <w:t xml:space="preserve">, </w:t>
      </w:r>
      <w:r>
        <w:rPr>
          <w:rtl w:val="true"/>
        </w:rPr>
        <w:t xml:space="preserve">לעקרונות הטיפול והענישה אותם מתווה חוק הנוער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3203/13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20.11.2013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1589/23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7.8.2023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22.11.2023</w:t>
      </w:r>
      <w:r>
        <w:rPr>
          <w:rtl w:val="true"/>
        </w:rPr>
        <w:t xml:space="preserve">); </w:t>
      </w:r>
      <w:hyperlink r:id="rId5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5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הנוער</w:t>
      </w:r>
      <w:r>
        <w:rPr>
          <w:rFonts w:ascii="Century" w:hAnsi="Century" w:cs="Century"/>
          <w:szCs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מורנו כי</w:t>
      </w:r>
      <w:r>
        <w:rPr>
          <w:rFonts w:ascii="Century" w:hAnsi="Century" w:cs="Century"/>
          <w:sz w:val="22"/>
          <w:sz w:val="22"/>
          <w:szCs w:val="22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סמכויות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ונקיטת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שילובו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ותקנת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szCs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עייפה הפסיקה מלהדגיש כי בכל הנוגע לענישת קטינים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להעניק מעמד בכורה לנסיבותיו האישיות של הקטין ולסיכויי שיקומו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שיקולים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הם שיקולים הצופים מטבעם פני עתיד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בניגוד לעקרון ההלימה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העקרון המנחה בענישת בגירים לאחר תיקון </w:t>
      </w:r>
      <w:r>
        <w:rPr>
          <w:rFonts w:cs="Century" w:ascii="Century" w:hAnsi="Century"/>
          <w:sz w:val="22"/>
        </w:rPr>
        <w:t>113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אשר נגזר בעיקרו משיקולי גמול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הצופים מטבעם פני עבר </w:t>
      </w:r>
      <w:r>
        <w:rPr>
          <w:rFonts w:cs="Century" w:ascii="Century" w:hAnsi="Century"/>
          <w:sz w:val="22"/>
          <w:rtl w:val="true"/>
        </w:rPr>
        <w:t>(</w:t>
      </w:r>
      <w:hyperlink r:id="rId5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5725/15</w:t>
        </w:r>
      </w:hyperlink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פסקה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4.8.2016</w:t>
      </w:r>
      <w:r>
        <w:rPr>
          <w:sz w:val="22"/>
          <w:rtl w:val="true"/>
        </w:rPr>
        <w:t xml:space="preserve">); </w:t>
      </w:r>
      <w:hyperlink r:id="rId6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8197/22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בפסקאות </w:t>
      </w:r>
      <w:r>
        <w:rPr>
          <w:rFonts w:cs="Century" w:ascii="Century" w:hAnsi="Century"/>
          <w:sz w:val="22"/>
        </w:rPr>
        <w:t>21-19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קטינות אינה יוצרת חסינות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מפני ענישה ראויה</w:t>
      </w:r>
      <w:r>
        <w:rPr>
          <w:rtl w:val="true"/>
        </w:rPr>
        <w:t xml:space="preserve">, </w:t>
      </w:r>
      <w:r>
        <w:rPr>
          <w:rtl w:val="true"/>
        </w:rPr>
        <w:t>ולעיתים שיקולי גמול</w:t>
      </w:r>
      <w:r>
        <w:rPr>
          <w:rtl w:val="true"/>
        </w:rPr>
        <w:t xml:space="preserve">, </w:t>
      </w:r>
      <w:r>
        <w:rPr>
          <w:rtl w:val="true"/>
        </w:rPr>
        <w:t xml:space="preserve">הרתעה ומניעה יגברו על שיקולים הנוגעים לנסיבותיו האישיות של הקטין וסיכויי שיקומו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19.3.2020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18.3.2020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26.12.2011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הכלל שלפיו ניתן משקל מיוחד לסיכויי השיקום של הקטין</w:t>
      </w:r>
      <w:r>
        <w:rPr>
          <w:rtl w:val="true"/>
        </w:rPr>
        <w:t xml:space="preserve">, </w:t>
      </w:r>
      <w:r>
        <w:rPr>
          <w:rtl w:val="true"/>
        </w:rPr>
        <w:t>כוחו יפה גם בעניינם של קטינים שביצעו עבירות חמורות ביותר</w:t>
      </w:r>
      <w:r>
        <w:rPr>
          <w:rtl w:val="true"/>
        </w:rPr>
        <w:t xml:space="preserve">, </w:t>
      </w:r>
      <w:r>
        <w:rPr>
          <w:rtl w:val="true"/>
        </w:rPr>
        <w:t xml:space="preserve">לרבות עבירות מין </w:t>
      </w:r>
      <w:r>
        <w:rPr>
          <w:rtl w:val="true"/>
        </w:rPr>
        <w:t>–</w:t>
      </w:r>
      <w:r>
        <w:rPr>
          <w:rtl w:val="true"/>
        </w:rPr>
        <w:t xml:space="preserve"> ובעניין זה נפסק 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שמשתקפת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סג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גישה עונשית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המבחינה בין נאשם קטין ונאשם בגיר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יסודה בשלושה טעמים עיקריים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הטעם האחד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 הקטין להתנהגותו העבריינית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בשל גילו הצעיר עשויה להיות תוצאה של חוסר בגרות או בשלות והעדר ניסיון חיים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הטעם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cs="Century"/>
          <w:sz w:val="22"/>
          <w:sz w:val="22"/>
          <w:rtl w:val="true"/>
        </w:rPr>
        <w:t xml:space="preserve"> על הקטין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בהשוואה להשפעת הענישה על בוגר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הבשל יותר להתמודד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עם תנאי כליאה קשים או עם  חשיפה לדפוסי התנהגות של אוכלוסייה עבריינית בכלא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הטעם השלישי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בשיקומו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ascii="Century" w:hAnsi="Century" w:cs="Century"/>
          <w:sz w:val="22"/>
          <w:sz w:val="22"/>
          <w:rtl w:val="true"/>
        </w:rPr>
        <w:t xml:space="preserve"> הנמצא בתחילת חייו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ואשר סיכויי השיקום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על פי מחקרים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הם גבוהים מאלה של עבריין בוגר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לצד מחויבותה של החברה להעלות קטינים על מסלול חיים תקין וראוי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בטרם תוחמץ ההזדמנות לכך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5048/09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סד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2010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22.5.2016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; </w:t>
      </w:r>
      <w:hyperlink r:id="rId6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3203/13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איתן </w:t>
      </w:r>
      <w:hyperlink r:id="rId6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זרחיה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הערת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מערכת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הטלת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מאסר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עולם על קטינים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בחינה מחודשת לאור התפתחויות בחקר מוחם של בני נוער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cs="Century"/>
          <w:sz w:val="22"/>
          <w:sz w:val="22"/>
          <w:rtl w:val="true"/>
        </w:rPr>
        <w:t xml:space="preserve"> נא </w:t>
      </w:r>
      <w:r>
        <w:rPr>
          <w:rFonts w:cs="Century" w:ascii="Century" w:hAnsi="Century"/>
          <w:sz w:val="22"/>
        </w:rPr>
        <w:t>311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330-325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2021</w:t>
      </w:r>
      <w:r>
        <w:rPr>
          <w:rFonts w:cs="Century" w:ascii="Century" w:hAnsi="Century"/>
          <w:sz w:val="22"/>
          <w:rtl w:val="true"/>
        </w:rPr>
        <w:t xml:space="preserve">)). 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מעמד</w:t>
      </w:r>
      <w:r>
        <w:rPr>
          <w:rtl w:val="true"/>
        </w:rPr>
        <w:t>-</w:t>
      </w:r>
      <w:r>
        <w:rPr>
          <w:rtl w:val="true"/>
        </w:rPr>
        <w:t>העל שניתן לשיקול בדבר שיקום הקטין</w:t>
      </w:r>
      <w:r>
        <w:rPr>
          <w:rtl w:val="true"/>
        </w:rPr>
        <w:t xml:space="preserve">, </w:t>
      </w:r>
      <w:r>
        <w:rPr>
          <w:rtl w:val="true"/>
        </w:rPr>
        <w:t>משתקף בהסדר המיוחד שעוצב בחוק הנוער בעניינם של קטינים</w:t>
      </w:r>
      <w:r>
        <w:rPr>
          <w:rtl w:val="true"/>
        </w:rPr>
        <w:t xml:space="preserve">. </w:t>
      </w:r>
      <w:r>
        <w:rPr>
          <w:rtl w:val="true"/>
        </w:rPr>
        <w:t>כך למשל קובע הסדר זה</w:t>
      </w:r>
      <w:r>
        <w:rPr>
          <w:rtl w:val="true"/>
        </w:rPr>
        <w:t xml:space="preserve">, </w:t>
      </w:r>
      <w:r>
        <w:rPr>
          <w:rtl w:val="true"/>
        </w:rPr>
        <w:t>כי לאחר שבית משפט לנוער קבע</w:t>
      </w:r>
      <w:r>
        <w:rPr>
          <w:rtl w:val="true"/>
        </w:rPr>
        <w:t xml:space="preserve">, </w:t>
      </w:r>
      <w:r>
        <w:rPr>
          <w:rtl w:val="true"/>
        </w:rPr>
        <w:t>בשלב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כי הקטין ביצע את העבירה </w:t>
      </w:r>
      <w:r>
        <w:rPr>
          <w:rtl w:val="true"/>
        </w:rPr>
        <w:t>–</w:t>
      </w:r>
      <w:r>
        <w:rPr>
          <w:rtl w:val="true"/>
        </w:rPr>
        <w:t xml:space="preserve"> עליו לקבל תסקיר קצין מבחן בטרם יחליט אם להרשיע את הקטין </w:t>
      </w:r>
      <w:r>
        <w:rPr>
          <w:rtl w:val="true"/>
        </w:rPr>
        <w:t>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). </w:t>
      </w:r>
      <w:r>
        <w:rPr>
          <w:rtl w:val="true"/>
        </w:rPr>
        <w:t>עוד קובע חוק הנוער כי בית המשפט לנוער מוסמך להימנע מהרשעת הקטין על אף שהוכח כי ביצע עבירה</w:t>
      </w:r>
      <w:r>
        <w:rPr>
          <w:rtl w:val="true"/>
        </w:rPr>
        <w:t xml:space="preserve">, </w:t>
      </w:r>
      <w:r>
        <w:rPr>
          <w:rtl w:val="true"/>
        </w:rPr>
        <w:t>וכן כי בסמכותו להורות</w:t>
      </w:r>
      <w:r>
        <w:rPr>
          <w:rtl w:val="true"/>
        </w:rPr>
        <w:t xml:space="preserve">, </w:t>
      </w:r>
      <w:r>
        <w:rPr>
          <w:rtl w:val="true"/>
        </w:rPr>
        <w:t>חלף ענישתו של הקטין</w:t>
      </w:r>
      <w:r>
        <w:rPr>
          <w:rtl w:val="true"/>
        </w:rPr>
        <w:t xml:space="preserve">, </w:t>
      </w:r>
      <w:r>
        <w:rPr>
          <w:rtl w:val="true"/>
        </w:rPr>
        <w:t xml:space="preserve">על מגוון אמצעים ודרכי טיפול כמפורט </w:t>
      </w:r>
      <w:hyperlink r:id="rId7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הנוער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 xml:space="preserve">ולבסוף </w:t>
      </w:r>
      <w:r>
        <w:rPr>
          <w:rtl w:val="true"/>
        </w:rPr>
        <w:t>–</w:t>
      </w:r>
      <w:r>
        <w:rPr>
          <w:rtl w:val="true"/>
        </w:rPr>
        <w:t xml:space="preserve"> רשאי בית משפט לנוער שהרשיע קטין</w:t>
      </w:r>
      <w:r>
        <w:rPr>
          <w:rtl w:val="true"/>
        </w:rPr>
        <w:t xml:space="preserve">, </w:t>
      </w:r>
      <w:r>
        <w:rPr>
          <w:rtl w:val="true"/>
        </w:rPr>
        <w:t>לצוות על החזקתו במעון נעול</w:t>
      </w:r>
      <w:r>
        <w:rPr>
          <w:rtl w:val="true"/>
        </w:rPr>
        <w:t xml:space="preserve">, </w:t>
      </w:r>
      <w:r>
        <w:rPr>
          <w:rtl w:val="true"/>
        </w:rPr>
        <w:t>במקום להטיל עליו עונש מאסר</w:t>
      </w:r>
      <w:r>
        <w:rPr>
          <w:rtl w:val="true"/>
        </w:rPr>
        <w:t xml:space="preserve">, </w:t>
      </w:r>
      <w:r>
        <w:rPr>
          <w:rtl w:val="true"/>
        </w:rPr>
        <w:t xml:space="preserve">כמפורט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. </w:t>
      </w:r>
      <w:r>
        <w:rPr>
          <w:rtl w:val="true"/>
        </w:rPr>
        <w:t>אמצעי ענישה זה</w:t>
      </w:r>
      <w:r>
        <w:rPr>
          <w:rtl w:val="true"/>
        </w:rPr>
        <w:t xml:space="preserve">, </w:t>
      </w:r>
      <w:r>
        <w:rPr>
          <w:rtl w:val="true"/>
        </w:rPr>
        <w:t>הוא העומד במוקד ענייננו</w:t>
      </w:r>
      <w:r>
        <w:rPr>
          <w:rtl w:val="true"/>
        </w:rPr>
        <w:t xml:space="preserve">. </w:t>
      </w:r>
      <w:r>
        <w:rPr>
          <w:rtl w:val="true"/>
        </w:rPr>
        <w:br/>
        <w:br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נעול</w:t>
      </w:r>
      <w:r>
        <w:rPr>
          <w:rtl w:val="true"/>
        </w:rPr>
        <w:t xml:space="preserve">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 שונה מעון נעול מעונש מאסר</w:t>
      </w:r>
      <w:r>
        <w:rPr>
          <w:rtl w:val="true"/>
        </w:rPr>
        <w:t xml:space="preserve">? </w:t>
      </w:r>
      <w:r>
        <w:rPr>
          <w:rtl w:val="true"/>
        </w:rPr>
        <w:t xml:space="preserve">מעון נעול 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למגורים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למשמורת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למשפחתם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וחופש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המוחזקים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מוגבל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והשירותים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הכריז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). </w:t>
      </w:r>
      <w:r>
        <w:rPr>
          <w:rtl w:val="true"/>
        </w:rPr>
        <w:t>חוק הנוער אינו מגדיר את מהות הנעילה ומידת הגבלת החופש של המוחזקים במעון</w:t>
      </w:r>
      <w:r>
        <w:rPr>
          <w:rtl w:val="true"/>
        </w:rPr>
        <w:t xml:space="preserve">, </w:t>
      </w:r>
      <w:r>
        <w:rPr>
          <w:rtl w:val="true"/>
        </w:rPr>
        <w:t>ואולם מדובר במסגרת סגורה ומפוקחת</w:t>
      </w:r>
      <w:r>
        <w:rPr>
          <w:rtl w:val="true"/>
        </w:rPr>
        <w:t xml:space="preserve">, </w:t>
      </w:r>
      <w:r>
        <w:rPr>
          <w:rtl w:val="true"/>
        </w:rPr>
        <w:t>שהחוסים בה מחויבים להשתתף בפעילויות שנועדו לשיקומם</w:t>
      </w:r>
      <w:r>
        <w:rPr>
          <w:rtl w:val="true"/>
        </w:rPr>
        <w:t xml:space="preserve">. </w:t>
      </w:r>
      <w:r>
        <w:rPr>
          <w:rtl w:val="true"/>
        </w:rPr>
        <w:t>המעונות הנעולים מופעלים על</w:t>
      </w:r>
      <w:r>
        <w:rPr>
          <w:rtl w:val="true"/>
        </w:rPr>
        <w:t>-</w:t>
      </w:r>
      <w:r>
        <w:rPr>
          <w:rtl w:val="true"/>
        </w:rPr>
        <w:t>ידי רשות חסות הנוער במשרד הרווחה</w:t>
      </w:r>
      <w:r>
        <w:rPr>
          <w:rtl w:val="true"/>
        </w:rPr>
        <w:t xml:space="preserve">, </w:t>
      </w:r>
      <w:r>
        <w:rPr>
          <w:rtl w:val="true"/>
        </w:rPr>
        <w:t>ומיועדים לטפל בבני נוער במצבי סיכון ומצוקה</w:t>
      </w:r>
      <w:r>
        <w:rPr>
          <w:rtl w:val="true"/>
        </w:rPr>
        <w:t xml:space="preserve">. </w:t>
      </w:r>
      <w:r>
        <w:rPr>
          <w:rtl w:val="true"/>
        </w:rPr>
        <w:t xml:space="preserve">ההשמה במוסדות אלה נעשית הן מכוח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>כחלק מ</w:t>
      </w:r>
      <w:r>
        <w:rPr>
          <w:rtl w:val="true"/>
        </w:rPr>
        <w:t>"</w:t>
      </w:r>
      <w:r>
        <w:rPr>
          <w:rtl w:val="true"/>
        </w:rPr>
        <w:t>דרכי טיפול</w:t>
      </w:r>
      <w:r>
        <w:rPr>
          <w:rtl w:val="true"/>
        </w:rPr>
        <w:t xml:space="preserve">" </w:t>
      </w:r>
      <w:r>
        <w:rPr>
          <w:rtl w:val="true"/>
        </w:rPr>
        <w:t>לקטין שנקבע כי ביצע עבירה אך לא הורשע</w:t>
      </w:r>
      <w:r>
        <w:rPr>
          <w:rtl w:val="true"/>
        </w:rPr>
        <w:t xml:space="preserve">, </w:t>
      </w:r>
      <w:r>
        <w:rPr>
          <w:rtl w:val="true"/>
        </w:rPr>
        <w:t xml:space="preserve">הן מכוח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>כחלק מ</w:t>
      </w:r>
      <w:r>
        <w:rPr>
          <w:rtl w:val="true"/>
        </w:rPr>
        <w:t>"</w:t>
      </w:r>
      <w:r>
        <w:rPr>
          <w:rtl w:val="true"/>
        </w:rPr>
        <w:t>דרכי ענישה</w:t>
      </w:r>
      <w:r>
        <w:rPr>
          <w:rtl w:val="true"/>
        </w:rPr>
        <w:t xml:space="preserve">" </w:t>
      </w:r>
      <w:r>
        <w:rPr>
          <w:rtl w:val="true"/>
        </w:rPr>
        <w:t xml:space="preserve">של קטין שהורשע </w:t>
      </w:r>
      <w:r>
        <w:rPr>
          <w:rtl w:val="true"/>
        </w:rPr>
        <w:t>(</w:t>
      </w:r>
      <w:r>
        <w:rPr>
          <w:rtl w:val="true"/>
        </w:rPr>
        <w:t>אפשרות נוספת</w:t>
      </w:r>
      <w:r>
        <w:rPr>
          <w:rtl w:val="true"/>
        </w:rPr>
        <w:t xml:space="preserve">, </w:t>
      </w:r>
      <w:r>
        <w:rPr>
          <w:rtl w:val="true"/>
        </w:rPr>
        <w:t>החורגת מענייננו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היא השמתו של קטין נזקק במעון נעול מכוח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והשגחה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>-</w:t>
      </w:r>
      <w:r>
        <w:rPr/>
        <w:t>1960</w:t>
      </w:r>
      <w:r>
        <w:rPr>
          <w:rtl w:val="true"/>
        </w:rPr>
        <w:t xml:space="preserve">. 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 xml:space="preserve">מרכז המחקר והמידע </w:t>
      </w:r>
      <w:r>
        <w:rPr/>
        <w:t>29.4.2013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נעולים</w:t>
      </w:r>
      <w:r>
        <w:rPr>
          <w:rtl w:val="true"/>
        </w:rPr>
        <w:t xml:space="preserve">); </w:t>
      </w:r>
      <w:r>
        <w:rPr>
          <w:rtl w:val="true"/>
        </w:rPr>
        <w:t xml:space="preserve">לימור עציוני </w:t>
      </w:r>
      <w:hyperlink r:id="rId8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נוער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במשפט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/>
        <w:t>146-144</w:t>
      </w:r>
      <w:r>
        <w:rPr>
          <w:rtl w:val="true"/>
        </w:rPr>
        <w:t xml:space="preserve"> (</w:t>
      </w:r>
      <w:r>
        <w:rPr/>
        <w:t>2019</w:t>
      </w:r>
      <w:r>
        <w:rPr>
          <w:rtl w:val="true"/>
        </w:rPr>
        <w:t xml:space="preserve">)). </w:t>
      </w:r>
      <w:r>
        <w:rPr>
          <w:rtl w:val="true"/>
        </w:rPr>
        <w:t xml:space="preserve">השמה של קטין במעון נעול מכוח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>נועדה להוות תחליף לעונש מאסר</w:t>
      </w:r>
      <w:r>
        <w:rPr>
          <w:rtl w:val="true"/>
        </w:rPr>
        <w:t xml:space="preserve">, </w:t>
      </w:r>
      <w:r>
        <w:rPr>
          <w:rtl w:val="true"/>
        </w:rPr>
        <w:t>שתכליתו הענקת טיפול לקטין</w:t>
      </w:r>
      <w:r>
        <w:rPr>
          <w:rtl w:val="true"/>
        </w:rPr>
        <w:t xml:space="preserve">, </w:t>
      </w:r>
      <w:r>
        <w:rPr>
          <w:rtl w:val="true"/>
        </w:rPr>
        <w:t xml:space="preserve">במטרה להשיבו למוטב ולחיק החברה </w:t>
      </w:r>
      <w:r>
        <w:rPr>
          <w:rtl w:val="true"/>
        </w:rPr>
        <w:t>(</w:t>
      </w:r>
      <w:r>
        <w:rPr>
          <w:rtl w:val="true"/>
        </w:rPr>
        <w:t xml:space="preserve">אלי </w:t>
      </w:r>
      <w:hyperlink r:id="rId82">
        <w:r>
          <w:rPr>
            <w:rStyle w:val="Hyperlink"/>
            <w:color w:val="000000"/>
            <w:rtl w:val="true"/>
          </w:rPr>
          <w:t>שרון</w:t>
        </w:r>
        <w:r>
          <w:rPr>
            <w:rStyle w:val="Hyperlink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נוער</w:t>
        </w:r>
        <w:r>
          <w:rPr>
            <w:rStyle w:val="Hyperlink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בפלילים</w:t>
        </w:r>
        <w:r>
          <w:rPr>
            <w:rStyle w:val="Hyperlink"/>
            <w:color w:val="000000"/>
            <w:rtl w:val="true"/>
          </w:rPr>
          <w:t xml:space="preserve"> – </w:t>
        </w:r>
        <w:r>
          <w:rPr>
            <w:rStyle w:val="Hyperlink"/>
            <w:color w:val="000000"/>
            <w:rtl w:val="true"/>
          </w:rPr>
          <w:t>שפיטה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וענישה</w:t>
      </w:r>
      <w:r>
        <w:rPr>
          <w:rtl w:val="true"/>
        </w:rPr>
        <w:t xml:space="preserve"> </w:t>
      </w:r>
      <w:r>
        <w:rPr/>
        <w:t>458-453</w:t>
      </w:r>
      <w:r>
        <w:rPr>
          <w:rtl w:val="true"/>
        </w:rPr>
        <w:t xml:space="preserve"> (</w:t>
      </w:r>
      <w:r>
        <w:rPr>
          <w:rtl w:val="true"/>
        </w:rPr>
        <w:t xml:space="preserve">מהדורה </w:t>
      </w:r>
      <w:r>
        <w:rPr/>
        <w:t>2</w:t>
      </w:r>
      <w:r>
        <w:rPr>
          <w:rtl w:val="true"/>
        </w:rPr>
        <w:t xml:space="preserve">, </w:t>
      </w:r>
      <w:r>
        <w:rPr/>
        <w:t>1998</w:t>
      </w:r>
      <w:r>
        <w:rPr>
          <w:rtl w:val="true"/>
        </w:rPr>
        <w:t xml:space="preserve">);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21.6.2017</w:t>
      </w:r>
      <w:r>
        <w:rPr>
          <w:rtl w:val="true"/>
        </w:rPr>
        <w:t xml:space="preserve">)). </w:t>
      </w:r>
      <w:r>
        <w:rPr>
          <w:rtl w:val="true"/>
        </w:rPr>
        <w:t>המדובר בסנקציה הנחשבת לחמורה ביחס לענישת קטינים</w:t>
      </w:r>
      <w:r>
        <w:rPr>
          <w:rtl w:val="true"/>
        </w:rPr>
        <w:t xml:space="preserve">, </w:t>
      </w:r>
      <w:r>
        <w:rPr>
          <w:rtl w:val="true"/>
        </w:rPr>
        <w:t>המשרתת לא רק תכלית שיקומית</w:t>
      </w:r>
      <w:r>
        <w:rPr>
          <w:rtl w:val="true"/>
        </w:rPr>
        <w:t xml:space="preserve">, </w:t>
      </w:r>
      <w:r>
        <w:rPr>
          <w:rtl w:val="true"/>
        </w:rPr>
        <w:t xml:space="preserve">אלא גם תכליות של גמול והרתעה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1631/07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13.6.2007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8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1589/23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br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בדומה לעונש מאסר </w:t>
      </w:r>
      <w:r>
        <w:rPr>
          <w:rtl w:val="true"/>
        </w:rPr>
        <w:t>–</w:t>
      </w:r>
      <w:r>
        <w:rPr>
          <w:rtl w:val="true"/>
        </w:rPr>
        <w:t xml:space="preserve"> השהייה במעון נעול כרוכה בשלילת חירותו של הקטין ובהרחקתו מן החברה </w:t>
      </w:r>
      <w:r>
        <w:rPr>
          <w:rtl w:val="true"/>
        </w:rPr>
        <w:t>(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9120/11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כ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8.5.2012</w:t>
      </w:r>
      <w:r>
        <w:rPr>
          <w:rtl w:val="true"/>
        </w:rPr>
        <w:t xml:space="preserve">)). </w:t>
      </w:r>
      <w:r>
        <w:rPr>
          <w:rtl w:val="true"/>
        </w:rPr>
        <w:t>גם אם מאפייניה אינם זהים לשלילת חירות הכרוכה במאסר בבית סוהר</w:t>
      </w:r>
      <w:r>
        <w:rPr>
          <w:rtl w:val="true"/>
        </w:rPr>
        <w:t xml:space="preserve">, </w:t>
      </w:r>
      <w:r>
        <w:rPr>
          <w:rtl w:val="true"/>
        </w:rPr>
        <w:t xml:space="preserve">למשל לעניין יציאה לחופשות והשילוב בפעילויות מחוץ למעון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8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1631/07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בפסקה ז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15.12.2008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הקטין החוסה במעון מנותק מסביבתו הטבעית</w:t>
      </w:r>
      <w:r>
        <w:rPr>
          <w:rtl w:val="true"/>
        </w:rPr>
        <w:t xml:space="preserve">, </w:t>
      </w:r>
      <w:r>
        <w:rPr>
          <w:rtl w:val="true"/>
        </w:rPr>
        <w:t>ממשפחתו וחבריו</w:t>
      </w:r>
      <w:r>
        <w:rPr>
          <w:rtl w:val="true"/>
        </w:rPr>
        <w:t xml:space="preserve">, </w:t>
      </w:r>
      <w:r>
        <w:rPr>
          <w:rtl w:val="true"/>
        </w:rPr>
        <w:t>ואינו חופשי לעשות כרצונו</w:t>
      </w:r>
      <w:r>
        <w:rPr>
          <w:rtl w:val="true"/>
        </w:rPr>
        <w:t xml:space="preserve">. </w:t>
      </w:r>
      <w:r>
        <w:rPr>
          <w:rtl w:val="true"/>
        </w:rPr>
        <w:t>הוא מחויב לתנאי המעון ולסדר היום בו</w:t>
      </w:r>
      <w:r>
        <w:rPr>
          <w:rtl w:val="true"/>
        </w:rPr>
        <w:t xml:space="preserve">, </w:t>
      </w:r>
      <w:r>
        <w:rPr>
          <w:rtl w:val="true"/>
        </w:rPr>
        <w:t>ובכלל זה להשתתפות בהליך הטיפולי המוענק בו</w:t>
      </w:r>
      <w:r>
        <w:rPr>
          <w:rtl w:val="true"/>
        </w:rPr>
        <w:t xml:space="preserve">, </w:t>
      </w:r>
      <w:r>
        <w:rPr>
          <w:rtl w:val="true"/>
        </w:rPr>
        <w:t xml:space="preserve">כאשר הפרה של תנאים אלה עלולה להוביל לריצוי יתרת עונשו מאחורי סורג ובריח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פסקה </w:t>
      </w:r>
      <w:r>
        <w:rPr>
          <w:b/>
        </w:rPr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21.10.2021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בליווי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נעולים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14-12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אופציונלית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1631/07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);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7113/08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לדרדורו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); </w:t>
      </w:r>
      <w:hyperlink r:id="rId9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534/06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20.1.2005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8197/22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65</w:t>
      </w:r>
      <w:r>
        <w:rPr>
          <w:rtl w:val="true"/>
        </w:rPr>
        <w:t>).</w:t>
      </w:r>
      <w:r>
        <w:rPr>
          <w:rtl w:val="true"/>
        </w:rPr>
        <w:br/>
        <w:br/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בא</w:t>
      </w:r>
      <w:r>
        <w:rPr>
          <w:rtl w:val="true"/>
        </w:rPr>
        <w:t>י</w:t>
      </w:r>
      <w:r>
        <w:rPr>
          <w:rtl w:val="true"/>
        </w:rPr>
        <w:t>לו</w:t>
      </w:r>
      <w:r>
        <w:rPr>
          <w:rtl w:val="true"/>
        </w:rPr>
        <w:t xml:space="preserve"> מקרים יש להעדיף החזקה במעון נעול ובאלו מקרים הטלת מאסר</w:t>
      </w:r>
      <w:r>
        <w:rPr>
          <w:rtl w:val="true"/>
        </w:rPr>
        <w:t xml:space="preserve">? </w:t>
      </w:r>
      <w:r>
        <w:rPr>
          <w:rtl w:val="true"/>
        </w:rPr>
        <w:t>בפסיקת בית משפט זה נקבע</w:t>
      </w:r>
      <w:r>
        <w:rPr>
          <w:rtl w:val="true"/>
        </w:rPr>
        <w:t xml:space="preserve">, </w:t>
      </w:r>
      <w:r>
        <w:rPr>
          <w:rtl w:val="true"/>
        </w:rPr>
        <w:t>כי כאשר מדובר בעבירות חמורות שביצעו קטינים</w:t>
      </w:r>
      <w:r>
        <w:rPr>
          <w:rtl w:val="true"/>
        </w:rPr>
        <w:t xml:space="preserve">, </w:t>
      </w:r>
      <w:r>
        <w:rPr>
          <w:rtl w:val="true"/>
        </w:rPr>
        <w:t>המחייבות</w:t>
      </w:r>
      <w:r>
        <w:rPr>
          <w:rtl w:val="true"/>
        </w:rPr>
        <w:t xml:space="preserve">, </w:t>
      </w:r>
      <w:r>
        <w:rPr>
          <w:rtl w:val="true"/>
        </w:rPr>
        <w:t>לצד הענקת טיפול לקטין</w:t>
      </w:r>
      <w:r>
        <w:rPr>
          <w:rtl w:val="true"/>
        </w:rPr>
        <w:t xml:space="preserve">, </w:t>
      </w:r>
      <w:r>
        <w:rPr>
          <w:rtl w:val="true"/>
        </w:rPr>
        <w:t xml:space="preserve">גם ענישה בדרך של כליאתו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9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9828/06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10.6.2007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עוד נפסק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ממהר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וסיכוי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להחזיר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ולתפקוד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בחברה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עיון בפסיקה מן העת האחרונה מעלה</w:t>
      </w:r>
      <w:r>
        <w:rPr>
          <w:rtl w:val="true"/>
        </w:rPr>
        <w:t xml:space="preserve">, </w:t>
      </w:r>
      <w:r>
        <w:rPr>
          <w:rtl w:val="true"/>
        </w:rPr>
        <w:t>כי במקרים רבים של עבירות מין ואלימות קשות שבוצעו על</w:t>
      </w:r>
      <w:r>
        <w:rPr>
          <w:rtl w:val="true"/>
        </w:rPr>
        <w:t>-</w:t>
      </w:r>
      <w:r>
        <w:rPr>
          <w:rtl w:val="true"/>
        </w:rPr>
        <w:t xml:space="preserve">ידי קטינים </w:t>
      </w:r>
      <w:r>
        <w:rPr>
          <w:rtl w:val="true"/>
        </w:rPr>
        <w:t>(</w:t>
      </w:r>
      <w:r>
        <w:rPr>
          <w:rtl w:val="true"/>
        </w:rPr>
        <w:t>גם כלפי קטינים אחרים</w:t>
      </w:r>
      <w:r>
        <w:rPr>
          <w:rtl w:val="true"/>
        </w:rPr>
        <w:t xml:space="preserve">), </w:t>
      </w:r>
      <w:r>
        <w:rPr>
          <w:rtl w:val="true"/>
        </w:rPr>
        <w:t>נמנע בית המשפט מהטלת עונשי מאסר ובחר</w:t>
      </w:r>
      <w:r>
        <w:rPr>
          <w:rtl w:val="true"/>
        </w:rPr>
        <w:t xml:space="preserve">, </w:t>
      </w:r>
      <w:r>
        <w:rPr>
          <w:rtl w:val="true"/>
        </w:rPr>
        <w:t>מטעמי שיקום</w:t>
      </w:r>
      <w:r>
        <w:rPr>
          <w:rtl w:val="true"/>
        </w:rPr>
        <w:t xml:space="preserve">, </w:t>
      </w:r>
      <w:r>
        <w:rPr>
          <w:rtl w:val="true"/>
        </w:rPr>
        <w:t>בדרכי ענישה אלטרנטיביות</w:t>
      </w:r>
      <w:r>
        <w:rPr>
          <w:rtl w:val="true"/>
        </w:rPr>
        <w:t xml:space="preserve">, </w:t>
      </w:r>
      <w:r>
        <w:rPr>
          <w:rtl w:val="true"/>
        </w:rPr>
        <w:t xml:space="preserve">לרבות בדרך של החזקה במעון נעול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9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7870/19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14.4.2021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5593/21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10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2064/22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18.7.2022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7105/22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12.1.2023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17.4.2018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הבחירה בדרך ענישה של מעון נעול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מועדפת בעיקר כאשר הקטין ביצע את העבירות בגיל צעיר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0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9472/05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16.3.2006</w:t>
      </w:r>
      <w:r>
        <w:rPr>
          <w:rFonts w:cs="Century" w:ascii="Century" w:hAnsi="Century"/>
          <w:sz w:val="22"/>
          <w:rtl w:val="true"/>
        </w:rPr>
        <w:t xml:space="preserve">)), </w:t>
      </w:r>
      <w:r>
        <w:rPr>
          <w:rFonts w:ascii="Century" w:hAnsi="Century" w:cs="Century"/>
          <w:sz w:val="22"/>
          <w:sz w:val="22"/>
          <w:rtl w:val="true"/>
        </w:rPr>
        <w:t>וכאשר ניתנת המלצה של שירות המבחן לשילובו במעון נעול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המבוססת על פרוגנוזת שיקום חיובית </w:t>
      </w:r>
      <w:r>
        <w:rPr>
          <w:rFonts w:cs="Century" w:ascii="Century" w:hAnsi="Century"/>
          <w:sz w:val="22"/>
          <w:rtl w:val="true"/>
        </w:rPr>
        <w:t>(</w:t>
      </w:r>
      <w:hyperlink r:id="rId10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7870/19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בפסקאות </w:t>
      </w:r>
      <w:r>
        <w:rPr>
          <w:rFonts w:cs="Century" w:ascii="Century" w:hAnsi="Century"/>
          <w:sz w:val="22"/>
        </w:rPr>
        <w:t>21-20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לרוב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נעשה הדבר כאשר הקטין החל כבר בהליך שיקומי יעיל </w:t>
      </w:r>
      <w:r>
        <w:rPr>
          <w:rFonts w:cs="Century" w:ascii="Century" w:hAnsi="Century"/>
          <w:sz w:val="22"/>
          <w:rtl w:val="true"/>
        </w:rPr>
        <w:t>(</w:t>
      </w:r>
      <w:hyperlink r:id="rId10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9828/06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10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8197/22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61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וכאשר מוערך כי עונש מאסר יפגע בסיכוייו להשתקם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62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המקרים שבהם הוטל עונש מאסר על קטינים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הם לרוב מקרים שבהם בוצעו עבירות חמורות ביותר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0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4890/01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594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 xml:space="preserve">)),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קטין בגיל בוגר יחסית </w:t>
      </w:r>
      <w:r>
        <w:rPr>
          <w:rFonts w:cs="Century" w:ascii="Century" w:hAnsi="Century"/>
          <w:sz w:val="22"/>
          <w:rtl w:val="true"/>
        </w:rPr>
        <w:t>(</w:t>
      </w:r>
      <w:hyperlink r:id="rId10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8197/22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וכאשר הקטין מבטא התנגדות לטיפול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שהוגש בעניינו תסקיר שירות מבחן שאינו חיובי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9828/06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פ </w:t>
      </w:r>
      <w:r>
        <w:rPr>
          <w:rFonts w:cs="Century" w:ascii="Century" w:hAnsi="Century"/>
          <w:sz w:val="22"/>
        </w:rPr>
        <w:t>32023/13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1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2091/13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5.2.2014</w:t>
      </w:r>
      <w:r>
        <w:rPr>
          <w:rFonts w:cs="Century" w:ascii="Century" w:hAnsi="Century"/>
          <w:sz w:val="22"/>
          <w:rtl w:val="true"/>
        </w:rPr>
        <w:t xml:space="preserve">)).  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ההכרעה אם לעונש מאסר או למעון נעול</w:t>
      </w:r>
      <w:r>
        <w:rPr>
          <w:rtl w:val="true"/>
        </w:rPr>
        <w:t xml:space="preserve">, </w:t>
      </w:r>
      <w:r>
        <w:rPr>
          <w:rtl w:val="true"/>
        </w:rPr>
        <w:t>תיעשה אפוא בהתחשב בכלל נסיבות העניין</w:t>
      </w:r>
      <w:r>
        <w:rPr>
          <w:rtl w:val="true"/>
        </w:rPr>
        <w:t xml:space="preserve">, </w:t>
      </w:r>
      <w:r>
        <w:rPr>
          <w:rtl w:val="true"/>
        </w:rPr>
        <w:t>תוך היעזרות בפרמטרים שהותוו בפסיקה</w:t>
      </w:r>
      <w:r>
        <w:rPr>
          <w:rtl w:val="true"/>
        </w:rPr>
        <w:t xml:space="preserve">, </w:t>
      </w:r>
      <w:r>
        <w:rPr>
          <w:rtl w:val="true"/>
        </w:rPr>
        <w:t>הנשקלים בבוא בית המשפט לגזור את דינו של קטין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ככל שהקטין קרוב לגיל האחריות הפלילית בעת ביצוע העבירה</w:t>
      </w:r>
      <w:r>
        <w:rPr>
          <w:rtl w:val="true"/>
        </w:rPr>
        <w:t xml:space="preserve">, </w:t>
      </w:r>
      <w:r>
        <w:rPr>
          <w:rtl w:val="true"/>
        </w:rPr>
        <w:t>יגבר משקלם של שיקולי השיקום</w:t>
      </w:r>
      <w:r>
        <w:rPr>
          <w:rtl w:val="true"/>
        </w:rPr>
        <w:t xml:space="preserve">. </w:t>
      </w:r>
      <w:r>
        <w:rPr>
          <w:rtl w:val="true"/>
        </w:rPr>
        <w:t>ככל שהוא קרוב יותר לגיל הבגירות</w:t>
      </w:r>
      <w:r>
        <w:rPr>
          <w:rtl w:val="true"/>
        </w:rPr>
        <w:t xml:space="preserve">, </w:t>
      </w:r>
      <w:r>
        <w:rPr>
          <w:rtl w:val="true"/>
        </w:rPr>
        <w:t xml:space="preserve">יגבר משקלו של עיקרון ההלימה בין חומרת המעשים לבין חומרת העונש </w:t>
      </w:r>
      <w:r>
        <w:rPr>
          <w:rtl w:val="true"/>
        </w:rPr>
        <w:t>(</w:t>
      </w:r>
      <w:r>
        <w:rPr>
          <w:rtl w:val="true"/>
        </w:rPr>
        <w:t xml:space="preserve">וראו גם </w:t>
      </w:r>
      <w:hyperlink r:id="rId1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>); (</w:t>
      </w:r>
      <w:r>
        <w:rPr/>
        <w:t>2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סיכויי השיקום הם השיקול המרכזי בהכרעה</w:t>
      </w:r>
      <w:r>
        <w:rPr>
          <w:rtl w:val="true"/>
        </w:rPr>
        <w:t xml:space="preserve">, </w:t>
      </w:r>
      <w:r>
        <w:rPr>
          <w:rtl w:val="true"/>
        </w:rPr>
        <w:t>כאשר בהקשר זה מוקנה משקל רב להמלצות שירות המבחן</w:t>
      </w:r>
      <w:r>
        <w:rPr>
          <w:rtl w:val="true"/>
        </w:rPr>
        <w:t xml:space="preserve">. </w:t>
      </w:r>
      <w:r>
        <w:rPr>
          <w:rtl w:val="true"/>
        </w:rPr>
        <w:t>המלצות אלה אמנם אינן מחייבות את בית המשפט</w:t>
      </w:r>
      <w:r>
        <w:rPr>
          <w:rtl w:val="true"/>
        </w:rPr>
        <w:t xml:space="preserve">, </w:t>
      </w:r>
      <w:r>
        <w:rPr>
          <w:rtl w:val="true"/>
        </w:rPr>
        <w:t>ואולם משנפתח לקטין אופק שיקומי</w:t>
      </w:r>
      <w:r>
        <w:rPr>
          <w:rtl w:val="true"/>
        </w:rPr>
        <w:t xml:space="preserve">, </w:t>
      </w:r>
      <w:r>
        <w:rPr>
          <w:rtl w:val="true"/>
        </w:rPr>
        <w:t xml:space="preserve">נדרשים טעמים כבדי משקל כדי לסטות מהן </w:t>
      </w:r>
      <w:r>
        <w:rPr>
          <w:rtl w:val="true"/>
        </w:rPr>
        <w:t>(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; 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8197/22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26</w:t>
      </w:r>
      <w:r>
        <w:rPr>
          <w:rtl w:val="true"/>
        </w:rPr>
        <w:t xml:space="preserve">; 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3203/13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>); (</w:t>
      </w:r>
      <w:r>
        <w:rPr/>
        <w:t>3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ונסיבותיה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נסיבות ביצוע עבירה חמורות במיוחד מהוות שיקול התומך בהפעלת אמצעים עונשיים</w:t>
      </w:r>
      <w:r>
        <w:rPr>
          <w:rtl w:val="true"/>
        </w:rPr>
        <w:t xml:space="preserve">, </w:t>
      </w:r>
      <w:r>
        <w:rPr>
          <w:rtl w:val="true"/>
        </w:rPr>
        <w:t>ואולם אין מדובר בשיקול מכריע</w:t>
      </w:r>
      <w:r>
        <w:rPr>
          <w:rtl w:val="true"/>
        </w:rPr>
        <w:t xml:space="preserve">. </w:t>
      </w:r>
      <w:r>
        <w:rPr>
          <w:rtl w:val="true"/>
        </w:rPr>
        <w:t>לצד שיקולים מרכזיים אלה</w:t>
      </w:r>
      <w:r>
        <w:rPr>
          <w:rtl w:val="true"/>
        </w:rPr>
        <w:t xml:space="preserve">, </w:t>
      </w:r>
      <w:r>
        <w:rPr>
          <w:rtl w:val="true"/>
        </w:rPr>
        <w:t>נמנו שיקולים נוספים העשויים להישקל</w:t>
      </w:r>
      <w:r>
        <w:rPr>
          <w:rtl w:val="true"/>
        </w:rPr>
        <w:t>: (</w:t>
      </w:r>
      <w:r>
        <w:rPr/>
        <w:t>4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ונטילת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tl w:val="true"/>
        </w:rPr>
        <w:t>; (</w:t>
      </w:r>
      <w:r>
        <w:rPr/>
        <w:t>5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העדר עבר פלילי מהווה שיקול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וקיום עבר פלילי מהווה טעם להחמרה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כלל הוא כי ערכאת הערעור לא תתערב בעונש שהוטל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שבהם עולה כי נפלה טעות מהותית בגזר הדין או כאשר מתגלה סטייה ניכרת ממדיניות הענישה הנוהגת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7039/21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5.7.2023</w:t>
      </w:r>
      <w:r>
        <w:rPr>
          <w:rtl w:val="true"/>
        </w:rPr>
        <w:t xml:space="preserve">); 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9.11.2022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להוציא תיקון שגגה שנפלה בגזר הדין בהתייחס למשכו של הצו למעון הנעול שניתן </w:t>
      </w:r>
      <w:r>
        <w:rPr>
          <w:rtl w:val="true"/>
        </w:rPr>
        <w:t>–</w:t>
      </w:r>
      <w:r>
        <w:rPr>
          <w:rtl w:val="true"/>
        </w:rPr>
        <w:t xml:space="preserve"> לא מצאתי כי מתקיימת עילה להתערבות בהחלטתו של בית המשפט המחוזי להטיל על המשיב צו החזקה במעון נעול חלף מאסר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חלק מן הפרמטרים שפורטו מעלה</w:t>
      </w:r>
      <w:r>
        <w:rPr>
          <w:rtl w:val="true"/>
        </w:rPr>
        <w:t xml:space="preserve">, </w:t>
      </w:r>
      <w:r>
        <w:rPr>
          <w:rtl w:val="true"/>
        </w:rPr>
        <w:t>בהתייחס לענישת קטינים</w:t>
      </w:r>
      <w:r>
        <w:rPr>
          <w:rtl w:val="true"/>
        </w:rPr>
        <w:t xml:space="preserve">, </w:t>
      </w:r>
      <w:r>
        <w:rPr>
          <w:rtl w:val="true"/>
        </w:rPr>
        <w:t>מקלים עם עניינו של המשיב במקרה דנן</w:t>
      </w:r>
      <w:r>
        <w:rPr>
          <w:rtl w:val="true"/>
        </w:rPr>
        <w:t xml:space="preserve">: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המשיב ביצע את העבירות בגיל צעיר מאד</w:t>
      </w:r>
      <w:r>
        <w:rPr>
          <w:rtl w:val="true"/>
        </w:rPr>
        <w:t xml:space="preserve">, </w:t>
      </w:r>
      <w:r>
        <w:rPr>
          <w:rtl w:val="true"/>
        </w:rPr>
        <w:t xml:space="preserve">עת היה בן </w:t>
      </w:r>
      <w:r>
        <w:rPr/>
        <w:t>15-13</w:t>
      </w:r>
      <w:r>
        <w:rPr>
          <w:rtl w:val="true"/>
        </w:rPr>
        <w:t xml:space="preserve"> </w:t>
      </w:r>
      <w:r>
        <w:rPr>
          <w:rtl w:val="true"/>
        </w:rPr>
        <w:t xml:space="preserve">בלבד </w:t>
      </w:r>
      <w:r>
        <w:rPr>
          <w:rtl w:val="true"/>
        </w:rPr>
        <w:t>–</w:t>
      </w:r>
      <w:r>
        <w:rPr>
          <w:rtl w:val="true"/>
        </w:rPr>
        <w:t xml:space="preserve"> באופן המהווה שיקול משמעותי להעדפת אמצעים שיקומיים על פני מאסר</w:t>
      </w:r>
      <w:r>
        <w:rPr>
          <w:rtl w:val="true"/>
        </w:rPr>
        <w:t xml:space="preserve">; </w:t>
      </w:r>
      <w:r>
        <w:rPr>
          <w:rtl w:val="true"/>
        </w:rPr>
        <w:t>למשיב אין עבר פלילי קודם</w:t>
      </w:r>
      <w:r>
        <w:rPr>
          <w:rtl w:val="true"/>
        </w:rPr>
        <w:t xml:space="preserve">; </w:t>
      </w:r>
      <w:r>
        <w:rPr>
          <w:rtl w:val="true"/>
        </w:rPr>
        <w:t>הוא הודה בביצוע העבירות בשלב מוקדם של ההליך וחסך מן הקטינות את הצורך להעיד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טענותיה של המערערת התמקדו בשני השיקולים הנותרים</w:t>
      </w:r>
      <w:r>
        <w:rPr>
          <w:rtl w:val="true"/>
        </w:rPr>
        <w:t xml:space="preserve">, </w:t>
      </w:r>
      <w:r>
        <w:rPr>
          <w:rtl w:val="true"/>
        </w:rPr>
        <w:t>הנוגעים לחומרת העבירות שביצע המשיב</w:t>
      </w:r>
      <w:r>
        <w:rPr>
          <w:rtl w:val="true"/>
        </w:rPr>
        <w:t xml:space="preserve">, </w:t>
      </w:r>
      <w:r>
        <w:rPr>
          <w:rtl w:val="true"/>
        </w:rPr>
        <w:t>וסיכויי שיקומו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 xml:space="preserve">אשר לחומרת העבירות </w:t>
      </w:r>
      <w:r>
        <w:rPr>
          <w:rtl w:val="true"/>
        </w:rPr>
        <w:t>–</w:t>
      </w:r>
      <w:r>
        <w:rPr>
          <w:rtl w:val="true"/>
        </w:rPr>
        <w:t xml:space="preserve"> בית משפט זה עמד לא פעם על חומרתן הרבה של עבירות המין</w:t>
      </w:r>
      <w:r>
        <w:rPr>
          <w:rtl w:val="true"/>
        </w:rPr>
        <w:t xml:space="preserve">, </w:t>
      </w:r>
      <w:r>
        <w:rPr>
          <w:rtl w:val="true"/>
        </w:rPr>
        <w:t>בפרט כשאלה מבוצעות כלפי קטינות</w:t>
      </w:r>
      <w:r>
        <w:rPr>
          <w:rtl w:val="true"/>
        </w:rPr>
        <w:t xml:space="preserve">. </w:t>
      </w:r>
      <w:r>
        <w:rPr>
          <w:rtl w:val="true"/>
        </w:rPr>
        <w:t>עבירות אלה מחללות את כבוד האדם</w:t>
      </w:r>
      <w:r>
        <w:rPr>
          <w:rtl w:val="true"/>
        </w:rPr>
        <w:t xml:space="preserve">, </w:t>
      </w:r>
      <w:r>
        <w:rPr>
          <w:rtl w:val="true"/>
        </w:rPr>
        <w:t>פוצעות את הגוף ואת הנפש</w:t>
      </w:r>
      <w:r>
        <w:rPr>
          <w:rtl w:val="true"/>
        </w:rPr>
        <w:t xml:space="preserve">, </w:t>
      </w:r>
      <w:r>
        <w:rPr>
          <w:rtl w:val="true"/>
        </w:rPr>
        <w:t>מותירות צלקות עמוקות ופוגעות לא אחת בתפקודן של נפגעות העבירה בהיבטים שונים של חייהן</w:t>
      </w:r>
      <w:r>
        <w:rPr>
          <w:rtl w:val="true"/>
        </w:rPr>
        <w:t xml:space="preserve">, </w:t>
      </w:r>
      <w:r>
        <w:rPr>
          <w:rtl w:val="true"/>
        </w:rPr>
        <w:t>במישור האישי</w:t>
      </w:r>
      <w:r>
        <w:rPr>
          <w:rtl w:val="true"/>
        </w:rPr>
        <w:t xml:space="preserve">, </w:t>
      </w:r>
      <w:r>
        <w:rPr>
          <w:rtl w:val="true"/>
        </w:rPr>
        <w:t>הזוגי</w:t>
      </w:r>
      <w:r>
        <w:rPr>
          <w:rtl w:val="true"/>
        </w:rPr>
        <w:t xml:space="preserve">, </w:t>
      </w:r>
      <w:r>
        <w:rPr>
          <w:rtl w:val="true"/>
        </w:rPr>
        <w:t xml:space="preserve">החברתי ועוד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8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66970/07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10.3.2008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המחשה ברורה לדברים ניתן למצוא בענייננו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למקרא תסקירי נפגעות העבירה ולנוכח עדויותיהן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מהם עולה תמונת נזק קשה בכל מישורי חייהן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חומרה יתרה טמונה בענייננו בריבוי העבירות וריבוי הנפגעות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בית המשפט המחוזי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בדעת הרוב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התייחס לעניין זה בהרחבה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 ראיתי להתערב במסקנתו המנומקת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ולפיה בנסיבות העניין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אין בשיקול זה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כשלעצמו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כדי להכריע את הכף לעבר הטלת עונש מאסר על המשיב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כזכור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השיקול בדבר חומרת העבירות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גם כשמדובר בעבירות מין חמורות המבוצעות על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ידי קטינים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אינו מאיין את שיקולי השיקום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1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49/09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הנ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הנעול</w:t>
      </w:r>
      <w:r>
        <w:rPr>
          <w:rtl w:val="true"/>
        </w:rPr>
        <w:t xml:space="preserve">, </w:t>
      </w:r>
      <w:r>
        <w:rPr>
          <w:rtl w:val="true"/>
        </w:rPr>
        <w:t>ולהימנעות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tl w:val="true"/>
        </w:rPr>
        <w:t xml:space="preserve">,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איטית</w:t>
      </w:r>
      <w:r>
        <w:rPr>
          <w:rtl w:val="true"/>
        </w:rPr>
        <w:t xml:space="preserve">, </w:t>
      </w:r>
      <w:r>
        <w:rPr>
          <w:rtl w:val="true"/>
        </w:rPr>
        <w:t>במישורים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פרוגנוזת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מטילים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והלוואי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).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,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המלצותיהם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סיכויי השיקום</w:t>
      </w:r>
      <w:r>
        <w:rPr>
          <w:rtl w:val="true"/>
        </w:rPr>
        <w:t xml:space="preserve">, </w:t>
      </w:r>
      <w:r>
        <w:rPr>
          <w:rtl w:val="true"/>
        </w:rPr>
        <w:t xml:space="preserve">בהצטרפם לגילו הצעיר של המשיב בעת ביצוע העבירות </w:t>
      </w:r>
      <w:r>
        <w:rPr>
          <w:rtl w:val="true"/>
        </w:rPr>
        <w:t>–</w:t>
      </w:r>
      <w:r>
        <w:rPr>
          <w:rtl w:val="true"/>
        </w:rPr>
        <w:t xml:space="preserve"> הובילו במכלול הנסיבות ובאיזון שערך בית המשפט המחוזי</w:t>
      </w:r>
      <w:r>
        <w:rPr>
          <w:rtl w:val="true"/>
        </w:rPr>
        <w:t xml:space="preserve">, </w:t>
      </w:r>
      <w:r>
        <w:rPr>
          <w:rtl w:val="true"/>
        </w:rPr>
        <w:t>להעדפת אפיק שיקומי של החזקה במעון נעול על פני עונש מאסר</w:t>
      </w:r>
      <w:r>
        <w:rPr>
          <w:rtl w:val="true"/>
        </w:rPr>
        <w:t xml:space="preserve">. </w:t>
      </w:r>
      <w:r>
        <w:rPr>
          <w:rtl w:val="true"/>
        </w:rPr>
        <w:t xml:space="preserve">עונש זה </w:t>
      </w:r>
      <w:r>
        <w:rPr>
          <w:rtl w:val="true"/>
        </w:rPr>
        <w:t>–</w:t>
      </w:r>
      <w:r>
        <w:rPr>
          <w:rtl w:val="true"/>
        </w:rPr>
        <w:t xml:space="preserve"> הכולל גם הרשעה</w:t>
      </w:r>
      <w:r>
        <w:rPr>
          <w:rtl w:val="true"/>
        </w:rPr>
        <w:t xml:space="preserve">, </w:t>
      </w:r>
      <w:r>
        <w:rPr>
          <w:rtl w:val="true"/>
        </w:rPr>
        <w:t>שהיא בעלת השלכות משמעותיות על חייו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וכן שלילה של חירותו לפרק זמן ממושך שיגיע כדי כחמש שנים בתום ההליך </w:t>
      </w:r>
      <w:r>
        <w:rPr>
          <w:rtl w:val="true"/>
        </w:rPr>
        <w:t>–</w:t>
      </w:r>
      <w:r>
        <w:rPr>
          <w:rtl w:val="true"/>
        </w:rPr>
        <w:t xml:space="preserve"> מגשים לא רק תכליות של שיקום</w:t>
      </w:r>
      <w:r>
        <w:rPr>
          <w:rtl w:val="true"/>
        </w:rPr>
        <w:t xml:space="preserve">, </w:t>
      </w:r>
      <w:r>
        <w:rPr>
          <w:rtl w:val="true"/>
        </w:rPr>
        <w:t>אלא גם תכליות עונשיות של הרתעה</w:t>
      </w:r>
      <w:r>
        <w:rPr>
          <w:rtl w:val="true"/>
        </w:rPr>
        <w:t xml:space="preserve">, </w:t>
      </w:r>
      <w:r>
        <w:rPr>
          <w:rtl w:val="true"/>
        </w:rPr>
        <w:t>גמול ומניעה</w:t>
      </w:r>
      <w:r>
        <w:rPr>
          <w:rtl w:val="true"/>
        </w:rPr>
        <w:t xml:space="preserve">. </w:t>
      </w:r>
      <w:r>
        <w:rPr>
          <w:rtl w:val="true"/>
        </w:rPr>
        <w:t>עונש זה אף אינו חורג ממדיניות הענישה הנוהגת ביחס לקטינים</w:t>
      </w:r>
      <w:r>
        <w:rPr>
          <w:rtl w:val="true"/>
        </w:rPr>
        <w:t xml:space="preserve">, </w:t>
      </w:r>
      <w:r>
        <w:rPr>
          <w:rtl w:val="true"/>
        </w:rPr>
        <w:t xml:space="preserve">במקרים אחרים בהם בוצעו עבירות מין חמורות כבענייננו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1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7870/19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1631/07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יש לתקן טעות שנפלה מלפני שירות המבחן ובעקבות זאת גם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הטיל על המשיב צו החזקה במעון נעול מכוח </w:t>
      </w:r>
      <w:hyperlink r:id="rId1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ותשעה חודשים</w:t>
      </w:r>
      <w:r>
        <w:rPr>
          <w:rtl w:val="true"/>
        </w:rPr>
        <w:t xml:space="preserve">, </w:t>
      </w:r>
      <w:r>
        <w:rPr>
          <w:rtl w:val="true"/>
        </w:rPr>
        <w:t xml:space="preserve">עד שימלאו לו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חלף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).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בהתאם להמלצת שירות המבחן בתסקירו העדכני ובהסכמת המשיב</w:t>
      </w:r>
      <w:r>
        <w:rPr>
          <w:rtl w:val="true"/>
        </w:rPr>
        <w:t xml:space="preserve">, </w:t>
      </w:r>
      <w:r>
        <w:rPr>
          <w:rtl w:val="true"/>
        </w:rPr>
        <w:t>ראיתי להתערב בצו שהוטל על המשיב ולקבוע תחתיו</w:t>
      </w:r>
      <w:r>
        <w:rPr>
          <w:rtl w:val="true"/>
        </w:rPr>
        <w:t xml:space="preserve">, </w:t>
      </w:r>
      <w:r>
        <w:rPr>
          <w:rtl w:val="true"/>
        </w:rPr>
        <w:t xml:space="preserve">כי המשיב יוחזק במעון נעול מכוח </w:t>
      </w:r>
      <w:hyperlink r:id="rId1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>עד הגיעו לגיל עשרים</w:t>
      </w:r>
      <w:r>
        <w:rPr>
          <w:rtl w:val="true"/>
        </w:rPr>
        <w:t xml:space="preserve">; </w:t>
      </w:r>
      <w:r>
        <w:rPr>
          <w:rtl w:val="true"/>
        </w:rPr>
        <w:t>כי יוטל עליו צו מבחן בתנאי מגורים במעון נעול למשך שנה נוספת</w:t>
      </w:r>
      <w:r>
        <w:rPr>
          <w:rtl w:val="true"/>
        </w:rPr>
        <w:t xml:space="preserve">, </w:t>
      </w:r>
      <w:r>
        <w:rPr>
          <w:rtl w:val="true"/>
        </w:rPr>
        <w:t xml:space="preserve">עד הגיעו לגיל </w:t>
      </w:r>
      <w:r>
        <w:rPr/>
        <w:t>21</w:t>
      </w:r>
      <w:r>
        <w:rPr>
          <w:rtl w:val="true"/>
        </w:rPr>
        <w:t xml:space="preserve">; </w:t>
      </w:r>
      <w:r>
        <w:rPr>
          <w:rtl w:val="true"/>
        </w:rPr>
        <w:t>וכי לאחר סיום שהותו במעון</w:t>
      </w:r>
      <w:r>
        <w:rPr>
          <w:rtl w:val="true"/>
        </w:rPr>
        <w:t xml:space="preserve">, </w:t>
      </w:r>
      <w:r>
        <w:rPr>
          <w:rtl w:val="true"/>
        </w:rPr>
        <w:t>יוטל עליו צו מבחן בקהילה לשנה נוספת</w:t>
      </w:r>
      <w:r>
        <w:rPr>
          <w:rtl w:val="true"/>
        </w:rPr>
        <w:t xml:space="preserve">. </w:t>
      </w:r>
      <w:r>
        <w:rPr>
          <w:rtl w:val="true"/>
        </w:rPr>
        <w:t>יתר רכיבי הענישה יעמדו על כנם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וכפי שציינו אנו בדיון </w:t>
      </w:r>
      <w:r>
        <w:rPr>
          <w:rtl w:val="true"/>
        </w:rPr>
        <w:t>–</w:t>
      </w:r>
      <w:r>
        <w:rPr>
          <w:rtl w:val="true"/>
        </w:rPr>
        <w:t xml:space="preserve"> מצופה מן המשיב להתמיד בהליך הטיפולי ולא לסטות הימנו</w:t>
      </w:r>
      <w:r>
        <w:rPr>
          <w:rtl w:val="true"/>
        </w:rPr>
        <w:t xml:space="preserve">. </w:t>
      </w:r>
      <w:r>
        <w:rPr>
          <w:rtl w:val="true"/>
        </w:rPr>
        <w:t>ככל שלא יעמוד בדרישות המקום ובהנחיות הניתנות לו</w:t>
      </w:r>
      <w:r>
        <w:rPr>
          <w:rtl w:val="true"/>
        </w:rPr>
        <w:t xml:space="preserve">, </w:t>
      </w:r>
      <w:r>
        <w:rPr>
          <w:rtl w:val="true"/>
        </w:rPr>
        <w:t>עניינו עשוי להיות מוחזר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יוכל להמיר את עונשו למאסר </w:t>
      </w:r>
      <w:r>
        <w:rPr>
          <w:rtl w:val="true"/>
        </w:rPr>
        <w:t>(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הנוער</w:t>
      </w:r>
      <w:r>
        <w:rPr>
          <w:rtl w:val="true"/>
        </w:rPr>
        <w:t xml:space="preserve">). </w:t>
      </w:r>
      <w:r>
        <w:rPr>
          <w:rtl w:val="true"/>
        </w:rPr>
        <w:t>יש לקוות כי המשיב ידע לנצל את ההזדמנות שניתנה לו</w:t>
      </w:r>
      <w:r>
        <w:rPr>
          <w:rtl w:val="true"/>
        </w:rPr>
        <w:t xml:space="preserve">, </w:t>
      </w:r>
      <w:r>
        <w:rPr>
          <w:rtl w:val="true"/>
        </w:rPr>
        <w:t>חרף חומרתם של מעשיו</w:t>
      </w:r>
      <w:r>
        <w:rPr>
          <w:rtl w:val="true"/>
        </w:rPr>
        <w:t xml:space="preserve">, </w:t>
      </w:r>
      <w:r>
        <w:rPr>
          <w:rtl w:val="true"/>
        </w:rPr>
        <w:t>ויצליח להשלים הליך שיקום מועיל</w:t>
      </w:r>
      <w:r>
        <w:rPr>
          <w:rtl w:val="true"/>
        </w:rPr>
        <w:t xml:space="preserve">, </w:t>
      </w:r>
      <w:r>
        <w:rPr>
          <w:rtl w:val="true"/>
        </w:rPr>
        <w:t>למען עתידו שלו ולמען החברה כולה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בכפוף לאמור בסעיף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הערעור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Ruller41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22.2.2024</w:t>
      </w:r>
      <w:r>
        <w:rPr>
          <w:rtl w:val="true"/>
        </w:rPr>
        <w:t xml:space="preserve">). </w:t>
      </w:r>
      <w:bookmarkEnd w:id="2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23061230</w:t>
      </w:r>
      <w:r>
        <w:rPr>
          <w:sz w:val="16"/>
          <w:rtl w:val="true"/>
        </w:rPr>
        <w:t>_</w:t>
      </w:r>
      <w:r>
        <w:rPr>
          <w:sz w:val="16"/>
        </w:rPr>
        <w:t>X04.docx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מנ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54678313-6123/23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9"/>
      <w:footerReference w:type="default" r:id="rId1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6123/23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szCs w:val="28"/>
    </w:rPr>
  </w:style>
  <w:style w:type="character" w:styleId="WW8Num12z0">
    <w:name w:val="WW8Num12z0"/>
    <w:qFormat/>
    <w:rPr>
      <w:b w:val="false"/>
      <w:bCs w:val="false"/>
      <w:sz w:val="24"/>
      <w:szCs w:val="24"/>
    </w:rPr>
  </w:style>
  <w:style w:type="character" w:styleId="WW8Num12z1">
    <w:name w:val="WW8Num12z1"/>
    <w:qFormat/>
    <w:rPr>
      <w:b w:val="false"/>
      <w:bCs w:val="false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781333" TargetMode="External"/><Relationship Id="rId3" Type="http://schemas.openxmlformats.org/officeDocument/2006/relationships/hyperlink" Target="http://www.nevo.co.il/safrut/book/38005" TargetMode="External"/><Relationship Id="rId4" Type="http://schemas.openxmlformats.org/officeDocument/2006/relationships/hyperlink" Target="http://www.nevo.co.il/safrut/book/38005" TargetMode="External"/><Relationship Id="rId5" Type="http://schemas.openxmlformats.org/officeDocument/2006/relationships/hyperlink" Target="http://www.nevo.co.il/safrut/bookgroup/1997" TargetMode="External"/><Relationship Id="rId6" Type="http://schemas.openxmlformats.org/officeDocument/2006/relationships/hyperlink" Target="http://www.nevo.co.il/safrut/bookgroup/1997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48/1" TargetMode="External"/><Relationship Id="rId9" Type="http://schemas.openxmlformats.org/officeDocument/2006/relationships/hyperlink" Target="http://www.nevo.co.il/law/70348/1a.a" TargetMode="External"/><Relationship Id="rId10" Type="http://schemas.openxmlformats.org/officeDocument/2006/relationships/hyperlink" Target="http://www.nevo.co.il/law/70348/22" TargetMode="External"/><Relationship Id="rId11" Type="http://schemas.openxmlformats.org/officeDocument/2006/relationships/hyperlink" Target="http://www.nevo.co.il/law/70348/24" TargetMode="External"/><Relationship Id="rId12" Type="http://schemas.openxmlformats.org/officeDocument/2006/relationships/hyperlink" Target="http://www.nevo.co.il/law/70348/25" TargetMode="External"/><Relationship Id="rId13" Type="http://schemas.openxmlformats.org/officeDocument/2006/relationships/hyperlink" Target="http://www.nevo.co.il/law/70348/25.a" TargetMode="External"/><Relationship Id="rId14" Type="http://schemas.openxmlformats.org/officeDocument/2006/relationships/hyperlink" Target="http://www.nevo.co.il/law/70348/25.a.1" TargetMode="External"/><Relationship Id="rId15" Type="http://schemas.openxmlformats.org/officeDocument/2006/relationships/hyperlink" Target="http://www.nevo.co.il/law/70348/25.c" TargetMode="External"/><Relationship Id="rId16" Type="http://schemas.openxmlformats.org/officeDocument/2006/relationships/hyperlink" Target="http://www.nevo.co.il/law/70348/25a" TargetMode="External"/><Relationship Id="rId17" Type="http://schemas.openxmlformats.org/officeDocument/2006/relationships/hyperlink" Target="http://www.nevo.co.il/law/70348/25a.a" TargetMode="External"/><Relationship Id="rId18" Type="http://schemas.openxmlformats.org/officeDocument/2006/relationships/hyperlink" Target="http://www.nevo.co.il/law/70348/26" TargetMode="External"/><Relationship Id="rId19" Type="http://schemas.openxmlformats.org/officeDocument/2006/relationships/hyperlink" Target="http://www.nevo.co.il/law/70348/26.5" TargetMode="External"/><Relationship Id="rId20" Type="http://schemas.openxmlformats.org/officeDocument/2006/relationships/hyperlink" Target="http://www.nevo.co.il/law/70348/3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5.b.1" TargetMode="External"/><Relationship Id="rId25" Type="http://schemas.openxmlformats.org/officeDocument/2006/relationships/hyperlink" Target="http://www.nevo.co.il/law/70301/348.a" TargetMode="External"/><Relationship Id="rId26" Type="http://schemas.openxmlformats.org/officeDocument/2006/relationships/hyperlink" Target="http://www.nevo.co.il/law/70301/348.c" TargetMode="External"/><Relationship Id="rId27" Type="http://schemas.openxmlformats.org/officeDocument/2006/relationships/hyperlink" Target="http://www.nevo.co.il/law/70301/40if.a" TargetMode="External"/><Relationship Id="rId28" Type="http://schemas.openxmlformats.org/officeDocument/2006/relationships/hyperlink" Target="http://www.nevo.co.il/law/70301/40if.b" TargetMode="External"/><Relationship Id="rId29" Type="http://schemas.openxmlformats.org/officeDocument/2006/relationships/hyperlink" Target="http://www.nevo.co.il/law/70301/fCa1S" TargetMode="External"/><Relationship Id="rId30" Type="http://schemas.openxmlformats.org/officeDocument/2006/relationships/hyperlink" Target="http://www.nevo.co.il/law/70347" TargetMode="External"/><Relationship Id="rId31" Type="http://schemas.openxmlformats.org/officeDocument/2006/relationships/hyperlink" Target="http://www.nevo.co.il/law/70347/3.4" TargetMode="External"/><Relationship Id="rId32" Type="http://schemas.openxmlformats.org/officeDocument/2006/relationships/hyperlink" Target="http://www.nevo.co.il/law/70348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9781333" TargetMode="External"/><Relationship Id="rId35" Type="http://schemas.openxmlformats.org/officeDocument/2006/relationships/hyperlink" Target="http://www.nevo.co.il/law/70348/25" TargetMode="External"/><Relationship Id="rId36" Type="http://schemas.openxmlformats.org/officeDocument/2006/relationships/hyperlink" Target="http://www.nevo.co.il/law/70348" TargetMode="External"/><Relationship Id="rId37" Type="http://schemas.openxmlformats.org/officeDocument/2006/relationships/hyperlink" Target="http://www.nevo.co.il/law/70301/345.b.1" TargetMode="External"/><Relationship Id="rId38" Type="http://schemas.openxmlformats.org/officeDocument/2006/relationships/hyperlink" Target="http://www.nevo.co.il/law/70301/345.a.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48.a" TargetMode="External"/><Relationship Id="rId41" Type="http://schemas.openxmlformats.org/officeDocument/2006/relationships/hyperlink" Target="http://www.nevo.co.il/law/70301/345.b.1" TargetMode="External"/><Relationship Id="rId42" Type="http://schemas.openxmlformats.org/officeDocument/2006/relationships/hyperlink" Target="http://www.nevo.co.il/law/70301/345.b.1" TargetMode="External"/><Relationship Id="rId43" Type="http://schemas.openxmlformats.org/officeDocument/2006/relationships/hyperlink" Target="http://www.nevo.co.il/law/70301/345.a.1" TargetMode="External"/><Relationship Id="rId44" Type="http://schemas.openxmlformats.org/officeDocument/2006/relationships/hyperlink" Target="http://www.nevo.co.il/law/70301/25" TargetMode="External"/><Relationship Id="rId45" Type="http://schemas.openxmlformats.org/officeDocument/2006/relationships/hyperlink" Target="http://www.nevo.co.il/law/70301/348.c" TargetMode="External"/><Relationship Id="rId46" Type="http://schemas.openxmlformats.org/officeDocument/2006/relationships/hyperlink" Target="http://www.nevo.co.il/law/70348/25.a" TargetMode="External"/><Relationship Id="rId47" Type="http://schemas.openxmlformats.org/officeDocument/2006/relationships/hyperlink" Target="http://www.nevo.co.il/law/70301/40if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48" TargetMode="External"/><Relationship Id="rId50" Type="http://schemas.openxmlformats.org/officeDocument/2006/relationships/hyperlink" Target="http://www.nevo.co.il/law/70301/40if.b" TargetMode="External"/><Relationship Id="rId51" Type="http://schemas.openxmlformats.org/officeDocument/2006/relationships/hyperlink" Target="http://www.nevo.co.il/law/70301/fCa1S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10486492" TargetMode="External"/><Relationship Id="rId54" Type="http://schemas.openxmlformats.org/officeDocument/2006/relationships/hyperlink" Target="http://www.nevo.co.il/case/29433126" TargetMode="External"/><Relationship Id="rId55" Type="http://schemas.openxmlformats.org/officeDocument/2006/relationships/hyperlink" Target="http://www.nevo.co.il/case/29181044" TargetMode="External"/><Relationship Id="rId56" Type="http://schemas.openxmlformats.org/officeDocument/2006/relationships/hyperlink" Target="http://www.nevo.co.il/case/20942142" TargetMode="External"/><Relationship Id="rId57" Type="http://schemas.openxmlformats.org/officeDocument/2006/relationships/hyperlink" Target="http://www.nevo.co.il/law/70348/1a.a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0533387" TargetMode="External"/><Relationship Id="rId60" Type="http://schemas.openxmlformats.org/officeDocument/2006/relationships/hyperlink" Target="http://www.nevo.co.il/case/29181044" TargetMode="External"/><Relationship Id="rId61" Type="http://schemas.openxmlformats.org/officeDocument/2006/relationships/hyperlink" Target="http://www.nevo.co.il/case/26489414" TargetMode="External"/><Relationship Id="rId62" Type="http://schemas.openxmlformats.org/officeDocument/2006/relationships/hyperlink" Target="http://www.nevo.co.il/case/26146713" TargetMode="External"/><Relationship Id="rId63" Type="http://schemas.openxmlformats.org/officeDocument/2006/relationships/hyperlink" Target="http://www.nevo.co.il/case/6245059" TargetMode="External"/><Relationship Id="rId64" Type="http://schemas.openxmlformats.org/officeDocument/2006/relationships/hyperlink" Target="http://www.nevo.co.il/case/2237972" TargetMode="External"/><Relationship Id="rId65" Type="http://schemas.openxmlformats.org/officeDocument/2006/relationships/hyperlink" Target="http://www.nevo.co.il/case/6246087" TargetMode="External"/><Relationship Id="rId66" Type="http://schemas.openxmlformats.org/officeDocument/2006/relationships/hyperlink" Target="http://www.nevo.co.il/case/20832659" TargetMode="External"/><Relationship Id="rId67" Type="http://schemas.openxmlformats.org/officeDocument/2006/relationships/hyperlink" Target="http://www.nevo.co.il/case/2237972" TargetMode="External"/><Relationship Id="rId68" Type="http://schemas.openxmlformats.org/officeDocument/2006/relationships/hyperlink" Target="http://www.nevo.co.il/case/10486492" TargetMode="External"/><Relationship Id="rId69" Type="http://schemas.openxmlformats.org/officeDocument/2006/relationships/hyperlink" Target="http://www.nevo.co.il/safrut/book/38005" TargetMode="External"/><Relationship Id="rId70" Type="http://schemas.openxmlformats.org/officeDocument/2006/relationships/hyperlink" Target="http://www.nevo.co.il/law/70348/22" TargetMode="External"/><Relationship Id="rId71" Type="http://schemas.openxmlformats.org/officeDocument/2006/relationships/hyperlink" Target="http://www.nevo.co.il/law/70348/26" TargetMode="External"/><Relationship Id="rId72" Type="http://schemas.openxmlformats.org/officeDocument/2006/relationships/hyperlink" Target="http://www.nevo.co.il/law/70348/24" TargetMode="External"/><Relationship Id="rId73" Type="http://schemas.openxmlformats.org/officeDocument/2006/relationships/hyperlink" Target="http://www.nevo.co.il/case/29433126" TargetMode="External"/><Relationship Id="rId74" Type="http://schemas.openxmlformats.org/officeDocument/2006/relationships/hyperlink" Target="http://www.nevo.co.il/law/70348/25.a" TargetMode="External"/><Relationship Id="rId75" Type="http://schemas.openxmlformats.org/officeDocument/2006/relationships/hyperlink" Target="http://www.nevo.co.il/law/70348/1" TargetMode="External"/><Relationship Id="rId76" Type="http://schemas.openxmlformats.org/officeDocument/2006/relationships/hyperlink" Target="http://www.nevo.co.il/law/70348/26.5" TargetMode="External"/><Relationship Id="rId77" Type="http://schemas.openxmlformats.org/officeDocument/2006/relationships/hyperlink" Target="http://www.nevo.co.il/law/70348/25.a" TargetMode="External"/><Relationship Id="rId78" Type="http://schemas.openxmlformats.org/officeDocument/2006/relationships/hyperlink" Target="http://www.nevo.co.il/law/70347/3.4" TargetMode="External"/><Relationship Id="rId79" Type="http://schemas.openxmlformats.org/officeDocument/2006/relationships/hyperlink" Target="http://www.nevo.co.il/law/70347" TargetMode="External"/><Relationship Id="rId80" Type="http://schemas.openxmlformats.org/officeDocument/2006/relationships/hyperlink" Target="http://www.nevo.co.il/safrut/bookgroup/1997" TargetMode="External"/><Relationship Id="rId81" Type="http://schemas.openxmlformats.org/officeDocument/2006/relationships/hyperlink" Target="http://www.nevo.co.il/law/70348/25.a" TargetMode="External"/><Relationship Id="rId82" Type="http://schemas.openxmlformats.org/officeDocument/2006/relationships/hyperlink" Target="http://www.nevo.co.il/safrut/bookgroup/2580" TargetMode="External"/><Relationship Id="rId83" Type="http://schemas.openxmlformats.org/officeDocument/2006/relationships/hyperlink" Target="http://www.nevo.co.il/case/22322670" TargetMode="External"/><Relationship Id="rId84" Type="http://schemas.openxmlformats.org/officeDocument/2006/relationships/hyperlink" Target="http://www.nevo.co.il/case/6201225" TargetMode="External"/><Relationship Id="rId85" Type="http://schemas.openxmlformats.org/officeDocument/2006/relationships/hyperlink" Target="http://www.nevo.co.il/case/29433126" TargetMode="External"/><Relationship Id="rId86" Type="http://schemas.openxmlformats.org/officeDocument/2006/relationships/hyperlink" Target="http://www.nevo.co.il/case/6248924" TargetMode="External"/><Relationship Id="rId87" Type="http://schemas.openxmlformats.org/officeDocument/2006/relationships/hyperlink" Target="http://www.nevo.co.il/case/6201225" TargetMode="External"/><Relationship Id="rId88" Type="http://schemas.openxmlformats.org/officeDocument/2006/relationships/hyperlink" Target="http://www.nevo.co.il/case/6247596" TargetMode="External"/><Relationship Id="rId89" Type="http://schemas.openxmlformats.org/officeDocument/2006/relationships/hyperlink" Target="http://www.nevo.co.il/law/70348/25a.a" TargetMode="External"/><Relationship Id="rId90" Type="http://schemas.openxmlformats.org/officeDocument/2006/relationships/hyperlink" Target="http://www.nevo.co.il/case/27865495" TargetMode="External"/><Relationship Id="rId91" Type="http://schemas.openxmlformats.org/officeDocument/2006/relationships/hyperlink" Target="http://www.nevo.co.il/case/6201225" TargetMode="External"/><Relationship Id="rId92" Type="http://schemas.openxmlformats.org/officeDocument/2006/relationships/hyperlink" Target="http://www.nevo.co.il/case/6247596" TargetMode="External"/><Relationship Id="rId93" Type="http://schemas.openxmlformats.org/officeDocument/2006/relationships/hyperlink" Target="http://www.nevo.co.il/case/2237972" TargetMode="External"/><Relationship Id="rId94" Type="http://schemas.openxmlformats.org/officeDocument/2006/relationships/hyperlink" Target="http://www.nevo.co.il/case/5689722" TargetMode="External"/><Relationship Id="rId95" Type="http://schemas.openxmlformats.org/officeDocument/2006/relationships/hyperlink" Target="http://www.nevo.co.il/case/29181044" TargetMode="External"/><Relationship Id="rId96" Type="http://schemas.openxmlformats.org/officeDocument/2006/relationships/hyperlink" Target="http://www.nevo.co.il/case/6240786" TargetMode="External"/><Relationship Id="rId97" Type="http://schemas.openxmlformats.org/officeDocument/2006/relationships/hyperlink" Target="http://www.nevo.co.il/case/2237972" TargetMode="External"/><Relationship Id="rId98" Type="http://schemas.openxmlformats.org/officeDocument/2006/relationships/hyperlink" Target="http://www.nevo.co.il/case/29433126" TargetMode="External"/><Relationship Id="rId99" Type="http://schemas.openxmlformats.org/officeDocument/2006/relationships/hyperlink" Target="http://www.nevo.co.il/case/26226463" TargetMode="External"/><Relationship Id="rId100" Type="http://schemas.openxmlformats.org/officeDocument/2006/relationships/hyperlink" Target="http://www.nevo.co.il/case/27865495" TargetMode="External"/><Relationship Id="rId101" Type="http://schemas.openxmlformats.org/officeDocument/2006/relationships/hyperlink" Target="http://www.nevo.co.il/case/28429397" TargetMode="External"/><Relationship Id="rId102" Type="http://schemas.openxmlformats.org/officeDocument/2006/relationships/hyperlink" Target="http://www.nevo.co.il/case/29091620" TargetMode="External"/><Relationship Id="rId103" Type="http://schemas.openxmlformats.org/officeDocument/2006/relationships/hyperlink" Target="http://www.nevo.co.il/case/23582746" TargetMode="External"/><Relationship Id="rId104" Type="http://schemas.openxmlformats.org/officeDocument/2006/relationships/hyperlink" Target="http://www.nevo.co.il/case/453671" TargetMode="External"/><Relationship Id="rId105" Type="http://schemas.openxmlformats.org/officeDocument/2006/relationships/hyperlink" Target="http://www.nevo.co.il/case/26226463" TargetMode="External"/><Relationship Id="rId106" Type="http://schemas.openxmlformats.org/officeDocument/2006/relationships/hyperlink" Target="http://www.nevo.co.il/case/6240786" TargetMode="External"/><Relationship Id="rId107" Type="http://schemas.openxmlformats.org/officeDocument/2006/relationships/hyperlink" Target="http://www.nevo.co.il/case/29181044" TargetMode="External"/><Relationship Id="rId108" Type="http://schemas.openxmlformats.org/officeDocument/2006/relationships/hyperlink" Target="http://www.nevo.co.il/case/24140519" TargetMode="External"/><Relationship Id="rId109" Type="http://schemas.openxmlformats.org/officeDocument/2006/relationships/hyperlink" Target="http://www.nevo.co.il/case/29181044" TargetMode="External"/><Relationship Id="rId110" Type="http://schemas.openxmlformats.org/officeDocument/2006/relationships/hyperlink" Target="http://www.nevo.co.il/case/6240786" TargetMode="External"/><Relationship Id="rId111" Type="http://schemas.openxmlformats.org/officeDocument/2006/relationships/hyperlink" Target="http://www.nevo.co.il/case/11302775" TargetMode="External"/><Relationship Id="rId112" Type="http://schemas.openxmlformats.org/officeDocument/2006/relationships/hyperlink" Target="http://www.nevo.co.il/law/70348/25.c" TargetMode="External"/><Relationship Id="rId113" Type="http://schemas.openxmlformats.org/officeDocument/2006/relationships/hyperlink" Target="http://www.nevo.co.il/case/2237972" TargetMode="External"/><Relationship Id="rId114" Type="http://schemas.openxmlformats.org/officeDocument/2006/relationships/hyperlink" Target="http://www.nevo.co.il/case/29181044" TargetMode="External"/><Relationship Id="rId115" Type="http://schemas.openxmlformats.org/officeDocument/2006/relationships/hyperlink" Target="http://www.nevo.co.il/case/10486492" TargetMode="External"/><Relationship Id="rId116" Type="http://schemas.openxmlformats.org/officeDocument/2006/relationships/hyperlink" Target="http://www.nevo.co.il/case/27992372" TargetMode="External"/><Relationship Id="rId117" Type="http://schemas.openxmlformats.org/officeDocument/2006/relationships/hyperlink" Target="http://www.nevo.co.il/case/27648809" TargetMode="External"/><Relationship Id="rId118" Type="http://schemas.openxmlformats.org/officeDocument/2006/relationships/hyperlink" Target="http://www.nevo.co.il/case/6234386" TargetMode="External"/><Relationship Id="rId119" Type="http://schemas.openxmlformats.org/officeDocument/2006/relationships/hyperlink" Target="http://www.nevo.co.il/case/2237972" TargetMode="External"/><Relationship Id="rId120" Type="http://schemas.openxmlformats.org/officeDocument/2006/relationships/hyperlink" Target="http://www.nevo.co.il/case/26226463" TargetMode="External"/><Relationship Id="rId121" Type="http://schemas.openxmlformats.org/officeDocument/2006/relationships/hyperlink" Target="http://www.nevo.co.il/case/6201225" TargetMode="External"/><Relationship Id="rId122" Type="http://schemas.openxmlformats.org/officeDocument/2006/relationships/hyperlink" Target="http://www.nevo.co.il/case/29433126" TargetMode="External"/><Relationship Id="rId123" Type="http://schemas.openxmlformats.org/officeDocument/2006/relationships/hyperlink" Target="http://www.nevo.co.il/law/70348/25.a" TargetMode="External"/><Relationship Id="rId124" Type="http://schemas.openxmlformats.org/officeDocument/2006/relationships/hyperlink" Target="http://www.nevo.co.il/law/70348/34" TargetMode="External"/><Relationship Id="rId125" Type="http://schemas.openxmlformats.org/officeDocument/2006/relationships/hyperlink" Target="http://www.nevo.co.il/law/70348/25.a.1" TargetMode="External"/><Relationship Id="rId126" Type="http://schemas.openxmlformats.org/officeDocument/2006/relationships/hyperlink" Target="http://www.nevo.co.il/law/70348/25a" TargetMode="External"/><Relationship Id="rId127" Type="http://schemas.openxmlformats.org/officeDocument/2006/relationships/hyperlink" Target="https://supreme.court.gov.il/" TargetMode="External"/><Relationship Id="rId128" Type="http://schemas.openxmlformats.org/officeDocument/2006/relationships/hyperlink" Target="http://www.nevo.co.il/advertisements/nevo-100.doc" TargetMode="External"/><Relationship Id="rId129" Type="http://schemas.openxmlformats.org/officeDocument/2006/relationships/header" Target="header1.xml"/><Relationship Id="rId130" Type="http://schemas.openxmlformats.org/officeDocument/2006/relationships/footer" Target="footer1.xml"/><Relationship Id="rId131" Type="http://schemas.openxmlformats.org/officeDocument/2006/relationships/numbering" Target="numbering.xml"/><Relationship Id="rId132" Type="http://schemas.openxmlformats.org/officeDocument/2006/relationships/fontTable" Target="fontTable.xml"/><Relationship Id="rId133" Type="http://schemas.openxmlformats.org/officeDocument/2006/relationships/settings" Target="settings.xml"/><Relationship Id="rId1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2024-02-25T10:10:00Z</dcterms:created>
  <dc:creator>h4</dc:creator>
  <dc:description/>
  <cp:keywords/>
  <dc:language>en-IL</dc:language>
  <cp:lastModifiedBy>orly</cp:lastModifiedBy>
  <cp:lastPrinted>2024-02-22T16:02:00Z</cp:lastPrinted>
  <dcterms:modified xsi:type="dcterms:W3CDTF">2024-02-25T10:10:00Z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1997</vt:lpwstr>
  </property>
  <property fmtid="{D5CDD505-2E9C-101B-9397-08002B2CF9AE}" pid="9" name="BOOKLISTTMP1">
    <vt:lpwstr>38005</vt:lpwstr>
  </property>
  <property fmtid="{D5CDD505-2E9C-101B-9397-08002B2CF9AE}" pid="10" name="CASESLISTTMP1">
    <vt:lpwstr>29781333:2;10486492:3;29433126:5;29181044:6;20942142;20533387;26489414;26146713;6245059;2237972:6;6246087;20832659;22322670;6201225:4;6248924;6247596:2;27865495:2;5689722;6240786:3;26226463:3;28429397;29091620;23582746;453671;24140519;11302775;27992372</vt:lpwstr>
  </property>
  <property fmtid="{D5CDD505-2E9C-101B-9397-08002B2CF9AE}" pid="11" name="CASESLISTTMP2">
    <vt:lpwstr>27648809;6234386</vt:lpwstr>
  </property>
  <property fmtid="{D5CDD505-2E9C-101B-9397-08002B2CF9AE}" pid="12" name="CITY">
    <vt:lpwstr/>
  </property>
  <property fmtid="{D5CDD505-2E9C-101B-9397-08002B2CF9AE}" pid="13" name="DATE">
    <vt:lpwstr>20240222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י' וילנר;א' שטיין;ג' כנפי שטייניץ</vt:lpwstr>
  </property>
  <property fmtid="{D5CDD505-2E9C-101B-9397-08002B2CF9AE}" pid="17" name="LAWLISTTMP1">
    <vt:lpwstr>70348/025;025.a:5;001a.a;022;026;024;001;026.5;025a.a;025.c;034;025.a.1;025a</vt:lpwstr>
  </property>
  <property fmtid="{D5CDD505-2E9C-101B-9397-08002B2CF9AE}" pid="18" name="LAWLISTTMP2">
    <vt:lpwstr>70301/345.b.1:3;345.a.1:2;348.a;025;348.c;40if.a;40if.b;fCa1S</vt:lpwstr>
  </property>
  <property fmtid="{D5CDD505-2E9C-101B-9397-08002B2CF9AE}" pid="19" name="LAWLISTTMP3">
    <vt:lpwstr>70347/003.4</vt:lpwstr>
  </property>
  <property fmtid="{D5CDD505-2E9C-101B-9397-08002B2CF9AE}" pid="20" name="LAWYER">
    <vt:lpwstr>גלית מבורך;איתמר גלפיש;פנינה לוי;טלי סמואל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BOOKNEVO">
    <vt:lpwstr>2580</vt:lpwstr>
  </property>
  <property fmtid="{D5CDD505-2E9C-101B-9397-08002B2CF9AE}" pid="32" name="NOSE11">
    <vt:lpwstr>עונשין</vt:lpwstr>
  </property>
  <property fmtid="{D5CDD505-2E9C-101B-9397-08002B2CF9AE}" pid="33" name="NOSE110">
    <vt:lpwstr>עונשין</vt:lpwstr>
  </property>
  <property fmtid="{D5CDD505-2E9C-101B-9397-08002B2CF9AE}" pid="34" name="NOSE111">
    <vt:lpwstr/>
  </property>
  <property fmtid="{D5CDD505-2E9C-101B-9397-08002B2CF9AE}" pid="35" name="NOSE112">
    <vt:lpwstr/>
  </property>
  <property fmtid="{D5CDD505-2E9C-101B-9397-08002B2CF9AE}" pid="36" name="NOSE113">
    <vt:lpwstr/>
  </property>
  <property fmtid="{D5CDD505-2E9C-101B-9397-08002B2CF9AE}" pid="37" name="NOSE114">
    <vt:lpwstr/>
  </property>
  <property fmtid="{D5CDD505-2E9C-101B-9397-08002B2CF9AE}" pid="38" name="NOSE115">
    <vt:lpwstr/>
  </property>
  <property fmtid="{D5CDD505-2E9C-101B-9397-08002B2CF9AE}" pid="39" name="NOSE116">
    <vt:lpwstr/>
  </property>
  <property fmtid="{D5CDD505-2E9C-101B-9397-08002B2CF9AE}" pid="40" name="NOSE117">
    <vt:lpwstr/>
  </property>
  <property fmtid="{D5CDD505-2E9C-101B-9397-08002B2CF9AE}" pid="41" name="NOSE118">
    <vt:lpwstr/>
  </property>
  <property fmtid="{D5CDD505-2E9C-101B-9397-08002B2CF9AE}" pid="42" name="NOSE119">
    <vt:lpwstr/>
  </property>
  <property fmtid="{D5CDD505-2E9C-101B-9397-08002B2CF9AE}" pid="43" name="NOSE12">
    <vt:lpwstr>עונשין</vt:lpwstr>
  </property>
  <property fmtid="{D5CDD505-2E9C-101B-9397-08002B2CF9AE}" pid="44" name="NOSE120">
    <vt:lpwstr/>
  </property>
  <property fmtid="{D5CDD505-2E9C-101B-9397-08002B2CF9AE}" pid="45" name="NOSE13">
    <vt:lpwstr>עונשין</vt:lpwstr>
  </property>
  <property fmtid="{D5CDD505-2E9C-101B-9397-08002B2CF9AE}" pid="46" name="NOSE14">
    <vt:lpwstr>נוער</vt:lpwstr>
  </property>
  <property fmtid="{D5CDD505-2E9C-101B-9397-08002B2CF9AE}" pid="47" name="NOSE15">
    <vt:lpwstr>נוער</vt:lpwstr>
  </property>
  <property fmtid="{D5CDD505-2E9C-101B-9397-08002B2CF9AE}" pid="48" name="NOSE16">
    <vt:lpwstr>נוער</vt:lpwstr>
  </property>
  <property fmtid="{D5CDD505-2E9C-101B-9397-08002B2CF9AE}" pid="49" name="NOSE17">
    <vt:lpwstr>עונשין</vt:lpwstr>
  </property>
  <property fmtid="{D5CDD505-2E9C-101B-9397-08002B2CF9AE}" pid="50" name="NOSE18">
    <vt:lpwstr>עונשין</vt:lpwstr>
  </property>
  <property fmtid="{D5CDD505-2E9C-101B-9397-08002B2CF9AE}" pid="51" name="NOSE19">
    <vt:lpwstr>עונשין</vt:lpwstr>
  </property>
  <property fmtid="{D5CDD505-2E9C-101B-9397-08002B2CF9AE}" pid="52" name="NOSE1ID">
    <vt:lpwstr>77;77;77;65;65;65;77;77;77;77</vt:lpwstr>
  </property>
  <property fmtid="{D5CDD505-2E9C-101B-9397-08002B2CF9AE}" pid="53" name="NOSE21">
    <vt:lpwstr>ענישה</vt:lpwstr>
  </property>
  <property fmtid="{D5CDD505-2E9C-101B-9397-08002B2CF9AE}" pid="54" name="NOSE210">
    <vt:lpwstr>ענישה</vt:lpwstr>
  </property>
  <property fmtid="{D5CDD505-2E9C-101B-9397-08002B2CF9AE}" pid="55" name="NOSE211">
    <vt:lpwstr/>
  </property>
  <property fmtid="{D5CDD505-2E9C-101B-9397-08002B2CF9AE}" pid="56" name="NOSE212">
    <vt:lpwstr/>
  </property>
  <property fmtid="{D5CDD505-2E9C-101B-9397-08002B2CF9AE}" pid="57" name="NOSE213">
    <vt:lpwstr/>
  </property>
  <property fmtid="{D5CDD505-2E9C-101B-9397-08002B2CF9AE}" pid="58" name="NOSE214">
    <vt:lpwstr/>
  </property>
  <property fmtid="{D5CDD505-2E9C-101B-9397-08002B2CF9AE}" pid="59" name="NOSE215">
    <vt:lpwstr/>
  </property>
  <property fmtid="{D5CDD505-2E9C-101B-9397-08002B2CF9AE}" pid="60" name="NOSE216">
    <vt:lpwstr/>
  </property>
  <property fmtid="{D5CDD505-2E9C-101B-9397-08002B2CF9AE}" pid="61" name="NOSE217">
    <vt:lpwstr/>
  </property>
  <property fmtid="{D5CDD505-2E9C-101B-9397-08002B2CF9AE}" pid="62" name="NOSE218">
    <vt:lpwstr/>
  </property>
  <property fmtid="{D5CDD505-2E9C-101B-9397-08002B2CF9AE}" pid="63" name="NOSE219">
    <vt:lpwstr/>
  </property>
  <property fmtid="{D5CDD505-2E9C-101B-9397-08002B2CF9AE}" pid="64" name="NOSE22">
    <vt:lpwstr>ענישה</vt:lpwstr>
  </property>
  <property fmtid="{D5CDD505-2E9C-101B-9397-08002B2CF9AE}" pid="65" name="NOSE220">
    <vt:lpwstr/>
  </property>
  <property fmtid="{D5CDD505-2E9C-101B-9397-08002B2CF9AE}" pid="66" name="NOSE23">
    <vt:lpwstr>ענישה</vt:lpwstr>
  </property>
  <property fmtid="{D5CDD505-2E9C-101B-9397-08002B2CF9AE}" pid="67" name="NOSE24">
    <vt:lpwstr>ענישה</vt:lpwstr>
  </property>
  <property fmtid="{D5CDD505-2E9C-101B-9397-08002B2CF9AE}" pid="68" name="NOSE25">
    <vt:lpwstr>ענישה</vt:lpwstr>
  </property>
  <property fmtid="{D5CDD505-2E9C-101B-9397-08002B2CF9AE}" pid="69" name="NOSE26">
    <vt:lpwstr>ענישה</vt:lpwstr>
  </property>
  <property fmtid="{D5CDD505-2E9C-101B-9397-08002B2CF9AE}" pid="70" name="NOSE27">
    <vt:lpwstr>ענישה</vt:lpwstr>
  </property>
  <property fmtid="{D5CDD505-2E9C-101B-9397-08002B2CF9AE}" pid="71" name="NOSE28">
    <vt:lpwstr>ענישה</vt:lpwstr>
  </property>
  <property fmtid="{D5CDD505-2E9C-101B-9397-08002B2CF9AE}" pid="72" name="NOSE29">
    <vt:lpwstr>ענישה</vt:lpwstr>
  </property>
  <property fmtid="{D5CDD505-2E9C-101B-9397-08002B2CF9AE}" pid="73" name="NOSE2ID">
    <vt:lpwstr>1446;1446;1446;1296;1296;1296;1446;1446;1446;1446</vt:lpwstr>
  </property>
  <property fmtid="{D5CDD505-2E9C-101B-9397-08002B2CF9AE}" pid="74" name="NOSE31">
    <vt:lpwstr>דרכי ענישה: מעון נעול</vt:lpwstr>
  </property>
  <property fmtid="{D5CDD505-2E9C-101B-9397-08002B2CF9AE}" pid="75" name="NOSE310">
    <vt:lpwstr>מדיניות ענישה: עבירות מין בקטינים</vt:lpwstr>
  </property>
  <property fmtid="{D5CDD505-2E9C-101B-9397-08002B2CF9AE}" pid="76" name="NOSE311">
    <vt:lpwstr/>
  </property>
  <property fmtid="{D5CDD505-2E9C-101B-9397-08002B2CF9AE}" pid="77" name="NOSE312">
    <vt:lpwstr/>
  </property>
  <property fmtid="{D5CDD505-2E9C-101B-9397-08002B2CF9AE}" pid="78" name="NOSE313">
    <vt:lpwstr/>
  </property>
  <property fmtid="{D5CDD505-2E9C-101B-9397-08002B2CF9AE}" pid="79" name="NOSE314">
    <vt:lpwstr/>
  </property>
  <property fmtid="{D5CDD505-2E9C-101B-9397-08002B2CF9AE}" pid="80" name="NOSE315">
    <vt:lpwstr/>
  </property>
  <property fmtid="{D5CDD505-2E9C-101B-9397-08002B2CF9AE}" pid="81" name="NOSE316">
    <vt:lpwstr/>
  </property>
  <property fmtid="{D5CDD505-2E9C-101B-9397-08002B2CF9AE}" pid="82" name="NOSE317">
    <vt:lpwstr/>
  </property>
  <property fmtid="{D5CDD505-2E9C-101B-9397-08002B2CF9AE}" pid="83" name="NOSE318">
    <vt:lpwstr/>
  </property>
  <property fmtid="{D5CDD505-2E9C-101B-9397-08002B2CF9AE}" pid="84" name="NOSE319">
    <vt:lpwstr/>
  </property>
  <property fmtid="{D5CDD505-2E9C-101B-9397-08002B2CF9AE}" pid="85" name="NOSE32">
    <vt:lpwstr>מדיניות ענישה: קטינים</vt:lpwstr>
  </property>
  <property fmtid="{D5CDD505-2E9C-101B-9397-08002B2CF9AE}" pid="86" name="NOSE320">
    <vt:lpwstr/>
  </property>
  <property fmtid="{D5CDD505-2E9C-101B-9397-08002B2CF9AE}" pid="87" name="NOSE33">
    <vt:lpwstr>דרכי ענישה: נוער</vt:lpwstr>
  </property>
  <property fmtid="{D5CDD505-2E9C-101B-9397-08002B2CF9AE}" pid="88" name="NOSE34">
    <vt:lpwstr>מעון נעול</vt:lpwstr>
  </property>
  <property fmtid="{D5CDD505-2E9C-101B-9397-08002B2CF9AE}" pid="89" name="NOSE35">
    <vt:lpwstr>שיקולי</vt:lpwstr>
  </property>
  <property fmtid="{D5CDD505-2E9C-101B-9397-08002B2CF9AE}" pid="90" name="NOSE36">
    <vt:lpwstr>שיקול בית-המשפט</vt:lpwstr>
  </property>
  <property fmtid="{D5CDD505-2E9C-101B-9397-08002B2CF9AE}" pid="91" name="NOSE37">
    <vt:lpwstr>מדיניות ענישה: שיקום</vt:lpwstr>
  </property>
  <property fmtid="{D5CDD505-2E9C-101B-9397-08002B2CF9AE}" pid="92" name="NOSE38">
    <vt:lpwstr>מדיניות ענישה: התערבות ערכאת ערעור</vt:lpwstr>
  </property>
  <property fmtid="{D5CDD505-2E9C-101B-9397-08002B2CF9AE}" pid="93" name="NOSE39">
    <vt:lpwstr>מדיניות ענישה: נוער</vt:lpwstr>
  </property>
  <property fmtid="{D5CDD505-2E9C-101B-9397-08002B2CF9AE}" pid="94" name="NOSE3ID">
    <vt:lpwstr>;15724;8962;;;7907;14346;8982;8983;16970</vt:lpwstr>
  </property>
  <property fmtid="{D5CDD505-2E9C-101B-9397-08002B2CF9AE}" pid="95" name="PADIDATE">
    <vt:lpwstr>20240225</vt:lpwstr>
  </property>
  <property fmtid="{D5CDD505-2E9C-101B-9397-08002B2CF9AE}" pid="96" name="PADIMAIL">
    <vt:lpwstr>YES</vt:lpwstr>
  </property>
  <property fmtid="{D5CDD505-2E9C-101B-9397-08002B2CF9AE}" pid="97" name="PAGE">
    <vt:lpwstr/>
  </property>
  <property fmtid="{D5CDD505-2E9C-101B-9397-08002B2CF9AE}" pid="98" name="PART">
    <vt:lpwstr/>
  </property>
  <property fmtid="{D5CDD505-2E9C-101B-9397-08002B2CF9AE}" pid="99" name="PROCESS">
    <vt:lpwstr>עפ</vt:lpwstr>
  </property>
  <property fmtid="{D5CDD505-2E9C-101B-9397-08002B2CF9AE}" pid="100" name="PROCNUM">
    <vt:lpwstr>6123</vt:lpwstr>
  </property>
  <property fmtid="{D5CDD505-2E9C-101B-9397-08002B2CF9AE}" pid="101" name="PROCYEAR">
    <vt:lpwstr>23</vt:lpwstr>
  </property>
  <property fmtid="{D5CDD505-2E9C-101B-9397-08002B2CF9AE}" pid="102" name="PSAKDIN">
    <vt:lpwstr>פסק-דין</vt:lpwstr>
  </property>
  <property fmtid="{D5CDD505-2E9C-101B-9397-08002B2CF9AE}" pid="103" name="TYPE">
    <vt:lpwstr>1</vt:lpwstr>
  </property>
  <property fmtid="{D5CDD505-2E9C-101B-9397-08002B2CF9AE}" pid="104" name="TYPE_ABS_DATE">
    <vt:lpwstr>410120240222</vt:lpwstr>
  </property>
  <property fmtid="{D5CDD505-2E9C-101B-9397-08002B2CF9AE}" pid="105" name="TYPE_N_DATE">
    <vt:lpwstr>41020240222</vt:lpwstr>
  </property>
  <property fmtid="{D5CDD505-2E9C-101B-9397-08002B2CF9AE}" pid="106" name="VOLUME">
    <vt:lpwstr/>
  </property>
  <property fmtid="{D5CDD505-2E9C-101B-9397-08002B2CF9AE}" pid="107" name="WORDNUMPAGES">
    <vt:lpwstr>18</vt:lpwstr>
  </property>
</Properties>
</file>