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613/23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hyperlink r:id="rId2"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 </w:t>
              </w:r>
              <w:r>
                <w:rPr>
                  <w:rStyle w:val="Hyperlink"/>
                  <w:color w:val="0000FF"/>
                  <w:sz w:val="28"/>
                  <w:szCs w:val="28"/>
                  <w:u w:val="single"/>
                </w:rPr>
                <w:t>585/23</w:t>
              </w:r>
            </w:hyperlink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כנפי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שטייניץ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2" w:name="FirstAppellant"/>
            <w:bookmarkEnd w:id="2"/>
            <w:r>
              <w:rPr>
                <w:rFonts w:ascii="David" w:hAnsi="David"/>
                <w:rtl w:val="true"/>
              </w:rPr>
              <w:t>המבקש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ח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אלד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סלימאן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הטוענת לזכות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חולוד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סלימאן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בקשה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למתן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הוראות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מטעם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המבקש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והטוענת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לזכות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בשם המבקש והטוענת לזכות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ניזאר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חדאד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Lawyer"/>
            <w:bookmarkEnd w:id="3"/>
            <w:r>
              <w:rPr>
                <w:rFonts w:ascii="David" w:hAnsi="David"/>
                <w:rtl w:val="true"/>
              </w:rPr>
              <w:t xml:space="preserve">בשם </w:t>
            </w: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איתי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שהם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4" w:name="PsakDin"/>
            <w:bookmarkStart w:id="5" w:name="BeginProtocol"/>
            <w:bookmarkStart w:id="6" w:name="secretary"/>
            <w:bookmarkEnd w:id="4"/>
            <w:bookmarkEnd w:id="5"/>
            <w:bookmarkEnd w:id="6"/>
            <w:r>
              <w:rPr>
                <w:rtl w:val="true"/>
              </w:rPr>
              <w:t>החלטה</w:t>
            </w:r>
          </w:p>
          <w:p>
            <w:pPr>
              <w:pStyle w:val="DocumentHead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7" w:name="Writer_Name"/>
      <w:bookmarkStart w:id="8" w:name="Writer_Name"/>
      <w:bookmarkEnd w:id="8"/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bookmarkStart w:id="9" w:name="Start_Write"/>
      <w:bookmarkEnd w:id="9"/>
      <w:r>
        <w:rPr>
          <w:rtl w:val="true"/>
        </w:rPr>
        <w:tab/>
      </w:r>
      <w:r>
        <w:rPr>
          <w:rtl w:val="true"/>
        </w:rPr>
        <w:t>לאחר עיון</w:t>
      </w:r>
      <w:r>
        <w:rPr>
          <w:rtl w:val="true"/>
        </w:rPr>
        <w:t xml:space="preserve">, </w:t>
      </w:r>
      <w:r>
        <w:rPr>
          <w:rtl w:val="true"/>
        </w:rPr>
        <w:t>דין הבקשה למתן הוראות להידחות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מן המכתב שצורף לתגובת המשיבה עולה</w:t>
      </w:r>
      <w:r>
        <w:rPr>
          <w:rtl w:val="true"/>
        </w:rPr>
        <w:t xml:space="preserve">, </w:t>
      </w:r>
      <w:r>
        <w:rPr>
          <w:rtl w:val="true"/>
        </w:rPr>
        <w:t xml:space="preserve">כי חברת הביטוח איילון דחתה את תביעתה של הטוענת לזכות </w:t>
      </w:r>
      <w:r>
        <w:rPr>
          <w:rtl w:val="true"/>
        </w:rPr>
        <w:t>(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חולוד סלימאן</w:t>
      </w:r>
      <w:r>
        <w:rPr>
          <w:rtl w:val="true"/>
        </w:rPr>
        <w:t xml:space="preserve">) </w:t>
      </w:r>
      <w:r>
        <w:rPr>
          <w:rtl w:val="true"/>
        </w:rPr>
        <w:t>לתגמולי ביטוח</w:t>
      </w:r>
      <w:r>
        <w:rPr>
          <w:rtl w:val="true"/>
        </w:rPr>
        <w:t xml:space="preserve">, </w:t>
      </w:r>
      <w:r>
        <w:rPr>
          <w:rtl w:val="true"/>
        </w:rPr>
        <w:t>בהעדר כיסוי ביטוחי</w:t>
      </w:r>
      <w:r>
        <w:rPr>
          <w:rtl w:val="true"/>
        </w:rPr>
        <w:t xml:space="preserve">, </w:t>
      </w:r>
      <w:r>
        <w:rPr>
          <w:rtl w:val="true"/>
        </w:rPr>
        <w:t>ולפיכך מדובר בבקשה תיאורטית</w:t>
      </w:r>
      <w:r>
        <w:rPr>
          <w:rtl w:val="true"/>
        </w:rPr>
        <w:t xml:space="preserve">. </w:t>
      </w:r>
      <w:r>
        <w:rPr>
          <w:rtl w:val="true"/>
        </w:rPr>
        <w:t>ככל שעמדת חברת הביטוח תשתנה בטרם יוכרע הערעור</w:t>
      </w:r>
      <w:r>
        <w:rPr>
          <w:rtl w:val="true"/>
        </w:rPr>
        <w:t xml:space="preserve">, </w:t>
      </w:r>
      <w:r>
        <w:rPr>
          <w:rtl w:val="true"/>
        </w:rPr>
        <w:t>פתוחה לפני הטוענת לזכות הדרך להגיש בקשה מחודשת</w:t>
      </w:r>
      <w:r>
        <w:rPr>
          <w:rtl w:val="true"/>
        </w:rPr>
        <w:t xml:space="preserve">, </w:t>
      </w:r>
      <w:r>
        <w:rPr>
          <w:rtl w:val="true"/>
        </w:rPr>
        <w:t>מבלי שאני נוקטת עמדה בבקשה לגופה</w:t>
      </w:r>
      <w:r>
        <w:rPr>
          <w:rtl w:val="true"/>
        </w:rPr>
        <w:t xml:space="preserve">. 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0" w:name="Nitan"/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בניסן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17.4.2024</w:t>
      </w:r>
      <w:r>
        <w:rPr>
          <w:rtl w:val="true"/>
        </w:rPr>
        <w:t xml:space="preserve">). </w:t>
      </w:r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ind w:end="0"/>
              <w:jc w:val="both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23006130</w:t>
      </w:r>
      <w:r>
        <w:rPr>
          <w:sz w:val="16"/>
          <w:rtl w:val="true"/>
        </w:rPr>
        <w:t>_</w:t>
      </w:r>
      <w:r>
        <w:rPr>
          <w:sz w:val="16"/>
        </w:rPr>
        <w:t>X11.docx</w:t>
      </w:r>
      <w:r>
        <w:rPr>
          <w:sz w:val="16"/>
          <w:rtl w:val="true"/>
        </w:rPr>
        <w:t xml:space="preserve">    </w:t>
      </w:r>
      <w:r>
        <w:rPr>
          <w:sz w:val="16"/>
          <w:sz w:val="16"/>
          <w:rtl w:val="true"/>
        </w:rPr>
        <w:t>ג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ג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כנפי שטייניץ </w:t>
      </w:r>
      <w:r>
        <w:rPr>
          <w:rFonts w:cs="David" w:ascii="David" w:hAnsi="David"/>
          <w:color w:val="000000"/>
          <w:szCs w:val="22"/>
        </w:rPr>
        <w:t>54678313-613/23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613/23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ח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אלד סלימאן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9324777" TargetMode="External"/><Relationship Id="rId3" Type="http://schemas.openxmlformats.org/officeDocument/2006/relationships/hyperlink" Target="https://supreme.court.gov.il/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2024-04-18T07:53:00Z</dcterms:created>
  <dc:creator>h4</dc:creator>
  <dc:description/>
  <cp:keywords/>
  <dc:language>en-IL</dc:language>
  <cp:lastModifiedBy>h1</cp:lastModifiedBy>
  <cp:lastPrinted>2024-04-17T16:30:00Z</cp:lastPrinted>
  <dcterms:modified xsi:type="dcterms:W3CDTF">2024-04-18T07:53:00Z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ח'אלד סלימאן</vt:lpwstr>
  </property>
  <property fmtid="{D5CDD505-2E9C-101B-9397-08002B2CF9AE}" pid="3" name="APPELLEE">
    <vt:lpwstr>מדינת ישראל</vt:lpwstr>
  </property>
  <property fmtid="{D5CDD505-2E9C-101B-9397-08002B2CF9AE}" pid="4" name="CASESLISTTMP1">
    <vt:lpwstr>29324777</vt:lpwstr>
  </property>
  <property fmtid="{D5CDD505-2E9C-101B-9397-08002B2CF9AE}" pid="5" name="DATE">
    <vt:lpwstr>20240417</vt:lpwstr>
  </property>
  <property fmtid="{D5CDD505-2E9C-101B-9397-08002B2CF9AE}" pid="6" name="JUDGE">
    <vt:lpwstr>ג' כנפי שטייניץ</vt:lpwstr>
  </property>
  <property fmtid="{D5CDD505-2E9C-101B-9397-08002B2CF9AE}" pid="7" name="LAWYER">
    <vt:lpwstr>איתי שהם;ו לזכות ניזאר חדאד;למתן הוראות</vt:lpwstr>
  </property>
  <property fmtid="{D5CDD505-2E9C-101B-9397-08002B2CF9AE}" pid="8" name="PROCESS">
    <vt:lpwstr>עפ;עפ</vt:lpwstr>
  </property>
  <property fmtid="{D5CDD505-2E9C-101B-9397-08002B2CF9AE}" pid="9" name="PROCNUM">
    <vt:lpwstr>613;585</vt:lpwstr>
  </property>
  <property fmtid="{D5CDD505-2E9C-101B-9397-08002B2CF9AE}" pid="10" name="PROCYEAR">
    <vt:lpwstr>23;23</vt:lpwstr>
  </property>
  <property fmtid="{D5CDD505-2E9C-101B-9397-08002B2CF9AE}" pid="11" name="PSAKDIN">
    <vt:lpwstr>החלטה</vt:lpwstr>
  </property>
  <property fmtid="{D5CDD505-2E9C-101B-9397-08002B2CF9AE}" pid="12" name="TYPE">
    <vt:lpwstr>1</vt:lpwstr>
  </property>
  <property fmtid="{D5CDD505-2E9C-101B-9397-08002B2CF9AE}" pid="13" name="TYPE_ABS_DATE">
    <vt:lpwstr>410020240417</vt:lpwstr>
  </property>
  <property fmtid="{D5CDD505-2E9C-101B-9397-08002B2CF9AE}" pid="14" name="TYPE_N_DATE">
    <vt:lpwstr>41020240417</vt:lpwstr>
  </property>
  <property fmtid="{D5CDD505-2E9C-101B-9397-08002B2CF9AE}" pid="15" name="WORDNUMPAGES">
    <vt:lpwstr>2</vt:lpwstr>
  </property>
</Properties>
</file>