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6197/20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ascii="David;Malgun Gothic Semilight" w:hAnsi="David;Malgun Gothic Semilight"/>
                <w:rtl w:val="true"/>
              </w:rPr>
              <w:t>ת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פארוק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גולאני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28467-04-19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21.07.2020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15.11.2021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בורנשטיין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פריג</w:t>
            </w:r>
            <w:r>
              <w:rPr>
                <w:rtl w:val="true"/>
              </w:rPr>
              <w:t xml:space="preserve">';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סוהר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ד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ה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333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335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יד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קולת העונש שנגזר על המשיב ביחס לחומרת מעשיו בגינם הורשע בעבירה של חבלה בנסיבות מחמירות בגין דקירת שני 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הסוטה באופן חריג מהענישה המקובלת ונוכח הימנעות הערכאה הדיונית מקביעת מתחם עונש 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הצדקה להתערבות ערכאת הערעור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ורק מאחר שערכאת הערעור אינה ממצה את חומרת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הושתו על המערער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חֶלֶף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הבניית שיקול הדעת השיפוטי בענישה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במסגרתו הושת על המשיב עונש של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שירוצו בדרך של עבודות 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בשל הרשעתו על פי הודאתו במסגרת הסדר טיעון בעבירת חבלה בנסיבות מחמירות בגין דקירת שני מתלוננים במהלך קטטה שהתפתחה על רקע סכסוך עסקי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השופטים פוגלמן וקרא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זה מדרכה של ערכאת ערעור למצות את הדין עם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אינה נוטה להתערב בחומרת העונש שנגזר עליו בערכאה הדיונית אלא בנסיבות בהן ניכרת בגזר הדין סטייה מהותית ובולטת מהענישה המקובלת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ממדיניות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המקרה דנן מצדיק את התערבות ערכאת הערעור הן מחמת קולת העונש שנגזר על המשיב ביחס לחומרת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הסוטה באופן חריג מהענישה המקובלת והן לאור הימנעות הערכאה הדיונית מקביעת מתחם עונש 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לנדרש על פי 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נועד להבניית שיקול הדעת השיפוטי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שייצור אחידות בענישה הפלילית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התיקון מורה כי 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לקבוע מתחם עונש הולם לעבירה שביצע נאשם בהתאם לעיקרון ההלימה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התחשבות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בערכים החברתיים שנפגעו מביצועה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הפגיעה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ומדיניות הענישה הנהוגה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סטייה מעקרון זה תהא משיקולי שיקום או הגנה על שלום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נימק את החלטתו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קיומו של הסדר טיעון אינו מבטל את תחולת ההוראות שנקבעו בתיקון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יש הסכמה בין הצדדים לטווח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 תוצאה של כוח מיקוח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לבחון את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המהווה קביעה נורמטיבית בדבר האיזון הראוי שנקבע על ידי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רק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אינו כבול להסכמות הצדדים בעת קביעת מתחם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ראוי כי יקבע מתחם זה בנפרד מהסכמות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כדי לאפשר את בחינת הסדר הטיעון לאור העונש ההולם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 שגגה בקביעת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עת סבר כי לאור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הסדר התקרה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כלשונו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הצדדים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אינו מחייב לקיים דיון במתחם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מאחר שלמעשה הסדר הטיעון שהוסכם לא כלל הסכמה בדבר טווח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ובין העונשים להם עתרו הצדדים קיים פער 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 היה מקום להסתמך על הלכת שפרנוביץ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בענייננו הסדר הטיעון לא כלל הסכמה לטווח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ובוודאי שלא כלל הסכמה מפורשת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להימנע מלטעון למתחם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שנקבע בהלכת שפרנוביץ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הוסכם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הצדדים יעתרו באופן פתוח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לקבוע מתחם עונש 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וככל שמצא לנכון לחרוג ממנו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לקולה או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לנמק קביעתו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שהושת על המשיב חורג באופן קיצוני ממדיניות הענישה הראויה ואינו הולם את חומרת המעשים בהם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המצדיק התערבות ערכאת 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כבר נפסק אודות החומרה הטמונה בעבירות חבלה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המסכנות את שלום הציבור ובטחונו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עשיית דין עצמי והתעלמות מהוראות 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וגורמות לפגיעות בגוף ובנפש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מדיניות הענישה לשקף חומרה זו על ידי השתת עונשי מאסר משמעותיים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 המשיב הגיע למקום בו התרחשה קטטה בין בני משפחתו לבין משפחה 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המצויה עמם בסכסוך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ודקר שניים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 ניכר כי העונש שנגזר על המשיב אינו משקף כראוי את החומרה הנובעת ממעשיו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הקל בעונשו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 הנראה כתוצאה מכך שנמנע מקביעת מתחם ענישה 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 אינו מבטא את החומרה היתירה בהתנהלותו האלימה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אף לא הראה כל הליך שיקום המצדיק הקלה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להעמיד את העונש על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שאף הוא אינו מבטא את העונש הראוי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ההלכה כי אין זה מדרכה של ערכאת הערעור למצות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  <w:tab/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לפנינו ערעור על גזר דינו של בית משפט המחוזי ירושלים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רון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28467-04-19</w:t>
        </w:r>
      </w:hyperlink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21.7.2020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הושת על המשיב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בשל הרשעתו על פי הודאתו במסגרת הסדר טיעון בעבירת חבלה בנסיבות מחמירות לפי 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כמתואר בנימוקי הערעור</w:t>
      </w:r>
      <w:r>
        <w:rPr>
          <w:rtl w:val="true"/>
        </w:rPr>
        <w:t xml:space="preserve">, </w:t>
      </w:r>
      <w:r>
        <w:rPr>
          <w:rtl w:val="true"/>
        </w:rPr>
        <w:t>המשיב הורשע בדקירת שני מתלוננים זה אחר זה באמצעות חפץ חד בפלג גופם העליון</w:t>
      </w:r>
      <w:r>
        <w:rPr>
          <w:rtl w:val="true"/>
        </w:rPr>
        <w:t xml:space="preserve">, </w:t>
      </w:r>
      <w:r>
        <w:rPr>
          <w:rtl w:val="true"/>
        </w:rPr>
        <w:t>כך שהאחד סבל מפצע דקירה בחזה משמאל עם דימום עורקי והשני סבל מפצע דקירה בבטן</w:t>
      </w:r>
      <w:r>
        <w:rPr>
          <w:rtl w:val="true"/>
        </w:rPr>
        <w:t xml:space="preserve">. </w:t>
      </w:r>
      <w:r>
        <w:rPr>
          <w:rtl w:val="true"/>
        </w:rPr>
        <w:t>שני המתלוננים נזקקו לטיפול רפואי</w:t>
      </w:r>
      <w:r>
        <w:rPr>
          <w:rtl w:val="true"/>
        </w:rPr>
        <w:t xml:space="preserve">. </w:t>
      </w:r>
      <w:r>
        <w:rPr>
          <w:rtl w:val="true"/>
        </w:rPr>
        <w:t>דקירת השניים התרחשה במהלך קטטה שהתפתחה על רקע סכסוך עסקי</w:t>
      </w:r>
      <w:r>
        <w:rPr>
          <w:rtl w:val="true"/>
        </w:rPr>
        <w:t xml:space="preserve">, </w:t>
      </w:r>
      <w:r>
        <w:rPr>
          <w:rtl w:val="true"/>
        </w:rPr>
        <w:t>אליה הגיע המשיב מצויד בחפץ חד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 הורשע 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לפיו הוסכם כי הצדדים </w:t>
      </w:r>
      <w:r>
        <w:rPr>
          <w:rtl w:val="true"/>
        </w:rPr>
        <w:t>"</w:t>
      </w:r>
      <w:r>
        <w:rPr>
          <w:rtl w:val="true"/>
        </w:rPr>
        <w:t>יעתרו באופן פתוח</w:t>
      </w:r>
      <w:r>
        <w:rPr>
          <w:rtl w:val="true"/>
        </w:rPr>
        <w:t xml:space="preserve">" </w:t>
      </w:r>
      <w:r>
        <w:rPr>
          <w:rtl w:val="true"/>
        </w:rPr>
        <w:t>לאחר קבלת תסקיר בעניינו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כאשר המערערת תטען לעונש מאסר בפועל לתקופה של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 על תנאי ופיצוי למתלוננים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" </w:t>
      </w:r>
      <w:r>
        <w:rPr>
          <w:rtl w:val="true"/>
        </w:rPr>
        <w:t>מההסדר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בתסקיר שירות המבחן שהוגש לבית המשפט המחוזי פורטו נסיבותיו האישיות והמשפחתיות של המשיב </w:t>
      </w:r>
      <w:r>
        <w:rPr>
          <w:rtl w:val="true"/>
        </w:rPr>
        <w:t>–</w:t>
      </w:r>
      <w:r>
        <w:rPr>
          <w:rtl w:val="true"/>
        </w:rPr>
        <w:t xml:space="preserve"> היותו יתום מאב ובן למשפחה החווה מצוקה כלכלית</w:t>
      </w:r>
      <w:r>
        <w:rPr>
          <w:rtl w:val="true"/>
        </w:rPr>
        <w:t xml:space="preserve">. </w:t>
      </w:r>
      <w:r>
        <w:rPr>
          <w:rtl w:val="true"/>
        </w:rPr>
        <w:t>באשר להערכת הסיכון לעבריינות וסיכויי השיקום</w:t>
      </w:r>
      <w:r>
        <w:rPr>
          <w:rtl w:val="true"/>
        </w:rPr>
        <w:t xml:space="preserve">, </w:t>
      </w:r>
      <w:r>
        <w:rPr>
          <w:rtl w:val="true"/>
        </w:rPr>
        <w:t>צוין כי המשיב מבטא שאיפות לניהול אורח חיים תקין ללא מעורבות נוספת בפלילים</w:t>
      </w:r>
      <w:r>
        <w:rPr>
          <w:rtl w:val="true"/>
        </w:rPr>
        <w:t xml:space="preserve">, </w:t>
      </w:r>
      <w:r>
        <w:rPr>
          <w:rtl w:val="true"/>
        </w:rPr>
        <w:t>וכי הוא מגלה אחריות לפרנסת משפחתו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לצד לקיחת אחריות באופן מילולי</w:t>
      </w:r>
      <w:r>
        <w:rPr>
          <w:rtl w:val="true"/>
        </w:rPr>
        <w:t xml:space="preserve">, </w:t>
      </w:r>
      <w:r>
        <w:rPr>
          <w:rtl w:val="true"/>
        </w:rPr>
        <w:t>ההתרשמות היא כי המשיב ממוקד בהשלכות ההליך המשפטי על חייו ועתידו</w:t>
      </w:r>
      <w:r>
        <w:rPr>
          <w:rtl w:val="true"/>
        </w:rPr>
        <w:t xml:space="preserve">, </w:t>
      </w:r>
      <w:r>
        <w:rPr>
          <w:rtl w:val="true"/>
        </w:rPr>
        <w:t xml:space="preserve">ומתקשה </w:t>
      </w:r>
      <w:r>
        <w:rPr>
          <w:rtl w:val="true"/>
        </w:rPr>
        <w:t>"</w:t>
      </w:r>
      <w:r>
        <w:rPr>
          <w:rtl w:val="true"/>
        </w:rPr>
        <w:t>להתבונן</w:t>
      </w:r>
      <w:r>
        <w:rPr>
          <w:rtl w:val="true"/>
        </w:rPr>
        <w:t xml:space="preserve">" </w:t>
      </w:r>
      <w:r>
        <w:rPr>
          <w:rtl w:val="true"/>
        </w:rPr>
        <w:t>בפגיעה שגרם למתלוננים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במכלול הנסיבות שפורטו בתסקיר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היותו </w:t>
      </w:r>
      <w:r>
        <w:rPr>
          <w:rtl w:val="true"/>
        </w:rPr>
        <w:t>"</w:t>
      </w:r>
      <w:r>
        <w:rPr>
          <w:rtl w:val="true"/>
        </w:rPr>
        <w:t>בחור צעיר</w:t>
      </w:r>
      <w:r>
        <w:rPr>
          <w:rtl w:val="true"/>
        </w:rPr>
        <w:t xml:space="preserve">" </w:t>
      </w:r>
      <w:r>
        <w:rPr>
          <w:rtl w:val="true"/>
        </w:rPr>
        <w:t>שזו מעורבותו הראשונה בפלילים</w:t>
      </w:r>
      <w:r>
        <w:rPr>
          <w:rtl w:val="true"/>
        </w:rPr>
        <w:t xml:space="preserve">, </w:t>
      </w:r>
      <w:r>
        <w:rPr>
          <w:rtl w:val="true"/>
        </w:rPr>
        <w:t>ולצד ביטויי החרטה שגילה</w:t>
      </w:r>
      <w:r>
        <w:rPr>
          <w:rtl w:val="true"/>
        </w:rPr>
        <w:t xml:space="preserve">, </w:t>
      </w:r>
      <w:r>
        <w:rPr>
          <w:rtl w:val="true"/>
        </w:rPr>
        <w:t xml:space="preserve">שירות המבחן </w:t>
      </w:r>
      <w:r>
        <w:rPr>
          <w:rtl w:val="true"/>
        </w:rPr>
        <w:t>"</w:t>
      </w:r>
      <w:r>
        <w:rPr>
          <w:rtl w:val="true"/>
        </w:rPr>
        <w:t>התלבט</w:t>
      </w:r>
      <w:r>
        <w:rPr>
          <w:rtl w:val="true"/>
        </w:rPr>
        <w:t xml:space="preserve">" </w:t>
      </w:r>
      <w:r>
        <w:rPr>
          <w:rtl w:val="true"/>
        </w:rPr>
        <w:t>באשר להמלצתו בין מאסר בפועל מאחורי סורג ובריח לבין עבודות שירות</w:t>
      </w:r>
      <w:r>
        <w:rPr>
          <w:rtl w:val="true"/>
        </w:rPr>
        <w:t xml:space="preserve">, </w:t>
      </w:r>
      <w:r>
        <w:rPr>
          <w:rtl w:val="true"/>
        </w:rPr>
        <w:t>ומשכך המליץ כי ככל שיוטל על המשיב עונש מאסר בפועל מאחורי סורג ובריח</w:t>
      </w:r>
      <w:r>
        <w:rPr>
          <w:rtl w:val="true"/>
        </w:rPr>
        <w:t xml:space="preserve">, </w:t>
      </w:r>
      <w:r>
        <w:rPr>
          <w:rtl w:val="true"/>
        </w:rPr>
        <w:t>בית המשפט ייתחשב באמור בתסקיר בקביעת משכו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בטיעוניה לעונש בבית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המערערת הפנתה לחומרת העבירה בה הורשע המשיב</w:t>
      </w:r>
      <w:r>
        <w:rPr>
          <w:rtl w:val="true"/>
        </w:rPr>
        <w:t xml:space="preserve">, </w:t>
      </w:r>
      <w:r>
        <w:rPr>
          <w:rtl w:val="true"/>
        </w:rPr>
        <w:t>לחומרת החבלות שנגרמו למתלוננים ולחומרה בה רואים בתי המשפט התנהלות אלימה כהתנהלות המשיב במקרה דנן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המערערת הדגישה את הנסיבות המחמירות בעניינו של המשיב </w:t>
      </w:r>
      <w:r>
        <w:rPr>
          <w:rtl w:val="true"/>
        </w:rPr>
        <w:t>–</w:t>
      </w:r>
      <w:r>
        <w:rPr>
          <w:rtl w:val="true"/>
        </w:rPr>
        <w:t xml:space="preserve"> ניסיון לפתור סכסוך באלימות על ידי הגעתו למקום עם חפץ חד</w:t>
      </w:r>
      <w:r>
        <w:rPr>
          <w:rtl w:val="true"/>
        </w:rPr>
        <w:t xml:space="preserve">, </w:t>
      </w:r>
      <w:r>
        <w:rPr>
          <w:rtl w:val="true"/>
        </w:rPr>
        <w:t>שהכינו מבעוד מועד</w:t>
      </w:r>
      <w:r>
        <w:rPr>
          <w:rtl w:val="true"/>
        </w:rPr>
        <w:t xml:space="preserve">, </w:t>
      </w:r>
      <w:r>
        <w:rPr>
          <w:rtl w:val="true"/>
        </w:rPr>
        <w:t>תקיפת 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וגרימת חבלות בעלות פוטנציאל נזק חמור </w:t>
      </w:r>
      <w:r>
        <w:rPr>
          <w:rtl w:val="true"/>
        </w:rPr>
        <w:t>–</w:t>
      </w:r>
      <w:r>
        <w:rPr>
          <w:rtl w:val="true"/>
        </w:rPr>
        <w:t xml:space="preserve"> פוטנציאל שהתממש מאחר שמעשי המשיב גרמו למתלוננים </w:t>
      </w:r>
      <w:r>
        <w:rPr>
          <w:rtl w:val="true"/>
        </w:rPr>
        <w:t>"</w:t>
      </w:r>
      <w:r>
        <w:rPr>
          <w:rtl w:val="true"/>
        </w:rPr>
        <w:t>נזקים ופציעות משמעותיות</w:t>
      </w:r>
      <w:r>
        <w:rPr>
          <w:rtl w:val="true"/>
        </w:rPr>
        <w:t>" (</w:t>
      </w:r>
      <w:r>
        <w:rPr>
          <w:rtl w:val="true"/>
        </w:rPr>
        <w:t>לעניין זה אף הוגשו תצהירי נפגעי עבירה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 כוח המשיב חלק על בא כוח המערערת באשר להתנהלותו</w:t>
      </w:r>
      <w:r>
        <w:rPr>
          <w:rtl w:val="true"/>
        </w:rPr>
        <w:t xml:space="preserve">, </w:t>
      </w:r>
      <w:r>
        <w:rPr>
          <w:rtl w:val="true"/>
        </w:rPr>
        <w:t>וטען כי האירוע האלים החל עם תקיפת דודו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בגינה נחבל ונזקק לטיפול רפואי </w:t>
      </w:r>
      <w:r>
        <w:rPr>
          <w:rtl w:val="true"/>
        </w:rPr>
        <w:t>–</w:t>
      </w:r>
      <w:r>
        <w:rPr>
          <w:rtl w:val="true"/>
        </w:rPr>
        <w:t xml:space="preserve"> משכך</w:t>
      </w:r>
      <w:r>
        <w:rPr>
          <w:rtl w:val="true"/>
        </w:rPr>
        <w:t xml:space="preserve">, </w:t>
      </w:r>
      <w:r>
        <w:rPr>
          <w:rtl w:val="true"/>
        </w:rPr>
        <w:t>מעורבותו הייתה בשל חששו לשלום דודו</w:t>
      </w:r>
      <w:r>
        <w:rPr>
          <w:rtl w:val="true"/>
        </w:rPr>
        <w:t xml:space="preserve">, </w:t>
      </w:r>
      <w:r>
        <w:rPr>
          <w:rtl w:val="true"/>
        </w:rPr>
        <w:t>ואולם כיום המשיב מבין את הפסול במעשיו</w:t>
      </w:r>
      <w:r>
        <w:rPr>
          <w:rtl w:val="true"/>
        </w:rPr>
        <w:t xml:space="preserve">, </w:t>
      </w:r>
      <w:r>
        <w:rPr>
          <w:rtl w:val="true"/>
        </w:rPr>
        <w:t>ומביע חרטה</w:t>
      </w:r>
      <w:r>
        <w:rPr>
          <w:rtl w:val="true"/>
        </w:rPr>
        <w:t xml:space="preserve">. </w:t>
      </w:r>
      <w:r>
        <w:rPr>
          <w:rtl w:val="true"/>
        </w:rPr>
        <w:t>עוד טען</w:t>
      </w:r>
      <w:r>
        <w:rPr>
          <w:rtl w:val="true"/>
        </w:rPr>
        <w:t xml:space="preserve">, </w:t>
      </w:r>
      <w:r>
        <w:rPr>
          <w:rtl w:val="true"/>
        </w:rPr>
        <w:t xml:space="preserve">כי החבלות שנגרמו למתלוננים הן </w:t>
      </w:r>
      <w:r>
        <w:rPr>
          <w:rtl w:val="true"/>
        </w:rPr>
        <w:t>"</w:t>
      </w:r>
      <w:r>
        <w:rPr>
          <w:rtl w:val="true"/>
        </w:rPr>
        <w:t>פציעות שיטחיות מאוד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tl w:val="true"/>
        </w:rPr>
        <w:t xml:space="preserve">"; </w:t>
      </w:r>
      <w:r>
        <w:rPr>
          <w:rtl w:val="true"/>
        </w:rPr>
        <w:t>הדגיש את גילו של המשיב בעת התרחשות האירוע</w:t>
      </w:r>
      <w:r>
        <w:rPr>
          <w:rtl w:val="true"/>
        </w:rPr>
        <w:t xml:space="preserve">; </w:t>
      </w:r>
      <w:r>
        <w:rPr>
          <w:rtl w:val="true"/>
        </w:rPr>
        <w:t>וכן את האמור בתסקיר שירות המבחן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והגמול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בגזר דינו כי לאור הסדר הטיעון בין הצדדים ובהתאם להלכה שנקבעה 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שפרנוביץ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8.9.2016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שפרנוביץ</w:t>
      </w:r>
      <w:r>
        <w:rPr>
          <w:rtl w:val="true"/>
        </w:rPr>
        <w:t xml:space="preserve">), </w:t>
      </w:r>
      <w:r>
        <w:rPr>
          <w:rtl w:val="true"/>
        </w:rPr>
        <w:t>הוא אינו נדרש לקבוע מתחם ענישה בעניינו של המשיב</w:t>
      </w:r>
      <w:r>
        <w:rPr>
          <w:rtl w:val="true"/>
        </w:rPr>
        <w:t xml:space="preserve">, </w:t>
      </w:r>
      <w:r>
        <w:rPr>
          <w:rtl w:val="true"/>
        </w:rPr>
        <w:t xml:space="preserve">שכן הוא </w:t>
      </w:r>
      <w:r>
        <w:rPr>
          <w:rtl w:val="true"/>
        </w:rPr>
        <w:t>"</w:t>
      </w:r>
      <w:r>
        <w:rPr>
          <w:rtl w:val="true"/>
        </w:rPr>
        <w:t>פטור</w:t>
      </w:r>
      <w:r>
        <w:rPr>
          <w:rtl w:val="true"/>
        </w:rPr>
        <w:t xml:space="preserve">... </w:t>
      </w:r>
      <w:r>
        <w:rPr>
          <w:rtl w:val="true"/>
        </w:rPr>
        <w:t>מדיון במישור זה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חדים</w:t>
      </w:r>
      <w:r>
        <w:rPr>
          <w:rtl w:val="true"/>
        </w:rPr>
        <w:t xml:space="preserve">, </w:t>
      </w:r>
      <w:r>
        <w:rPr>
          <w:rtl w:val="true"/>
        </w:rPr>
        <w:t>העלולה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גורל</w:t>
      </w:r>
      <w:r>
        <w:rPr>
          <w:rtl w:val="true"/>
        </w:rPr>
        <w:t xml:space="preserve">".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";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; </w:t>
      </w:r>
      <w:r>
        <w:rPr>
          <w:rtl w:val="true"/>
        </w:rPr>
        <w:t>ותסקיר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המערערת משיגה על גזר הדין בשתיים</w:t>
      </w:r>
      <w:r>
        <w:rPr>
          <w:rtl w:val="true"/>
        </w:rPr>
        <w:t xml:space="preserve">: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לשיטתה בית המשפט המחוזי שגה עת נמנע מקביעת מתחם עונש הולם</w:t>
      </w:r>
      <w:r>
        <w:rPr>
          <w:rtl w:val="true"/>
        </w:rPr>
        <w:t xml:space="preserve">;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כי עונשו של המשיב חורג באופן קיצוני לקולה ממתחם העונש ההולם</w:t>
      </w:r>
      <w:r>
        <w:rPr>
          <w:rtl w:val="true"/>
        </w:rPr>
        <w:t xml:space="preserve">, </w:t>
      </w:r>
      <w:r>
        <w:rPr>
          <w:rtl w:val="true"/>
        </w:rPr>
        <w:t>בהינתן המעשים החמורים בהם הורשע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לטענה הראשונה</w:t>
      </w:r>
      <w:r>
        <w:rPr>
          <w:rtl w:val="true"/>
        </w:rPr>
        <w:t xml:space="preserve">, </w:t>
      </w:r>
      <w:r>
        <w:rPr>
          <w:rtl w:val="true"/>
        </w:rPr>
        <w:t xml:space="preserve">המערערת הדגישה כי הימנעות בית המשפט מקביעת מתחם עונש הולם עומדת בניגוד להוראות וכוונת המחוקק בתיקון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בניגוד לפסיקת בית המשפט העליון</w:t>
      </w:r>
      <w:r>
        <w:rPr>
          <w:rtl w:val="true"/>
        </w:rPr>
        <w:t xml:space="preserve">; </w:t>
      </w:r>
      <w:r>
        <w:rPr>
          <w:rtl w:val="true"/>
        </w:rPr>
        <w:t>ובניגוד לכך שבמסגרת הטיעונים לעונש עתרו שני הצדדים לקביעת מתחם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מצומצמים</w:t>
      </w:r>
      <w:r>
        <w:rPr>
          <w:rtl w:val="true"/>
        </w:rPr>
        <w:t xml:space="preserve">, </w:t>
      </w:r>
      <w:r>
        <w:rPr>
          <w:rtl w:val="true"/>
        </w:rPr>
        <w:t>ויתקיימו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מצמצמת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הסתמכות בית המשפט המחוזי על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שפרנוביץ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כדי לנמק הימנעותו מקביעת מתחם ענישה</w:t>
      </w:r>
      <w:r>
        <w:rPr>
          <w:rtl w:val="true"/>
        </w:rPr>
        <w:t xml:space="preserve">, </w:t>
      </w:r>
      <w:r>
        <w:rPr>
          <w:rtl w:val="true"/>
        </w:rPr>
        <w:t>שגויה</w:t>
      </w:r>
      <w:r>
        <w:rPr>
          <w:rtl w:val="true"/>
        </w:rPr>
        <w:t xml:space="preserve">. </w:t>
      </w:r>
      <w:r>
        <w:rPr>
          <w:rtl w:val="true"/>
        </w:rPr>
        <w:t xml:space="preserve">בהלכה זו ביקשו הצדדים באופן מפורש ומוסכם להימנע מלטעון למתחם ענישה </w:t>
      </w:r>
      <w:r>
        <w:rPr>
          <w:rtl w:val="true"/>
        </w:rPr>
        <w:t>–</w:t>
      </w:r>
      <w:r>
        <w:rPr>
          <w:rtl w:val="true"/>
        </w:rPr>
        <w:t xml:space="preserve"> וחרף ההסכמה</w:t>
      </w:r>
      <w:r>
        <w:rPr>
          <w:rtl w:val="true"/>
        </w:rPr>
        <w:t xml:space="preserve">, </w:t>
      </w:r>
      <w:r>
        <w:rPr>
          <w:rtl w:val="true"/>
        </w:rPr>
        <w:t>קבעה הערכאה הדיונית מתחם זה</w:t>
      </w:r>
      <w:r>
        <w:rPr>
          <w:rtl w:val="true"/>
        </w:rPr>
        <w:t xml:space="preserve">, </w:t>
      </w:r>
      <w:r>
        <w:rPr>
          <w:rtl w:val="true"/>
        </w:rPr>
        <w:t>אשר הרף העליון במסגרתו עלה באופן משמעותי על תקרת הענישה המוסכמת בין הצדדים</w:t>
      </w:r>
      <w:r>
        <w:rPr>
          <w:rtl w:val="true"/>
        </w:rPr>
        <w:t xml:space="preserve">. </w:t>
      </w:r>
      <w:r>
        <w:rPr>
          <w:rtl w:val="true"/>
        </w:rPr>
        <w:t>שונה הדבר בעניינו</w:t>
      </w:r>
      <w:r>
        <w:rPr>
          <w:rtl w:val="true"/>
        </w:rPr>
        <w:t xml:space="preserve">, </w:t>
      </w:r>
      <w:r>
        <w:rPr>
          <w:rtl w:val="true"/>
        </w:rPr>
        <w:t>במסגרתו לא הייתה הסכמה בין הצדדים לעניין זה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אף לפי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שפרנוביץ</w:t>
      </w:r>
      <w:r>
        <w:rPr>
          <w:rtl w:val="true"/>
        </w:rPr>
        <w:t xml:space="preserve">, </w:t>
      </w:r>
      <w:r>
        <w:rPr>
          <w:rtl w:val="true"/>
        </w:rPr>
        <w:t>ברי כי הערכאה הדיונית אינה יכולה לגזור כל עונש שהיא רואה לנכון לקבוע</w:t>
      </w:r>
      <w:r>
        <w:rPr>
          <w:rtl w:val="true"/>
        </w:rPr>
        <w:t xml:space="preserve">, </w:t>
      </w:r>
      <w:r>
        <w:rPr>
          <w:rtl w:val="true"/>
        </w:rPr>
        <w:t>מבלי להידרש למיקומו ביחס למתחם הענישה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לטענתה השנייה</w:t>
      </w:r>
      <w:r>
        <w:rPr>
          <w:rtl w:val="true"/>
        </w:rPr>
        <w:t xml:space="preserve">, </w:t>
      </w:r>
      <w:r>
        <w:rPr>
          <w:rtl w:val="true"/>
        </w:rPr>
        <w:t xml:space="preserve">המערערת ציינה כי העונש שנקבע על ידי בית המשפט המחוזי </w:t>
      </w:r>
      <w:r>
        <w:rPr>
          <w:rtl w:val="true"/>
        </w:rPr>
        <w:t>"</w:t>
      </w:r>
      <w:r>
        <w:rPr>
          <w:rtl w:val="true"/>
        </w:rPr>
        <w:t>רחוק מלהלום את המעשים החמורים בהם הורשע המשיב</w:t>
      </w:r>
      <w:r>
        <w:rPr>
          <w:rtl w:val="true"/>
        </w:rPr>
        <w:t xml:space="preserve">".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המשיב דקר ופגע בשני המתלוננים בפלג גופם העליון</w:t>
      </w:r>
      <w:r>
        <w:rPr>
          <w:rtl w:val="true"/>
        </w:rPr>
        <w:t xml:space="preserve">, </w:t>
      </w:r>
      <w:r>
        <w:rPr>
          <w:rtl w:val="true"/>
        </w:rPr>
        <w:t>באמצעות חפץ חד בו הצטייד מבעוד מועד</w:t>
      </w:r>
      <w:r>
        <w:rPr>
          <w:rtl w:val="true"/>
        </w:rPr>
        <w:t xml:space="preserve">, </w:t>
      </w:r>
      <w:r>
        <w:rPr>
          <w:rtl w:val="true"/>
        </w:rPr>
        <w:t>כאשר גם נוכחות נוספים בזירה לא מנעה ממנו מלתקוף אותם בזה אחר זה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ברי כי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לריצוי בעבודות שירות</w:t>
      </w:r>
      <w:r>
        <w:rPr>
          <w:rtl w:val="true"/>
        </w:rPr>
        <w:t xml:space="preserve">, </w:t>
      </w:r>
      <w:r>
        <w:rPr>
          <w:rtl w:val="true"/>
        </w:rPr>
        <w:t>חורג לקולה ממתחם העונש ההולם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והחרטה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tl w:val="true"/>
        </w:rPr>
        <w:t>, "</w:t>
      </w:r>
      <w:r>
        <w:rPr>
          <w:rtl w:val="true"/>
        </w:rPr>
        <w:t>והסתפק</w:t>
      </w:r>
      <w:r>
        <w:rPr>
          <w:rtl w:val="true"/>
        </w:rPr>
        <w:t xml:space="preserve">"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 כוח המשיב טען כי אין להתערב בקביעתו המאוזנת והנכונה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עונשו של המשיב נגזר בהתאם להסכם הטיעון שנחתם בין הצדדים</w:t>
      </w:r>
      <w:r>
        <w:rPr>
          <w:rtl w:val="true"/>
        </w:rPr>
        <w:t xml:space="preserve">, </w:t>
      </w:r>
      <w:r>
        <w:rPr>
          <w:rtl w:val="true"/>
        </w:rPr>
        <w:t>במסגרתו המערערת הגבילה עצמה ל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והמשיב היה חופשי בטיעוניו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 xml:space="preserve">הסכמה זאת מהווה למעשה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tl w:val="true"/>
        </w:rPr>
        <w:t xml:space="preserve"> שהוסכם במסגרת הסדר הטיעון</w:t>
      </w:r>
      <w:r>
        <w:rPr>
          <w:rtl w:val="true"/>
        </w:rPr>
        <w:t xml:space="preserve">, </w:t>
      </w:r>
      <w:r>
        <w:rPr>
          <w:rtl w:val="true"/>
        </w:rPr>
        <w:t>ומשכך פסיקת בית המשפט המחוזי מצויה בתחומי הטווח ואינה חורגת מהמוסכם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; </w:t>
      </w:r>
      <w:r>
        <w:rPr>
          <w:rtl w:val="true"/>
        </w:rPr>
        <w:t>תמיכתו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; </w:t>
      </w:r>
      <w:r>
        <w:rPr>
          <w:rtl w:val="true"/>
        </w:rPr>
        <w:t>ומעצרו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cs="Times New Roman" w:ascii="Times New Roman" w:hAnsi="Times New Roman"/>
          <w:sz w:val="14"/>
          <w:szCs w:val="14"/>
          <w:rtl w:val="true"/>
        </w:rPr>
        <w:t xml:space="preserve">  </w:t>
      </w:r>
      <w:r>
        <w:rPr>
          <w:sz w:val="28"/>
          <w:sz w:val="28"/>
          <w:rtl w:val="true"/>
        </w:rPr>
        <w:t>עובר לדיון בערעור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התקבלו מספר תסקיר</w:t>
      </w:r>
      <w:r>
        <w:rPr>
          <w:rtl w:val="true"/>
        </w:rPr>
        <w:t>י שירות המבחן המציינים בין היתר כי המשיב לקח אחריות מילולית למיוחס לו</w:t>
      </w:r>
      <w:r>
        <w:rPr>
          <w:rtl w:val="true"/>
        </w:rPr>
        <w:t xml:space="preserve">, </w:t>
      </w:r>
      <w:r>
        <w:rPr>
          <w:rtl w:val="true"/>
        </w:rPr>
        <w:t>ומבטא צער וחרטה על מעשיו</w:t>
      </w:r>
      <w:r>
        <w:rPr>
          <w:rtl w:val="true"/>
        </w:rPr>
        <w:t xml:space="preserve">; </w:t>
      </w:r>
      <w:r>
        <w:rPr>
          <w:rtl w:val="true"/>
        </w:rPr>
        <w:t>תופס את האירוע כחריג להתנהלותו</w:t>
      </w:r>
      <w:r>
        <w:rPr>
          <w:rtl w:val="true"/>
        </w:rPr>
        <w:t xml:space="preserve">; </w:t>
      </w:r>
      <w:r>
        <w:rPr>
          <w:rtl w:val="true"/>
        </w:rPr>
        <w:t>מתקשה לראות את הפגיעה הממשית שנגרמה למתלוננים</w:t>
      </w:r>
      <w:r>
        <w:rPr>
          <w:rtl w:val="true"/>
        </w:rPr>
        <w:t xml:space="preserve">; </w:t>
      </w:r>
      <w:r>
        <w:rPr>
          <w:rtl w:val="true"/>
        </w:rPr>
        <w:t>לא מבטא צרכים טיפוליים</w:t>
      </w:r>
      <w:r>
        <w:rPr>
          <w:rtl w:val="true"/>
        </w:rPr>
        <w:t xml:space="preserve">; </w:t>
      </w:r>
      <w:r>
        <w:rPr>
          <w:rtl w:val="true"/>
        </w:rPr>
        <w:t>ומשקיע את רוב זמנו בעבודה לצורך שיפור מצבה הכלכלי הקשה של משפחתו</w:t>
      </w:r>
      <w:r>
        <w:rPr>
          <w:rtl w:val="true"/>
        </w:rPr>
        <w:t xml:space="preserve">, </w:t>
      </w:r>
      <w:r>
        <w:rPr>
          <w:rtl w:val="true"/>
        </w:rPr>
        <w:t>הנתונה בחובות רבים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ששקלתי את טענות הצדדים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>וכך אציע לחבריי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וכידוע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19.3.2020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;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בשנת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 xml:space="preserve">נחקק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התיקון</w:t>
      </w:r>
      <w:r>
        <w:rPr>
          <w:rtl w:val="true"/>
        </w:rPr>
        <w:t xml:space="preserve">), </w:t>
      </w:r>
      <w:r>
        <w:rPr>
          <w:rtl w:val="true"/>
        </w:rPr>
        <w:t>שמטרתו הבניית שיקול הדעת השיפוטי</w:t>
      </w:r>
      <w:r>
        <w:rPr>
          <w:rtl w:val="true"/>
        </w:rPr>
        <w:t xml:space="preserve">, </w:t>
      </w:r>
      <w:r>
        <w:rPr>
          <w:rtl w:val="true"/>
        </w:rPr>
        <w:t>באופן שייצור אחידות בענישה הפלילית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שנחקק במסגרת התיקון</w:t>
      </w:r>
      <w:r>
        <w:rPr>
          <w:rtl w:val="true"/>
        </w:rPr>
        <w:t xml:space="preserve">, </w:t>
      </w:r>
      <w:r>
        <w:rPr>
          <w:rtl w:val="true"/>
        </w:rPr>
        <w:t>עומד על מטרתו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התיקון מורה כי על בית המשפט לקבוע מתחם עונש הולם לעבירה שביצע נאשם בהתאם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לעיקרון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תוך התחשבות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בערכים החברתיים שנפגעו מביצועה</w:t>
      </w:r>
      <w:r>
        <w:rPr>
          <w:rtl w:val="true"/>
        </w:rPr>
        <w:t xml:space="preserve">; </w:t>
      </w:r>
      <w:r>
        <w:rPr>
          <w:rtl w:val="true"/>
        </w:rPr>
        <w:t>מידת הפגיעה בהם</w:t>
      </w:r>
      <w:r>
        <w:rPr>
          <w:rtl w:val="true"/>
        </w:rPr>
        <w:t xml:space="preserve">; </w:t>
      </w:r>
      <w:r>
        <w:rPr>
          <w:rtl w:val="true"/>
        </w:rPr>
        <w:t>ומדיניות הענישה הנהוגה</w:t>
      </w:r>
      <w:r>
        <w:rPr>
          <w:rtl w:val="true"/>
        </w:rPr>
        <w:t xml:space="preserve">. </w:t>
      </w:r>
      <w:r>
        <w:rPr>
          <w:rtl w:val="true"/>
        </w:rPr>
        <w:t>סטייה מעקרון זה תהא משיקולי שיקום או הגנה על שלום הציבור</w:t>
      </w:r>
      <w:r>
        <w:rPr>
          <w:rtl w:val="true"/>
        </w:rPr>
        <w:t xml:space="preserve">, </w:t>
      </w:r>
      <w:r>
        <w:rPr>
          <w:rtl w:val="true"/>
        </w:rPr>
        <w:t xml:space="preserve">ולאחר שבית המשפט נימק את החלטתו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 –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</w:rPr>
          <w:t>40</w:t>
        </w:r>
        <w:r>
          <w:rPr>
            <w:rStyle w:val="Hyperlink"/>
            <w:rtl w:val="true"/>
          </w:rPr>
          <w:t>יד</w:t>
        </w:r>
      </w:hyperlink>
      <w:r>
        <w:rPr>
          <w:rtl w:val="true"/>
        </w:rPr>
        <w:t xml:space="preserve"> 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וראו למשל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אלעוקבי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1.1.2014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6.10.2013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בית משפט זה נדרש זה מכבר לפרשנות </w:t>
      </w:r>
      <w:r>
        <w:rPr>
          <w:rtl w:val="true"/>
        </w:rPr>
        <w:t>"</w:t>
      </w:r>
      <w:r>
        <w:rPr>
          <w:rtl w:val="true"/>
        </w:rPr>
        <w:t>מערכת היחסים</w:t>
      </w:r>
      <w:r>
        <w:rPr>
          <w:rtl w:val="true"/>
        </w:rPr>
        <w:t xml:space="preserve">" </w:t>
      </w:r>
      <w:r>
        <w:rPr>
          <w:rtl w:val="true"/>
        </w:rPr>
        <w:t>בין הוראות התיקון לבין קיומו של הסדר טיעון</w:t>
      </w:r>
      <w:r>
        <w:rPr>
          <w:rtl w:val="true"/>
        </w:rPr>
        <w:t xml:space="preserve">, </w:t>
      </w:r>
      <w:r>
        <w:rPr>
          <w:rtl w:val="true"/>
        </w:rPr>
        <w:t>וקבע כי קיומו של האחרון אינו מבטל את תחולת ההוראות שנקבעו במסגרת התיקון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 xml:space="preserve">אף אם יש הסכמה בין הצדדים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לטווח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שהוא תוצאה של כוח מיקוח הצדדים</w:t>
      </w:r>
      <w:r>
        <w:rPr>
          <w:rtl w:val="true"/>
        </w:rPr>
        <w:t xml:space="preserve">, </w:t>
      </w:r>
      <w:r>
        <w:rPr>
          <w:rtl w:val="true"/>
        </w:rPr>
        <w:t xml:space="preserve">על בית המשפט לבחון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 xml:space="preserve">המהווה קביעה נורמטיבית בדבר האיזון הראוי שנקבע על ידי המחוקק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4.12.2013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3856/13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3.2.2014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28.11.2021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 הכלל אל הפרט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אכן נפלה שגגה בקביעת בית המשפט המחוזי עת סבר כי לאור </w:t>
      </w:r>
      <w:r>
        <w:rPr>
          <w:rtl w:val="true"/>
        </w:rPr>
        <w:t>"</w:t>
      </w:r>
      <w:r>
        <w:rPr>
          <w:rtl w:val="true"/>
        </w:rPr>
        <w:t>הסדר התקרה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בין הצדדים</w:t>
      </w:r>
      <w:r>
        <w:rPr>
          <w:rtl w:val="true"/>
        </w:rPr>
        <w:t xml:space="preserve">, </w:t>
      </w:r>
      <w:r>
        <w:rPr>
          <w:rtl w:val="true"/>
        </w:rPr>
        <w:t>הוא אינו מחייב לקיים דיון במתחם ענישה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מאחר שלמעשה הסדר הטיעון שהוסכם לא כלל הסכמה בדבר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ובין העונשים להם עתרו הצדדים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 מצד המשיב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חודשים מצד המערערת </w:t>
      </w:r>
      <w:r>
        <w:rPr>
          <w:rtl w:val="true"/>
        </w:rPr>
        <w:t>–</w:t>
      </w:r>
      <w:r>
        <w:rPr>
          <w:rtl w:val="true"/>
        </w:rPr>
        <w:t xml:space="preserve"> קיים פער משמעותי המצריך הכרעה שיפוטית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כן מקובלת עלי טענת המערערת כי לא היה מקום להסתמך על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שפרנוביץ</w:t>
      </w:r>
      <w:r>
        <w:rPr>
          <w:rtl w:val="true"/>
        </w:rPr>
        <w:t xml:space="preserve"> בנסיבות המקרה דנן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שם מדובר היה במקרה בו הצדדים ביקשו </w:t>
      </w:r>
      <w:r>
        <w:rPr>
          <w:rtl w:val="true"/>
        </w:rPr>
        <w:t>"</w:t>
      </w:r>
      <w:r>
        <w:rPr>
          <w:rtl w:val="true"/>
        </w:rPr>
        <w:t>באופן מפורש ומוסכם</w:t>
      </w:r>
      <w:r>
        <w:rPr>
          <w:rtl w:val="true"/>
        </w:rPr>
        <w:t xml:space="preserve">, </w:t>
      </w:r>
      <w:r>
        <w:rPr>
          <w:rtl w:val="true"/>
        </w:rPr>
        <w:t>משיקוליהם שלהם</w:t>
      </w:r>
      <w:r>
        <w:rPr>
          <w:rtl w:val="true"/>
        </w:rPr>
        <w:t xml:space="preserve">, </w:t>
      </w:r>
      <w:r>
        <w:rPr>
          <w:rtl w:val="true"/>
        </w:rPr>
        <w:t>להימנע מלטעון למתחם העונש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), </w:t>
      </w:r>
      <w:r>
        <w:rPr>
          <w:rtl w:val="true"/>
        </w:rPr>
        <w:t xml:space="preserve">וחרף הסכמתם זו </w:t>
      </w:r>
      <w:r>
        <w:rPr>
          <w:rtl w:val="true"/>
        </w:rPr>
        <w:t>–</w:t>
      </w:r>
      <w:r>
        <w:rPr>
          <w:rtl w:val="true"/>
        </w:rPr>
        <w:t xml:space="preserve"> קבעה הערכאה הדיונית מתחם ענישה</w:t>
      </w:r>
      <w:r>
        <w:rPr>
          <w:rtl w:val="true"/>
        </w:rPr>
        <w:t xml:space="preserve">, </w:t>
      </w:r>
      <w:r>
        <w:rPr>
          <w:rtl w:val="true"/>
        </w:rPr>
        <w:t>שהרף העליון בו חורג לחומרה באופן קיצוני מהמתחם המוסכם בין הצדדים</w:t>
      </w:r>
      <w:r>
        <w:rPr>
          <w:rtl w:val="true"/>
        </w:rPr>
        <w:t xml:space="preserve">. </w:t>
      </w:r>
      <w:r>
        <w:rPr>
          <w:rtl w:val="true"/>
        </w:rPr>
        <w:t>לאור זאת</w:t>
      </w:r>
      <w:r>
        <w:rPr>
          <w:rtl w:val="true"/>
        </w:rPr>
        <w:t xml:space="preserve">, </w:t>
      </w:r>
      <w:r>
        <w:rPr>
          <w:rtl w:val="true"/>
        </w:rPr>
        <w:t>סברה ערכאת הערעור שם כי יש להתערב בקביעה זו</w:t>
      </w:r>
      <w:r>
        <w:rPr>
          <w:rtl w:val="true"/>
        </w:rPr>
        <w:t xml:space="preserve">, </w:t>
      </w:r>
      <w:r>
        <w:rPr>
          <w:rtl w:val="true"/>
        </w:rPr>
        <w:t>תוך מתן משקל להסדר אליו הגיעו הצדדים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שפרנוביץ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לנמק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קולת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שיב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אני סבור כאמור כי העונש שהושת על המשיב חורג באופן קיצוני ממדיניות הענישה הראויה ואינו הולם את חומרת המעשים בהם הורשע</w:t>
      </w:r>
      <w:r>
        <w:rPr>
          <w:rtl w:val="true"/>
        </w:rPr>
        <w:t xml:space="preserve">, </w:t>
      </w:r>
      <w:r>
        <w:rPr>
          <w:rtl w:val="true"/>
        </w:rPr>
        <w:t>באופן המצדיק התערבות ערכאת ערעור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זה הדגיש לא אחת את החומרה הטמונה בעבירות חבלה חמורה</w:t>
      </w:r>
      <w:r>
        <w:rPr>
          <w:rtl w:val="true"/>
        </w:rPr>
        <w:t xml:space="preserve">, </w:t>
      </w:r>
      <w:r>
        <w:rPr>
          <w:rtl w:val="true"/>
        </w:rPr>
        <w:t>המסכנות את 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תוך עשיית דין עצמי והתעלמות מהוראות חוק</w:t>
      </w:r>
      <w:r>
        <w:rPr>
          <w:rtl w:val="true"/>
        </w:rPr>
        <w:t xml:space="preserve">, </w:t>
      </w:r>
      <w:r>
        <w:rPr>
          <w:rtl w:val="true"/>
        </w:rPr>
        <w:t>וגורמות פעמים רבות לפגיעות בגוף ובנפש</w:t>
      </w:r>
      <w:r>
        <w:rPr>
          <w:rtl w:val="true"/>
        </w:rPr>
        <w:t xml:space="preserve">. </w:t>
      </w:r>
      <w:r>
        <w:rPr>
          <w:rtl w:val="true"/>
        </w:rPr>
        <w:t xml:space="preserve">על מדיניות הענישה לשקף חומרה זו על ידי השתת עונשי מאסר משמעותיים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מי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בורגרקאר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18.2.2020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8381/17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איכילוב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24.4.2018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כמתואר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המשיב הגיע למקום בו התרחשה קטטה בין בני משפחתו לבין משפחה נוספת</w:t>
      </w:r>
      <w:r>
        <w:rPr>
          <w:rtl w:val="true"/>
        </w:rPr>
        <w:t xml:space="preserve">, </w:t>
      </w:r>
      <w:r>
        <w:rPr>
          <w:rtl w:val="true"/>
        </w:rPr>
        <w:t>המצויה עמם בסכסוך</w:t>
      </w:r>
      <w:r>
        <w:rPr>
          <w:rtl w:val="true"/>
        </w:rPr>
        <w:t xml:space="preserve">. </w:t>
      </w:r>
      <w:r>
        <w:rPr>
          <w:rtl w:val="true"/>
        </w:rPr>
        <w:t xml:space="preserve">עובר להגעתו הצטייד בחפץ חד והחל לדקור את מתלונן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וחדל רק לאחר שהנוכחים במקום הצליחו להרחיקו בכוח</w:t>
      </w:r>
      <w:r>
        <w:rPr>
          <w:rtl w:val="true"/>
        </w:rPr>
        <w:t xml:space="preserve">. </w:t>
      </w:r>
      <w:r>
        <w:rPr>
          <w:rtl w:val="true"/>
        </w:rPr>
        <w:t xml:space="preserve">המשיב המשיך והלך לעבר מתלונן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ותקף אותו בבטנו באמצעות החפץ החד</w:t>
      </w:r>
      <w:r>
        <w:rPr>
          <w:rtl w:val="true"/>
        </w:rPr>
        <w:t xml:space="preserve">. </w:t>
      </w:r>
      <w:r>
        <w:rPr>
          <w:rtl w:val="true"/>
        </w:rPr>
        <w:t>בעקבות כך נדרשו שני המתלוננים לטיפול רפואי</w:t>
      </w:r>
      <w:r>
        <w:rPr>
          <w:rtl w:val="true"/>
        </w:rPr>
        <w:t xml:space="preserve">, </w:t>
      </w:r>
      <w:r>
        <w:rPr>
          <w:rtl w:val="true"/>
        </w:rPr>
        <w:t xml:space="preserve">לרבות תפרים </w:t>
      </w:r>
      <w:r>
        <w:rPr>
          <w:rtl w:val="true"/>
        </w:rPr>
        <w:t>–</w:t>
      </w:r>
      <w:r>
        <w:rPr>
          <w:rtl w:val="true"/>
        </w:rPr>
        <w:t xml:space="preserve"> בנסיבות המתוארות</w:t>
      </w:r>
      <w:r>
        <w:rPr>
          <w:rtl w:val="true"/>
        </w:rPr>
        <w:t xml:space="preserve">, </w:t>
      </w:r>
      <w:r>
        <w:rPr>
          <w:rtl w:val="true"/>
        </w:rPr>
        <w:t>ניכר כי העונש שנגזר על המשיב אינו משקף כראוי את החומרה הנובעת ממעשיו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 כל שכן</w:t>
      </w:r>
      <w:r>
        <w:rPr>
          <w:rtl w:val="true"/>
        </w:rPr>
        <w:t xml:space="preserve">, </w:t>
      </w:r>
      <w:r>
        <w:rPr>
          <w:rtl w:val="true"/>
        </w:rPr>
        <w:t>המשיב אף לא הראה כל הליך שיקום המצדיק הקלה בעונשו</w:t>
      </w:r>
      <w:r>
        <w:rPr>
          <w:rtl w:val="true"/>
        </w:rPr>
        <w:t xml:space="preserve">, </w:t>
      </w:r>
      <w:r>
        <w:rPr>
          <w:rtl w:val="true"/>
        </w:rPr>
        <w:t>ושירות המבחן בתסקירי</w:t>
      </w:r>
      <w:r>
        <w:rPr>
          <w:rtl w:val="true"/>
        </w:rPr>
        <w:t>ו</w:t>
      </w:r>
      <w:r>
        <w:rPr>
          <w:rtl w:val="true"/>
        </w:rPr>
        <w:t xml:space="preserve"> בא בהמלצה מצומצמ</w:t>
      </w:r>
      <w:r>
        <w:rPr>
          <w:rtl w:val="true"/>
        </w:rPr>
        <w:t>ת</w:t>
      </w:r>
      <w:r>
        <w:rPr>
          <w:rtl w:val="true"/>
        </w:rPr>
        <w:t xml:space="preserve"> בלבד</w:t>
      </w:r>
      <w:r>
        <w:rPr>
          <w:rtl w:val="true"/>
        </w:rPr>
        <w:t xml:space="preserve">, </w:t>
      </w:r>
      <w:r>
        <w:rPr>
          <w:rtl w:val="true"/>
        </w:rPr>
        <w:t xml:space="preserve">כי בעת גזירת עונשו יש להתחשב בגילו ובהעדר עברו הפלילי </w:t>
      </w:r>
      <w:r>
        <w:rPr>
          <w:rtl w:val="true"/>
        </w:rPr>
        <w:t>–</w:t>
      </w:r>
      <w:r>
        <w:rPr>
          <w:rtl w:val="true"/>
        </w:rPr>
        <w:t xml:space="preserve"> אף מסיבה זו קשה עד מאוד להלום חריגה לקולה במידה שנקבעה על ידי 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אציע לחבריי לקבל את הערעור ולהעמיד את עונשו של המשיב על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בפועל מאחורי סורג ובריח</w:t>
      </w:r>
      <w:r>
        <w:rPr>
          <w:rtl w:val="true"/>
        </w:rPr>
        <w:t xml:space="preserve">, </w:t>
      </w:r>
      <w:r>
        <w:rPr>
          <w:rtl w:val="true"/>
        </w:rPr>
        <w:t>עונש שאף הוא אינו מבטא את העונש הראוי בנסיבות העניין</w:t>
      </w:r>
      <w:r>
        <w:rPr>
          <w:rtl w:val="true"/>
        </w:rPr>
        <w:t xml:space="preserve">, </w:t>
      </w:r>
      <w:r>
        <w:rPr>
          <w:rtl w:val="true"/>
        </w:rPr>
        <w:t>וזאת לאור ההלכה כי אין זה מדרכה של ערכאת הערעור למצות את הדין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יוותרו על 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פוגלמן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המנומקת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להגנה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רקע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hyperlink r:id="rId37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2454/18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שיינברג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19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6.12.2018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38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2021/17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מצגר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30.4.2017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בנפרד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מהאמור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שהוטלה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חורגת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ניכרת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הראויה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ממצה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10.1.2022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28.11.2021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20061970</w:t>
      </w:r>
      <w:r>
        <w:rPr>
          <w:sz w:val="16"/>
          <w:rtl w:val="true"/>
        </w:rPr>
        <w:t>_</w:t>
      </w:r>
      <w:r>
        <w:rPr>
          <w:sz w:val="16"/>
        </w:rPr>
        <w:t>J13.docx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ע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פוגלמן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54678313-6197/20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13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6197/20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פארוק גולאני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758"/>
        </w:tabs>
        <w:ind w:start="851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61870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40jd" TargetMode="External"/><Relationship Id="rId11" Type="http://schemas.openxmlformats.org/officeDocument/2006/relationships/hyperlink" Target="http://www.nevo.co.il/law/70301/jCdS" TargetMode="External"/><Relationship Id="rId12" Type="http://schemas.openxmlformats.org/officeDocument/2006/relationships/hyperlink" Target="http://www.nevo.co.il/case/25618700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0181627" TargetMode="External"/><Relationship Id="rId17" Type="http://schemas.openxmlformats.org/officeDocument/2006/relationships/hyperlink" Target="http://www.nevo.co.il/law/70301/jCdS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d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648941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b;40d;40e" TargetMode="External"/><Relationship Id="rId27" Type="http://schemas.openxmlformats.org/officeDocument/2006/relationships/hyperlink" Target="http://www.nevo.co.il/law/70301/40jd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7765894" TargetMode="External"/><Relationship Id="rId30" Type="http://schemas.openxmlformats.org/officeDocument/2006/relationships/hyperlink" Target="http://www.nevo.co.il/case/5573417" TargetMode="External"/><Relationship Id="rId31" Type="http://schemas.openxmlformats.org/officeDocument/2006/relationships/hyperlink" Target="http://www.nevo.co.il/case/6862360" TargetMode="External"/><Relationship Id="rId32" Type="http://schemas.openxmlformats.org/officeDocument/2006/relationships/hyperlink" Target="http://www.nevo.co.il/case/5569233" TargetMode="External"/><Relationship Id="rId33" Type="http://schemas.openxmlformats.org/officeDocument/2006/relationships/hyperlink" Target="http://www.nevo.co.il/case/7029339" TargetMode="External"/><Relationship Id="rId34" Type="http://schemas.openxmlformats.org/officeDocument/2006/relationships/hyperlink" Target="http://www.nevo.co.il/case/23751050" TargetMode="External"/><Relationship Id="rId35" Type="http://schemas.openxmlformats.org/officeDocument/2006/relationships/hyperlink" Target="http://www.nevo.co.il/case/26287879" TargetMode="External"/><Relationship Id="rId36" Type="http://schemas.openxmlformats.org/officeDocument/2006/relationships/hyperlink" Target="http://www.nevo.co.il/case/23833066" TargetMode="External"/><Relationship Id="rId37" Type="http://schemas.openxmlformats.org/officeDocument/2006/relationships/hyperlink" Target="http://www.nevo.co.il/case/23825973" TargetMode="External"/><Relationship Id="rId38" Type="http://schemas.openxmlformats.org/officeDocument/2006/relationships/hyperlink" Target="http://www.nevo.co.il/case/22294063" TargetMode="External"/><Relationship Id="rId39" Type="http://schemas.openxmlformats.org/officeDocument/2006/relationships/hyperlink" Target="https://supreme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2021-11-29T08:22:00Z</dcterms:created>
  <dc:creator>h4</dc:creator>
  <dc:description/>
  <cp:keywords/>
  <dc:language>en-IL</dc:language>
  <cp:lastModifiedBy>orly</cp:lastModifiedBy>
  <cp:lastPrinted>2021-11-28T12:16:00Z</cp:lastPrinted>
  <dcterms:modified xsi:type="dcterms:W3CDTF">2021-11-29T08:22:00Z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פארוק גולאני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25618700:2;20181627;26489414;7765894;5573417;6862360;5569233;7029339;23751050;26287879;23833066;23825973;22294063</vt:lpwstr>
  </property>
  <property fmtid="{D5CDD505-2E9C-101B-9397-08002B2CF9AE}" pid="9" name="CITY">
    <vt:lpwstr/>
  </property>
  <property fmtid="{D5CDD505-2E9C-101B-9397-08002B2CF9AE}" pid="10" name="DATE">
    <vt:lpwstr>20211128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פוגלמן;ג' קרא;י' אלרון</vt:lpwstr>
  </property>
  <property fmtid="{D5CDD505-2E9C-101B-9397-08002B2CF9AE}" pid="14" name="LAWLISTTMP1">
    <vt:lpwstr>70301/333;335.a.1;jCdS;040d:2;040a;040b;040e;40jd</vt:lpwstr>
  </property>
  <property fmtid="{D5CDD505-2E9C-101B-9397-08002B2CF9AE}" pid="15" name="LAWYER">
    <vt:lpwstr>רפאל פריג';רפי לוי;תמר בורנשטיין;וייס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מתחם הענישה</vt:lpwstr>
  </property>
  <property fmtid="{D5CDD505-2E9C-101B-9397-08002B2CF9AE}" pid="51" name="NOSE33">
    <vt:lpwstr>הבניית שיקול הדעת השיפוטי בענישה</vt:lpwstr>
  </property>
  <property fmtid="{D5CDD505-2E9C-101B-9397-08002B2CF9AE}" pid="52" name="NOSE34">
    <vt:lpwstr>התערבות ערכאת הערעור</vt:lpwstr>
  </property>
  <property fmtid="{D5CDD505-2E9C-101B-9397-08002B2CF9AE}" pid="53" name="NOSE35">
    <vt:lpwstr>מדיניות ענישה: שיקולים לחומרה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8984;14985;15573;8978;8995</vt:lpwstr>
  </property>
  <property fmtid="{D5CDD505-2E9C-101B-9397-08002B2CF9AE}" pid="59" name="PADIDATE">
    <vt:lpwstr>20211129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6197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410120211128</vt:lpwstr>
  </property>
  <property fmtid="{D5CDD505-2E9C-101B-9397-08002B2CF9AE}" pid="69" name="TYPE_N_DATE">
    <vt:lpwstr>41020211128</vt:lpwstr>
  </property>
  <property fmtid="{D5CDD505-2E9C-101B-9397-08002B2CF9AE}" pid="70" name="VOLUME">
    <vt:lpwstr/>
  </property>
  <property fmtid="{D5CDD505-2E9C-101B-9397-08002B2CF9AE}" pid="71" name="WORDNUMPAGES">
    <vt:lpwstr>12</vt:lpwstr>
  </property>
</Properties>
</file>