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6199/20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Start w:id="4" w:name="Start_Write"/>
            <w:bookmarkEnd w:id="3"/>
            <w:bookmarkEnd w:id="4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6"/>
                <w:szCs w:val="26"/>
                <w:shd w:fill="FFFFFF" w:val="clear"/>
              </w:rPr>
            </w:pPr>
            <w:r>
              <w:rPr>
                <w:rFonts w:ascii="David" w:hAnsi="David"/>
                <w:sz w:val="26"/>
                <w:sz w:val="26"/>
                <w:szCs w:val="26"/>
                <w:shd w:fill="FFFFFF" w:val="clear"/>
                <w:rtl w:val="true"/>
              </w:rPr>
              <w:t>שמואל בן אבו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סבאג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8398-12-16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06.12.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קרן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ממן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אלעד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בלעיש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יגאל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בלפור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6" w:name="LawTable"/>
      <w:bookmarkEnd w:id="6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327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383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430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60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ז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217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 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23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23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ערעור על הרשעת המערער בעבירות שונות על רקע ניצול לרעה של נשים שחיפשו קשר אינטימי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סם אונס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למטרות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סחיטה וגניבה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והסרטת 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הסכמתן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בזמן שקיימו עמו יחסי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לאחר שדחה את טענות המערער ביחס לראיות שעל בסיסן נמצא 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מחדלי חקירה וטענות פרוצדורה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נדחה הערעור על עונש מאסר בפועל בן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שהושת על המערער תוך עמידה על כך שמדובר בעונש מקל בהתחשב בחומרת העבירות 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מעשים דומים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שיטה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כתב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אישום – ניסוחו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חקירה במשטרה – מחדלי חקירה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מרמה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נגד פסק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בו הורשע המערער בשלילת כושר התנגדותו של אדם כדי לבצע פשע או עוון או להקל על ביצועם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 מגונה בנסיבות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בקבלת דבר במרמה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בסחיטה באיומים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בגניבה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בנטילת נכסים לשם סחיטה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בפגיעה בפרטיות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ובהלבנת הון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נדון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 ולעונשים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 בגינם נמצא המערער חייב בדין כוללים ניצול לרעה של נשים שחיפשו קשר אינטימי באתרי היכרויות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סם אונס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למטרות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סחיטה וגניבה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הסרטת נשים ללא הסכמתן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בזמן שקיימו עמו יחסי מין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שטיין ובהסכמת השופטים עמית וסולברג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לטענות המערער ביחס לראיות שעל בסיסן נמצא 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אין בידי ערכאת הערעור להתערב בממצאי מהימנות שקבעה הערכאה הדיונית על יסוד התרשמותה הבלתי אמצעית מעדים שמסרו את עדויותיהם בפניה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 הכלל ואין תחולה לשום חריג לכלל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שכל המתלוננות שמסרו עדויות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הותירו אצלו רושם חיובי ביותר כעדות אמינות שאין כל סיבה לפקפק במהימנותן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המערער הותירה אצל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רושם שלילי ביותר ואף כללה סתירות מהותיות וסיפורי בדים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האישומים נגד המערער שונים אך בעלי מכנה משותף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השימוש שעשה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סם אונס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שהוא בגדר ראיה בדבר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אם לא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שמוסיפה משקל רב לראיות התומכות בכל אחד מהאישומים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למחדלי 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כיווני חקירה נוספים קיימים כמעט בכל תיק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אבל חוקרי משטרה פועלים במצב של מלאכה מרובה ומשאבים מוגבלים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שאותם הם מקצים בתבונה לכל תיק לפי שיקול דעתם המקצועי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יתערב בו 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שעיקרם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נקיטת פעולה חקירתית מתבקשת באופן שמטיל ספק רציני בראיות שבאות להפליל את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אינו בגדר חריג לכלל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אשמת חשוד או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ברורה ומוכחת בראיות מוצקות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סיבה לפתח כיווני חקירה חדשים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 ביחס לצירוף אישומים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צירוף אישומים הוא פררוגטיבה של התביעה כל אימת שמדובר באישומים המבוססים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על אותן עובדות או על עובדות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בסעיף </w:t>
      </w:r>
      <w:r>
        <w:rPr>
          <w:rFonts w:cs="Times New Roman" w:ascii="Times New Roman" w:hAnsi="Times New Roman"/>
          <w:spacing w:val="0"/>
          <w:szCs w:val="26"/>
        </w:rPr>
        <w:t>86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צירים שמחברים את האישומים כוללים סימום המתלוננות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סם אונס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וצילומן בזמן קיום יחסי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כאמצעים אשר נועדו לאפשר למערער לבצע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סחיטה וקבלת דבר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עצור בזמן קבלת ההחלטה להגיש נגדו כתב 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 התביעה לא היתה חייבת ליידעו על כוונתה להגיש נגדו כתב אישום ולאפשר לו להגיב להאשמות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לטענות המערער ביחס לניסוח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בפרשת בינדר נקבע כי כתב אישום שמייחס לנאשם קבלת נכסים שהושגו בעוון צריך לפרט את העוון הספציפי שבו מדובר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אינם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לעניינו של ניסוח כתב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הרי עוון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או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שכבר בוצע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והעבירה המיוחסת לנאשם באה אחריו בציר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כהרי עוון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או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עתידי שהעבירה הקודמת לו בציר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כדוגמת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שלילת כושר התנגדות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נועדה לאפשר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האחרון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התביעה תקיים את חובת הפירוט שלה אם תציין בקווים כלליים את סוג העוון או הפשע שבו מדובר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שבמבט הצופה את פני העתיד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קורה לא אחת שעבריין השולל מקורבנו את כושר ההתנגדות עושה זאת כדי ליצור לעצמו הזדמנות לבצע עבירות שונות בהתאם להחלטה שיקבל רק אחרי שישלול את כושר ההתנגדות מהקורבן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ציון סוג העבירה שתוכננה להתבצע בעקבות שלילת כושר ההתנגדות מקורבנה יספיק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דרישת הפירוט שנקבעה ביחס לכתבי אישום לא נועדה אלא להבטיח שהנאשם יידע בפני אלו אישומים הוא עומד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כתב האישום נוסח באופן שהמערער ידע גם ידע במה הוא מואשם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ביצע עבירות מפליגות בחומרתן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לא נטל אחריות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זאת האשים את המתלוננות במתן עדות שקר ומתרץ את הראיות האובייקטיביות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מצביעות על אשמתו במיוחס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בתירוצים שאינם מתקבלים על הדעת ורובם בגדר שקר בוטה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מקום להשית עליו מאסר לריצוי בפועל לתקופה שעולה באופן משמעותי על עשר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 בעונש במסגרת ערעור מטעם הנאשם איננה אפשרית באין ערעור על קולת העונש מטעם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ערעור המערער על עונשו 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לטענות הצדדים בנוגע לממצאי הבדיקה הפורנזית החדשנית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שזיהתה שרידי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סם אונס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בשיערה של 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שאין מקום לדון בקבילותם ובמשקלם של ממצאים אלה בגדרי ההליך הנוכחי וההכרעה נותרה לעת מצוא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center"/>
        <w:rPr>
          <w:u w:val="single"/>
        </w:rPr>
      </w:pPr>
      <w:r>
        <w:rPr>
          <w:u w:val="single"/>
          <w:rtl w:val="true"/>
        </w:rPr>
        <w:t>גרסה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מחייבת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שתהא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לפרסום</w:t>
      </w:r>
    </w:p>
    <w:p>
      <w:pPr>
        <w:pStyle w:val="BODYVERDIC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הערעור שלפנינו מופנה נגד הכרעת הדין וגזר הדין אשר ניתנו על ידי בית המשפט המחוזי 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סבאג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8398-12-16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ביום </w:t>
      </w:r>
      <w:r>
        <w:rPr/>
        <w:t>6.2.2020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6.7.2020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בגדרו של פסק דין זה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המערער בשלילת כושר התנגדותו של אדם כדי לבצע פשע או עוון או להקל על ביצועם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במעשה מגונה בנסיבות אינוס</w:t>
      </w:r>
      <w:r>
        <w:rPr>
          <w:rtl w:val="true"/>
        </w:rPr>
        <w:t xml:space="preserve">, </w:t>
      </w:r>
      <w:r>
        <w:rPr>
          <w:rtl w:val="true"/>
        </w:rPr>
        <w:t xml:space="preserve">בקבלת דבר במרמה בנסיבות מחמירות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>בסחיטה באיומים</w:t>
      </w:r>
      <w:r>
        <w:rPr>
          <w:rtl w:val="true"/>
        </w:rPr>
        <w:t xml:space="preserve">, </w:t>
      </w:r>
      <w:r>
        <w:rPr>
          <w:rtl w:val="true"/>
        </w:rPr>
        <w:t>בגניבה</w:t>
      </w:r>
      <w:r>
        <w:rPr>
          <w:rtl w:val="true"/>
        </w:rPr>
        <w:t xml:space="preserve">, </w:t>
      </w:r>
      <w:r>
        <w:rPr>
          <w:rtl w:val="true"/>
        </w:rPr>
        <w:t>בנטילת נכסים לשם סחיטה</w:t>
      </w:r>
      <w:r>
        <w:rPr>
          <w:rtl w:val="true"/>
        </w:rPr>
        <w:t xml:space="preserve">, </w:t>
      </w:r>
      <w:r>
        <w:rPr>
          <w:rtl w:val="true"/>
        </w:rPr>
        <w:t xml:space="preserve">בפגיעה בפרטיות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 xml:space="preserve">וכן בהלבנת הון </w:t>
      </w:r>
      <w:r>
        <w:rPr>
          <w:rtl w:val="true"/>
        </w:rPr>
        <w:t>–</w:t>
      </w:r>
      <w:r>
        <w:rPr>
          <w:rtl w:val="true"/>
        </w:rPr>
        <w:t xml:space="preserve">עבירות לפי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, </w:t>
      </w:r>
      <w:hyperlink r:id="rId32"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3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4">
        <w:r>
          <w:rPr>
            <w:rStyle w:val="Hyperlink"/>
          </w:rPr>
          <w:t>415</w:t>
        </w:r>
      </w:hyperlink>
      <w:r>
        <w:rPr>
          <w:rtl w:val="true"/>
        </w:rPr>
        <w:t xml:space="preserve">, </w:t>
      </w:r>
      <w:hyperlink r:id="rId35">
        <w:r>
          <w:rPr>
            <w:rStyle w:val="Hyperlink"/>
          </w:rPr>
          <w:t>428</w:t>
        </w:r>
      </w:hyperlink>
      <w:r>
        <w:rPr>
          <w:rtl w:val="true"/>
        </w:rPr>
        <w:t xml:space="preserve">, </w:t>
      </w:r>
      <w:hyperlink r:id="rId36">
        <w:r>
          <w:rPr>
            <w:rStyle w:val="Hyperlink"/>
          </w:rPr>
          <w:t>384</w:t>
        </w:r>
      </w:hyperlink>
      <w:r>
        <w:rPr/>
        <w:t>-</w:t>
      </w:r>
      <w:hyperlink r:id="rId37">
        <w:r>
          <w:rPr>
            <w:rStyle w:val="Hyperlink"/>
          </w:rPr>
          <w:t>383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</w:rPr>
          <w:t>430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הפרטיות</w:t>
      </w:r>
      <w:r>
        <w:rPr>
          <w:rtl w:val="true"/>
        </w:rPr>
        <w:t xml:space="preserve">), </w:t>
      </w:r>
      <w:r>
        <w:rPr>
          <w:rtl w:val="true"/>
        </w:rPr>
        <w:t xml:space="preserve">ולפי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הון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ונדון 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 שתחושבנה מיום מעצרו</w:t>
      </w:r>
      <w:r>
        <w:rPr>
          <w:rtl w:val="true"/>
        </w:rPr>
        <w:t xml:space="preserve">, </w:t>
      </w:r>
      <w:r>
        <w:rPr/>
        <w:t>17.11.2016</w:t>
      </w:r>
      <w:r>
        <w:rPr>
          <w:rtl w:val="true"/>
        </w:rPr>
        <w:t xml:space="preserve">, </w:t>
      </w:r>
      <w:r>
        <w:rPr>
          <w:rtl w:val="true"/>
        </w:rPr>
        <w:t>ולעונשים נלווים אשר כוללים מאסר על תנאי</w:t>
      </w:r>
      <w:r>
        <w:rPr>
          <w:rtl w:val="true"/>
        </w:rPr>
        <w:t xml:space="preserve">, </w:t>
      </w:r>
      <w:r>
        <w:rPr>
          <w:rtl w:val="true"/>
        </w:rPr>
        <w:t>פיצוי לנפגעות העבירות וכן חילוט רכבים</w:t>
      </w:r>
      <w:r>
        <w:rPr>
          <w:rtl w:val="true"/>
        </w:rPr>
        <w:t xml:space="preserve">, </w:t>
      </w:r>
      <w:r>
        <w:rPr>
          <w:rtl w:val="true"/>
        </w:rPr>
        <w:t>שהמערער רכש באמצעות כספים שהשיג במרמה</w:t>
      </w:r>
      <w:r>
        <w:rPr>
          <w:rtl w:val="true"/>
        </w:rPr>
        <w:t xml:space="preserve">, </w:t>
      </w:r>
      <w:r>
        <w:rPr>
          <w:rtl w:val="true"/>
        </w:rPr>
        <w:t>לשם מכירתם</w:t>
      </w:r>
      <w:r>
        <w:rPr>
          <w:rtl w:val="true"/>
        </w:rPr>
        <w:t xml:space="preserve">. </w:t>
      </w:r>
      <w:r>
        <w:rPr>
          <w:rtl w:val="true"/>
        </w:rPr>
        <w:t>בעניינם של הרכבים שחולטו</w:t>
      </w:r>
      <w:r>
        <w:rPr>
          <w:rtl w:val="true"/>
        </w:rPr>
        <w:t xml:space="preserve">, </w:t>
      </w:r>
      <w:r>
        <w:rPr>
          <w:rtl w:val="true"/>
        </w:rPr>
        <w:t>נענה בית המשפט לבקשת המדינה והורה כי הכספים אשר יתקבלו ממכירתם יועברו למתלוננת ש</w:t>
      </w:r>
      <w:r>
        <w:rPr>
          <w:rtl w:val="true"/>
        </w:rPr>
        <w:t xml:space="preserve">' </w:t>
      </w:r>
      <w:r>
        <w:rPr>
          <w:rtl w:val="true"/>
        </w:rPr>
        <w:t>כדי לפצותה על חלק מנזקיה</w:t>
      </w:r>
      <w:r>
        <w:rPr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המעשים שבגינם נמצא המערער חייב בדינו ונדון לעונשים כאמור הינם מפליגים בחומרתם</w:t>
      </w:r>
      <w:r>
        <w:rPr>
          <w:rtl w:val="true"/>
        </w:rPr>
        <w:t xml:space="preserve">. </w:t>
      </w:r>
      <w:r>
        <w:rPr>
          <w:rtl w:val="true"/>
        </w:rPr>
        <w:t>הם כוללים ניצול לרעה של נשים שחיפשו קשר אינטימי באתרי היכרויות</w:t>
      </w:r>
      <w:r>
        <w:rPr>
          <w:rtl w:val="true"/>
        </w:rPr>
        <w:t xml:space="preserve">, </w:t>
      </w:r>
      <w:r>
        <w:rPr>
          <w:rtl w:val="true"/>
        </w:rPr>
        <w:t>שימוש ב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 </w:t>
      </w:r>
      <w:r>
        <w:rPr>
          <w:rtl w:val="true"/>
        </w:rPr>
        <w:t>למטרות מין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סחיטה וגניבה</w:t>
      </w:r>
      <w:r>
        <w:rPr>
          <w:rtl w:val="true"/>
        </w:rPr>
        <w:t xml:space="preserve">, </w:t>
      </w:r>
      <w:r>
        <w:rPr>
          <w:rtl w:val="true"/>
        </w:rPr>
        <w:t>וכן הסרטת נשים</w:t>
      </w:r>
      <w:r>
        <w:rPr>
          <w:rtl w:val="true"/>
        </w:rPr>
        <w:t xml:space="preserve">, </w:t>
      </w:r>
      <w:r>
        <w:rPr>
          <w:rtl w:val="true"/>
        </w:rPr>
        <w:t>ללא הסכמתן</w:t>
      </w:r>
      <w:r>
        <w:rPr>
          <w:rtl w:val="true"/>
        </w:rPr>
        <w:t xml:space="preserve">, </w:t>
      </w:r>
      <w:r>
        <w:rPr>
          <w:rtl w:val="true"/>
        </w:rPr>
        <w:t>בזמן שאלה קיימו עמו יחסי מין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האישומים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והבת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אירועי אישום זה התרחשו בחודשים מאי</w:t>
      </w:r>
      <w:r>
        <w:rPr>
          <w:rtl w:val="true"/>
        </w:rPr>
        <w:t>-</w:t>
      </w:r>
      <w:r>
        <w:rPr>
          <w:rtl w:val="true"/>
        </w:rPr>
        <w:t xml:space="preserve">יוני </w:t>
      </w:r>
      <w:r>
        <w:rPr/>
        <w:t>2015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הכיר את ג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גם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באתר היכרויות והשניים קיימו מפגש אינטימי בצימר בצפון הארץ</w:t>
      </w:r>
      <w:r>
        <w:rPr>
          <w:rtl w:val="true"/>
        </w:rPr>
        <w:t xml:space="preserve">. </w:t>
      </w:r>
      <w:r>
        <w:rPr>
          <w:rtl w:val="true"/>
        </w:rPr>
        <w:t>במהלכו של מפגש זה</w:t>
      </w:r>
      <w:r>
        <w:rPr>
          <w:rtl w:val="true"/>
        </w:rPr>
        <w:t xml:space="preserve">, </w:t>
      </w:r>
      <w:r>
        <w:rPr>
          <w:rtl w:val="true"/>
        </w:rPr>
        <w:t>הראתה ג</w:t>
      </w:r>
      <w:r>
        <w:rPr>
          <w:rtl w:val="true"/>
        </w:rPr>
        <w:t xml:space="preserve">' </w:t>
      </w:r>
      <w:r>
        <w:rPr>
          <w:rtl w:val="true"/>
        </w:rPr>
        <w:t>למערער את תמונת בתה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 xml:space="preserve">שהיתה אז בת </w:t>
      </w:r>
      <w:r>
        <w:rPr/>
        <w:t>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הבת</w:t>
      </w:r>
      <w:r>
        <w:rPr>
          <w:rtl w:val="true"/>
        </w:rPr>
        <w:t xml:space="preserve">). </w:t>
      </w:r>
      <w:r>
        <w:rPr>
          <w:rtl w:val="true"/>
        </w:rPr>
        <w:t>המערער הזמין את האם והבת ל</w:t>
      </w:r>
      <w:r>
        <w:rPr>
          <w:rtl w:val="true"/>
        </w:rPr>
        <w:t>"</w:t>
      </w:r>
      <w:r>
        <w:rPr>
          <w:rtl w:val="true"/>
        </w:rPr>
        <w:t>יומיים של כיף</w:t>
      </w:r>
      <w:r>
        <w:rPr>
          <w:rtl w:val="true"/>
        </w:rPr>
        <w:t xml:space="preserve">" </w:t>
      </w:r>
      <w:r>
        <w:rPr>
          <w:rtl w:val="true"/>
        </w:rPr>
        <w:t>בצפון הארץ</w:t>
      </w:r>
      <w:r>
        <w:rPr>
          <w:rtl w:val="true"/>
        </w:rPr>
        <w:t xml:space="preserve">, </w:t>
      </w:r>
      <w:r>
        <w:rPr>
          <w:rtl w:val="true"/>
        </w:rPr>
        <w:t>והשתיים קיבלו את הזמנתו</w:t>
      </w:r>
      <w:r>
        <w:rPr>
          <w:rtl w:val="true"/>
        </w:rPr>
        <w:t xml:space="preserve">. </w:t>
      </w:r>
      <w:r>
        <w:rPr>
          <w:rtl w:val="true"/>
        </w:rPr>
        <w:t>במהלך הבילוי המתוכנן</w:t>
      </w:r>
      <w:r>
        <w:rPr>
          <w:rtl w:val="true"/>
        </w:rPr>
        <w:t xml:space="preserve">, </w:t>
      </w:r>
      <w:r>
        <w:rPr>
          <w:rtl w:val="true"/>
        </w:rPr>
        <w:t>התמקמו השלושה בצימר ויצאו לטיול שכלל רכיבה על סוסים</w:t>
      </w:r>
      <w:r>
        <w:rPr>
          <w:rtl w:val="true"/>
        </w:rPr>
        <w:t xml:space="preserve">. </w:t>
      </w:r>
      <w:r>
        <w:rPr>
          <w:rtl w:val="true"/>
        </w:rPr>
        <w:t>אחרי הרכיבה</w:t>
      </w:r>
      <w:r>
        <w:rPr>
          <w:rtl w:val="true"/>
        </w:rPr>
        <w:t xml:space="preserve">, </w:t>
      </w:r>
      <w:r>
        <w:rPr>
          <w:rtl w:val="true"/>
        </w:rPr>
        <w:t>חזרו השלושה לצימר ברכבו של המערער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מזג המערער מיץ לכוסות חד</w:t>
      </w:r>
      <w:r>
        <w:rPr>
          <w:rtl w:val="true"/>
        </w:rPr>
        <w:t>-</w:t>
      </w:r>
      <w:r>
        <w:rPr>
          <w:rtl w:val="true"/>
        </w:rPr>
        <w:t>פעמיות אחרי שטמן בהן חומר המכיל בנזודיאזפין אשר גורם לטשטוש חושים</w:t>
      </w:r>
      <w:r>
        <w:rPr>
          <w:rtl w:val="true"/>
        </w:rPr>
        <w:t xml:space="preserve">, </w:t>
      </w:r>
      <w:r>
        <w:rPr>
          <w:rtl w:val="true"/>
        </w:rPr>
        <w:t>לשינה</w:t>
      </w:r>
      <w:r>
        <w:rPr>
          <w:rtl w:val="true"/>
        </w:rPr>
        <w:t xml:space="preserve">, </w:t>
      </w:r>
      <w:r>
        <w:rPr>
          <w:rtl w:val="true"/>
        </w:rPr>
        <w:t>לסחרחורת ולחוסר זיכרון</w:t>
      </w:r>
      <w:r>
        <w:rPr>
          <w:rtl w:val="true"/>
        </w:rPr>
        <w:t xml:space="preserve">, </w:t>
      </w:r>
      <w:r>
        <w:rPr>
          <w:rtl w:val="true"/>
        </w:rPr>
        <w:t>ואשר ידוע כ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הסם</w:t>
      </w:r>
      <w:r>
        <w:rPr>
          <w:rtl w:val="true"/>
        </w:rPr>
        <w:t xml:space="preserve">), </w:t>
      </w:r>
      <w:r>
        <w:rPr>
          <w:rtl w:val="true"/>
        </w:rPr>
        <w:t>והגיש את הכוסות לאם ולבת</w:t>
      </w:r>
      <w:r>
        <w:rPr>
          <w:rtl w:val="true"/>
        </w:rPr>
        <w:t xml:space="preserve">. </w:t>
      </w:r>
      <w:r>
        <w:rPr>
          <w:rtl w:val="true"/>
        </w:rPr>
        <w:t>השתיים שתו את המיץ עם הסם</w:t>
      </w:r>
      <w:r>
        <w:rPr>
          <w:rtl w:val="true"/>
        </w:rPr>
        <w:t xml:space="preserve">, </w:t>
      </w:r>
      <w:r>
        <w:rPr>
          <w:rtl w:val="true"/>
        </w:rPr>
        <w:t xml:space="preserve">דבר שגרם להן לטשטוש חושים שאחריו הן שקעו בשינה עמוקה </w:t>
      </w:r>
      <w:r>
        <w:rPr>
          <w:rtl w:val="true"/>
        </w:rPr>
        <w:t>–</w:t>
      </w:r>
      <w:r>
        <w:rPr>
          <w:rtl w:val="true"/>
        </w:rPr>
        <w:t xml:space="preserve"> תחילה האם</w:t>
      </w:r>
      <w:r>
        <w:rPr>
          <w:rtl w:val="true"/>
        </w:rPr>
        <w:t xml:space="preserve">, </w:t>
      </w:r>
      <w:r>
        <w:rPr>
          <w:rtl w:val="true"/>
        </w:rPr>
        <w:t>ואחריה הבת</w:t>
      </w:r>
      <w:r>
        <w:rPr>
          <w:rtl w:val="true"/>
        </w:rPr>
        <w:t xml:space="preserve">. </w:t>
      </w:r>
      <w:r>
        <w:rPr>
          <w:rtl w:val="true"/>
        </w:rPr>
        <w:t>בזמן שהאם ישנה</w:t>
      </w:r>
      <w:r>
        <w:rPr>
          <w:rtl w:val="true"/>
        </w:rPr>
        <w:t xml:space="preserve">, </w:t>
      </w:r>
      <w:r>
        <w:rPr>
          <w:rtl w:val="true"/>
        </w:rPr>
        <w:t>נכנסה הבת לג</w:t>
      </w:r>
      <w:r>
        <w:rPr>
          <w:rtl w:val="true"/>
        </w:rPr>
        <w:t>'</w:t>
      </w:r>
      <w:r>
        <w:rPr>
          <w:rtl w:val="true"/>
        </w:rPr>
        <w:t>קוזי בעודה מטושטשת</w:t>
      </w:r>
      <w:r>
        <w:rPr>
          <w:rtl w:val="true"/>
        </w:rPr>
        <w:t xml:space="preserve">, </w:t>
      </w:r>
      <w:r>
        <w:rPr>
          <w:rtl w:val="true"/>
        </w:rPr>
        <w:t>כשהיא לבושה בבגד ים</w:t>
      </w:r>
      <w:r>
        <w:rPr>
          <w:rtl w:val="true"/>
        </w:rPr>
        <w:t xml:space="preserve">. </w:t>
      </w:r>
      <w:r>
        <w:rPr>
          <w:rtl w:val="true"/>
        </w:rPr>
        <w:t>המערער נכנס לג</w:t>
      </w:r>
      <w:r>
        <w:rPr>
          <w:rtl w:val="true"/>
        </w:rPr>
        <w:t>'</w:t>
      </w:r>
      <w:r>
        <w:rPr>
          <w:rtl w:val="true"/>
        </w:rPr>
        <w:t>קוזי כשהוא לובש תחתונים</w:t>
      </w:r>
      <w:r>
        <w:rPr>
          <w:rtl w:val="true"/>
        </w:rPr>
        <w:t xml:space="preserve">, </w:t>
      </w:r>
      <w:r>
        <w:rPr>
          <w:rtl w:val="true"/>
        </w:rPr>
        <w:t xml:space="preserve">נצמד אל הבת </w:t>
      </w:r>
      <w:r>
        <w:rPr>
          <w:rtl w:val="true"/>
        </w:rPr>
        <w:t>–</w:t>
      </w:r>
      <w:r>
        <w:rPr>
          <w:rtl w:val="true"/>
        </w:rPr>
        <w:t xml:space="preserve"> תוך שהוא מנצל את מצבה שהקשה עליה להתנגד למעשיו </w:t>
      </w:r>
      <w:r>
        <w:rPr>
          <w:rtl w:val="true"/>
        </w:rPr>
        <w:t>–</w:t>
      </w:r>
      <w:r>
        <w:rPr>
          <w:rtl w:val="true"/>
        </w:rPr>
        <w:t xml:space="preserve"> והחל לגעת באזור שדיה ובאזור איבר מינה בתוך התחתונים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עלה המערער על הבת</w:t>
      </w:r>
      <w:r>
        <w:rPr>
          <w:rtl w:val="true"/>
        </w:rPr>
        <w:t xml:space="preserve">, </w:t>
      </w:r>
      <w:r>
        <w:rPr>
          <w:rtl w:val="true"/>
        </w:rPr>
        <w:t>אך זו הצליחה להדפו מעליה</w:t>
      </w:r>
      <w:r>
        <w:rPr>
          <w:rtl w:val="true"/>
        </w:rPr>
        <w:t xml:space="preserve">, </w:t>
      </w:r>
      <w:r>
        <w:rPr>
          <w:rtl w:val="true"/>
        </w:rPr>
        <w:t>יצאה מהג</w:t>
      </w:r>
      <w:r>
        <w:rPr>
          <w:rtl w:val="true"/>
        </w:rPr>
        <w:t>'</w:t>
      </w:r>
      <w:r>
        <w:rPr>
          <w:rtl w:val="true"/>
        </w:rPr>
        <w:t>קוזי לכיוון המקלחת והחלה להתקלח</w:t>
      </w:r>
      <w:r>
        <w:rPr>
          <w:rtl w:val="true"/>
        </w:rPr>
        <w:t xml:space="preserve">. </w:t>
      </w:r>
      <w:r>
        <w:rPr>
          <w:rtl w:val="true"/>
        </w:rPr>
        <w:t>המערער פתח את דלת המקלחת</w:t>
      </w:r>
      <w:r>
        <w:rPr>
          <w:rtl w:val="true"/>
        </w:rPr>
        <w:t xml:space="preserve">, </w:t>
      </w:r>
      <w:r>
        <w:rPr>
          <w:rtl w:val="true"/>
        </w:rPr>
        <w:t>ובתגובה לכך צעקה עליו הבת</w:t>
      </w:r>
      <w:r>
        <w:rPr>
          <w:rtl w:val="true"/>
        </w:rPr>
        <w:t xml:space="preserve">, </w:t>
      </w:r>
      <w:r>
        <w:rPr>
          <w:rtl w:val="true"/>
        </w:rPr>
        <w:t>דרשה שיסגור את הדלת</w:t>
      </w:r>
      <w:r>
        <w:rPr>
          <w:rtl w:val="true"/>
        </w:rPr>
        <w:t xml:space="preserve">, </w:t>
      </w:r>
      <w:r>
        <w:rPr>
          <w:rtl w:val="true"/>
        </w:rPr>
        <w:t>והמערער עשה כדברה</w:t>
      </w:r>
      <w:r>
        <w:rPr>
          <w:rtl w:val="true"/>
        </w:rPr>
        <w:t xml:space="preserve">. </w:t>
      </w:r>
      <w:r>
        <w:rPr>
          <w:rtl w:val="true"/>
        </w:rPr>
        <w:t>הבת התלבשה במקלחת אחרי שהתקלחה</w:t>
      </w:r>
      <w:r>
        <w:rPr>
          <w:rtl w:val="true"/>
        </w:rPr>
        <w:t xml:space="preserve">, </w:t>
      </w:r>
      <w:r>
        <w:rPr>
          <w:rtl w:val="true"/>
        </w:rPr>
        <w:t>יצאה מהמקלחת</w:t>
      </w:r>
      <w:r>
        <w:rPr>
          <w:rtl w:val="true"/>
        </w:rPr>
        <w:t xml:space="preserve">, </w:t>
      </w:r>
      <w:r>
        <w:rPr>
          <w:rtl w:val="true"/>
        </w:rPr>
        <w:t>הגיעה לחדר השינה בו ישנה אמה</w:t>
      </w:r>
      <w:r>
        <w:rPr>
          <w:rtl w:val="true"/>
        </w:rPr>
        <w:t xml:space="preserve">, </w:t>
      </w:r>
      <w:r>
        <w:rPr>
          <w:rtl w:val="true"/>
        </w:rPr>
        <w:t>נשכבה על המיטה לצד האם ונרדמה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אף הוא נכנס למיטה כשהוא לובש תחתונים בלבד ונשכב בין האם והבת בזמן שהשתיים ישנו תחת השפעת הסם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התעוררו האם והבת משנתן</w:t>
      </w:r>
      <w:r>
        <w:rPr>
          <w:rtl w:val="true"/>
        </w:rPr>
        <w:t xml:space="preserve">, </w:t>
      </w:r>
      <w:r>
        <w:rPr>
          <w:rtl w:val="true"/>
        </w:rPr>
        <w:t>נדהמו לגלות שהמערער שוכב ביניהן ערום למחצה</w:t>
      </w:r>
      <w:r>
        <w:rPr>
          <w:rtl w:val="true"/>
        </w:rPr>
        <w:t xml:space="preserve">, </w:t>
      </w:r>
      <w:r>
        <w:rPr>
          <w:rtl w:val="true"/>
        </w:rPr>
        <w:t>סילקוהו ממיטתן</w:t>
      </w:r>
      <w:r>
        <w:rPr>
          <w:rtl w:val="true"/>
        </w:rPr>
        <w:t xml:space="preserve">, </w:t>
      </w:r>
      <w:r>
        <w:rPr>
          <w:rtl w:val="true"/>
        </w:rPr>
        <w:t>פנו לעזרתה של בעלת הצימר והזעיקו משטרה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מעשיו בפרשת האם והבת</w:t>
      </w:r>
      <w:r>
        <w:rPr>
          <w:rtl w:val="true"/>
        </w:rPr>
        <w:t xml:space="preserve">, </w:t>
      </w:r>
      <w:r>
        <w:rPr>
          <w:rtl w:val="true"/>
        </w:rPr>
        <w:t xml:space="preserve">הואשם המערער בשלילת כושר התנגדותו של אדם כדי לבצע פשע או עוון או להקל על ביצועם וכן בביצוע מעשה מגונה בנסיבות אינוס </w:t>
      </w:r>
      <w:r>
        <w:rPr>
          <w:rtl w:val="true"/>
        </w:rPr>
        <w:t>–</w:t>
      </w:r>
      <w:r>
        <w:rPr>
          <w:rtl w:val="true"/>
        </w:rPr>
        <w:t xml:space="preserve"> עבירות לפי </w:t>
      </w:r>
      <w:hyperlink r:id="rId4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, </w:t>
      </w:r>
      <w:hyperlink r:id="rId45"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העוקץ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אירועי אישום זה התרחשו בחודשיה האחרונים של שנת </w:t>
      </w:r>
      <w:r>
        <w:rPr/>
        <w:t>2016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[</w:t>
      </w:r>
      <w:r>
        <w:rPr>
          <w:rtl w:val="true"/>
        </w:rPr>
        <w:t>בפסקה זו מתוארות עובדות שבחלקן עשה המערער שימוש במעשה הסחיטה בו הורשע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בחלוף כ</w:t>
      </w:r>
      <w:r>
        <w:rPr>
          <w:rtl w:val="true"/>
        </w:rPr>
        <w:t xml:space="preserve">[...], </w:t>
      </w:r>
      <w:r>
        <w:rPr>
          <w:rtl w:val="true"/>
        </w:rPr>
        <w:t>הודיעה ש</w:t>
      </w:r>
      <w:r>
        <w:rPr>
          <w:rtl w:val="true"/>
        </w:rPr>
        <w:t xml:space="preserve">' </w:t>
      </w:r>
      <w:r>
        <w:rPr>
          <w:rtl w:val="true"/>
        </w:rPr>
        <w:t>למערער כי בדעתה להשתמש בשירותיו כקבלן בניה כדי לבנות בריכת שחיה בביתה</w:t>
      </w:r>
      <w:r>
        <w:rPr>
          <w:rtl w:val="true"/>
        </w:rPr>
        <w:t xml:space="preserve">. </w:t>
      </w:r>
      <w:r>
        <w:rPr>
          <w:rtl w:val="true"/>
        </w:rPr>
        <w:t>השניים חתמו על חוזה להקמת הבריכה ועבודות ההקמה החלו</w:t>
      </w:r>
      <w:r>
        <w:rPr>
          <w:rtl w:val="true"/>
        </w:rPr>
        <w:t xml:space="preserve">. </w:t>
      </w:r>
      <w:r>
        <w:rPr>
          <w:rtl w:val="true"/>
        </w:rPr>
        <w:t>לקראת סיום העבודות</w:t>
      </w:r>
      <w:r>
        <w:rPr>
          <w:rtl w:val="true"/>
        </w:rPr>
        <w:t xml:space="preserve">, </w:t>
      </w:r>
      <w:r>
        <w:rPr>
          <w:rtl w:val="true"/>
        </w:rPr>
        <w:t>הציע המערער לש</w:t>
      </w:r>
      <w:r>
        <w:rPr>
          <w:rtl w:val="true"/>
        </w:rPr>
        <w:t xml:space="preserve">' </w:t>
      </w:r>
      <w:r>
        <w:rPr>
          <w:rtl w:val="true"/>
        </w:rPr>
        <w:t xml:space="preserve">להתלוות עמו למתחם הצימרים בצפון הארץ כדי שיוכל להראות לה בריכה שהקים ואת מערכת התאורה שלה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כדי שש</w:t>
      </w:r>
      <w:r>
        <w:rPr>
          <w:rtl w:val="true"/>
        </w:rPr>
        <w:t xml:space="preserve">' </w:t>
      </w:r>
      <w:r>
        <w:rPr>
          <w:rtl w:val="true"/>
        </w:rPr>
        <w:t>תשקול את התקנתה של אותה מערכת תאורה בבריכה שבביתה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נתנה את הסכמתה לכך ונסעה עם המערער ברכבו למתחם הצימרים</w:t>
      </w:r>
      <w:r>
        <w:rPr>
          <w:rtl w:val="true"/>
        </w:rPr>
        <w:t xml:space="preserve">. </w:t>
      </w:r>
      <w:r>
        <w:rPr>
          <w:rtl w:val="true"/>
        </w:rPr>
        <w:t>בדרכם לשם</w:t>
      </w:r>
      <w:r>
        <w:rPr>
          <w:rtl w:val="true"/>
        </w:rPr>
        <w:t xml:space="preserve">, </w:t>
      </w:r>
      <w:r>
        <w:rPr>
          <w:rtl w:val="true"/>
        </w:rPr>
        <w:t>עצר המערער את רכבו כדי לקנות לש</w:t>
      </w:r>
      <w:r>
        <w:rPr>
          <w:rtl w:val="true"/>
        </w:rPr>
        <w:t xml:space="preserve">' </w:t>
      </w:r>
      <w:r>
        <w:rPr>
          <w:rtl w:val="true"/>
        </w:rPr>
        <w:t>קפה בו טמן כדור היפנודורם אשר מכיל חומר ממשפחת הבנזודיאזפינים</w:t>
      </w:r>
      <w:r>
        <w:rPr>
          <w:rtl w:val="true"/>
        </w:rPr>
        <w:t xml:space="preserve">, </w:t>
      </w:r>
      <w:r>
        <w:rPr>
          <w:rtl w:val="true"/>
        </w:rPr>
        <w:t>הדומה במהותו ל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 </w:t>
      </w:r>
      <w:r>
        <w:rPr>
          <w:rtl w:val="true"/>
        </w:rPr>
        <w:t>באשר הוא גורם לטשטוש חושים</w:t>
      </w:r>
      <w:r>
        <w:rPr>
          <w:rtl w:val="true"/>
        </w:rPr>
        <w:t xml:space="preserve">, </w:t>
      </w:r>
      <w:r>
        <w:rPr>
          <w:rtl w:val="true"/>
        </w:rPr>
        <w:t>לשינה</w:t>
      </w:r>
      <w:r>
        <w:rPr>
          <w:rtl w:val="true"/>
        </w:rPr>
        <w:t xml:space="preserve">, </w:t>
      </w:r>
      <w:r>
        <w:rPr>
          <w:rtl w:val="true"/>
        </w:rPr>
        <w:t>לסחרחורת ולחוסר זיכרון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שתתה את הקפה עם הסם והשניים המשיכו בדרכם למתחם הצימרים</w:t>
      </w:r>
      <w:r>
        <w:rPr>
          <w:rtl w:val="true"/>
        </w:rPr>
        <w:t xml:space="preserve">. </w:t>
      </w:r>
      <w:r>
        <w:rPr>
          <w:rtl w:val="true"/>
        </w:rPr>
        <w:t>במהלך הנסיעה</w:t>
      </w:r>
      <w:r>
        <w:rPr>
          <w:rtl w:val="true"/>
        </w:rPr>
        <w:t xml:space="preserve">, </w:t>
      </w:r>
      <w:r>
        <w:rPr>
          <w:rtl w:val="true"/>
        </w:rPr>
        <w:t>חשה ש</w:t>
      </w:r>
      <w:r>
        <w:rPr>
          <w:rtl w:val="true"/>
        </w:rPr>
        <w:t xml:space="preserve">' </w:t>
      </w:r>
      <w:r>
        <w:rPr>
          <w:rtl w:val="true"/>
        </w:rPr>
        <w:t>שהיא מטושטשת</w:t>
      </w:r>
      <w:r>
        <w:rPr>
          <w:rtl w:val="true"/>
        </w:rPr>
        <w:t xml:space="preserve">. </w:t>
      </w:r>
      <w:r>
        <w:rPr>
          <w:rtl w:val="true"/>
        </w:rPr>
        <w:t>בהגיעם למתחם הצימרים</w:t>
      </w:r>
      <w:r>
        <w:rPr>
          <w:rtl w:val="true"/>
        </w:rPr>
        <w:t xml:space="preserve">, </w:t>
      </w:r>
      <w:r>
        <w:rPr>
          <w:rtl w:val="true"/>
        </w:rPr>
        <w:t>הכניס המערער את ש</w:t>
      </w:r>
      <w:r>
        <w:rPr>
          <w:rtl w:val="true"/>
        </w:rPr>
        <w:t xml:space="preserve">' </w:t>
      </w:r>
      <w:r>
        <w:rPr>
          <w:rtl w:val="true"/>
        </w:rPr>
        <w:t>לצימר ששכר ובו שהה במחיצתה כשלוש שעות</w:t>
      </w:r>
      <w:r>
        <w:rPr>
          <w:rtl w:val="true"/>
        </w:rPr>
        <w:t xml:space="preserve">. </w:t>
      </w:r>
      <w:r>
        <w:rPr>
          <w:rtl w:val="true"/>
        </w:rPr>
        <w:t>במהלך שהותה בצימר יחד עם המערער</w:t>
      </w:r>
      <w:r>
        <w:rPr>
          <w:rtl w:val="true"/>
        </w:rPr>
        <w:t xml:space="preserve">, </w:t>
      </w:r>
      <w:r>
        <w:rPr>
          <w:rtl w:val="true"/>
        </w:rPr>
        <w:t>היתה ש</w:t>
      </w:r>
      <w:r>
        <w:rPr>
          <w:rtl w:val="true"/>
        </w:rPr>
        <w:t xml:space="preserve">' </w:t>
      </w:r>
      <w:r>
        <w:rPr>
          <w:rtl w:val="true"/>
        </w:rPr>
        <w:t>מטושטשת ולא זכרה את אשר אירע שם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האירועים שהתרחשו בתוך הצימר</w:t>
      </w:r>
      <w:r>
        <w:rPr>
          <w:rtl w:val="true"/>
        </w:rPr>
        <w:t xml:space="preserve">, </w:t>
      </w:r>
      <w:r>
        <w:rPr>
          <w:rtl w:val="true"/>
        </w:rPr>
        <w:t>ללא שליטתה של ש</w:t>
      </w:r>
      <w:r>
        <w:rPr>
          <w:rtl w:val="true"/>
        </w:rPr>
        <w:t xml:space="preserve">' </w:t>
      </w:r>
      <w:r>
        <w:rPr>
          <w:rtl w:val="true"/>
        </w:rPr>
        <w:t>ובניגוד גמור לרצונה</w:t>
      </w:r>
      <w:r>
        <w:rPr>
          <w:rtl w:val="true"/>
        </w:rPr>
        <w:t xml:space="preserve">, </w:t>
      </w:r>
      <w:r>
        <w:rPr>
          <w:rtl w:val="true"/>
        </w:rPr>
        <w:t>בעודה סובלת מטשטוש חושים ומחוסר זיכרון</w:t>
      </w:r>
      <w:r>
        <w:rPr>
          <w:rtl w:val="true"/>
        </w:rPr>
        <w:t xml:space="preserve">, </w:t>
      </w:r>
      <w:r>
        <w:rPr>
          <w:rtl w:val="true"/>
        </w:rPr>
        <w:t>כללו את אלה</w:t>
      </w:r>
      <w:r>
        <w:rPr>
          <w:rtl w:val="true"/>
        </w:rPr>
        <w:t xml:space="preserve">: </w:t>
      </w:r>
      <w:r>
        <w:rPr>
          <w:rtl w:val="true"/>
        </w:rPr>
        <w:t xml:space="preserve">המערער נטל ממנה את מכשיר הטלפון הסלולרי ומזומנים בסך של </w:t>
      </w:r>
      <w:r>
        <w:rPr/>
        <w:t>1,400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שהיו בתוך תיקה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הוביל המערער את ש</w:t>
      </w:r>
      <w:r>
        <w:rPr>
          <w:rtl w:val="true"/>
        </w:rPr>
        <w:t xml:space="preserve">' </w:t>
      </w:r>
      <w:r>
        <w:rPr>
          <w:rtl w:val="true"/>
        </w:rPr>
        <w:t>לרכבו</w:t>
      </w:r>
      <w:r>
        <w:rPr>
          <w:rtl w:val="true"/>
        </w:rPr>
        <w:t xml:space="preserve">, </w:t>
      </w:r>
      <w:r>
        <w:rPr>
          <w:rtl w:val="true"/>
        </w:rPr>
        <w:t>בעודה מטושטשת תחת השפעת הסם</w:t>
      </w:r>
      <w:r>
        <w:rPr>
          <w:rtl w:val="true"/>
        </w:rPr>
        <w:t xml:space="preserve">, </w:t>
      </w:r>
      <w:r>
        <w:rPr>
          <w:rtl w:val="true"/>
        </w:rPr>
        <w:t>הסיעהּ לבית אחותה ושם נפרד ממנה</w:t>
      </w:r>
      <w:r>
        <w:rPr>
          <w:rtl w:val="true"/>
        </w:rPr>
        <w:t xml:space="preserve">. </w:t>
      </w:r>
      <w:r>
        <w:rPr>
          <w:rtl w:val="true"/>
        </w:rPr>
        <w:t>בחלוף זמן קצר</w:t>
      </w:r>
      <w:r>
        <w:rPr>
          <w:rtl w:val="true"/>
        </w:rPr>
        <w:t xml:space="preserve">, </w:t>
      </w:r>
      <w:r>
        <w:rPr>
          <w:rtl w:val="true"/>
        </w:rPr>
        <w:t>גילתה ש</w:t>
      </w:r>
      <w:r>
        <w:rPr>
          <w:rtl w:val="true"/>
        </w:rPr>
        <w:t xml:space="preserve">' </w:t>
      </w:r>
      <w:r>
        <w:rPr>
          <w:rtl w:val="true"/>
        </w:rPr>
        <w:t>את אובדן הכסף והטלפון</w:t>
      </w:r>
      <w:r>
        <w:rPr>
          <w:rtl w:val="true"/>
        </w:rPr>
        <w:t xml:space="preserve">, </w:t>
      </w:r>
      <w:r>
        <w:rPr>
          <w:rtl w:val="true"/>
        </w:rPr>
        <w:t>יצרה קשר עם המערער ושאלה אותו אם היא שמטה את הטלפון ברכבו</w:t>
      </w:r>
      <w:r>
        <w:rPr>
          <w:rtl w:val="true"/>
        </w:rPr>
        <w:t xml:space="preserve">. </w:t>
      </w:r>
      <w:r>
        <w:rPr>
          <w:rtl w:val="true"/>
        </w:rPr>
        <w:t>המערער השיב לכך בשלילה</w:t>
      </w:r>
      <w:r>
        <w:rPr>
          <w:rtl w:val="true"/>
        </w:rPr>
        <w:t xml:space="preserve">, </w:t>
      </w:r>
      <w:r>
        <w:rPr>
          <w:rtl w:val="true"/>
        </w:rPr>
        <w:t>וכעבור מספר ימים מסר לש</w:t>
      </w:r>
      <w:r>
        <w:rPr>
          <w:rtl w:val="true"/>
        </w:rPr>
        <w:t xml:space="preserve">' </w:t>
      </w:r>
      <w:r>
        <w:rPr>
          <w:rtl w:val="true"/>
        </w:rPr>
        <w:t>טלפון חלופי לשימושה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>הודיע המערער לש</w:t>
      </w:r>
      <w:r>
        <w:rPr>
          <w:rtl w:val="true"/>
        </w:rPr>
        <w:t xml:space="preserve">', </w:t>
      </w:r>
      <w:r>
        <w:rPr>
          <w:rtl w:val="true"/>
        </w:rPr>
        <w:t>בכזב</w:t>
      </w:r>
      <w:r>
        <w:rPr>
          <w:rtl w:val="true"/>
        </w:rPr>
        <w:t xml:space="preserve">, </w:t>
      </w:r>
      <w:r>
        <w:rPr>
          <w:rtl w:val="true"/>
        </w:rPr>
        <w:t>כי הוא נסחט על ידי אנשים מטורעאן וכי הסחיטה מכוונת גם אליה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הציג המערער בפני ש</w:t>
      </w:r>
      <w:r>
        <w:rPr>
          <w:rtl w:val="true"/>
        </w:rPr>
        <w:t xml:space="preserve">' </w:t>
      </w:r>
      <w:r>
        <w:rPr>
          <w:rtl w:val="true"/>
        </w:rPr>
        <w:t>מצג שווא כדלקמן</w:t>
      </w:r>
      <w:r>
        <w:rPr>
          <w:rtl w:val="true"/>
        </w:rPr>
        <w:t xml:space="preserve">: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הסוחטים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מטורעאן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</w:t>
      </w:r>
      <w:r>
        <w:rPr>
          <w:rtl w:val="true"/>
        </w:rPr>
        <w:t xml:space="preserve">.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הועתקו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שכאמור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הסוחטים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תשלם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הסוחטים</w:t>
      </w:r>
      <w:r>
        <w:rPr>
          <w:rtl w:val="true"/>
        </w:rPr>
        <w:t xml:space="preserve">, </w:t>
      </w:r>
      <w:r>
        <w:rPr>
          <w:rtl w:val="true"/>
        </w:rPr>
        <w:t>שבפועל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לסוחטים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בתגובה לכך</w:t>
      </w:r>
      <w:r>
        <w:rPr>
          <w:rtl w:val="true"/>
        </w:rPr>
        <w:t xml:space="preserve">, </w:t>
      </w:r>
      <w:r>
        <w:rPr>
          <w:rtl w:val="true"/>
        </w:rPr>
        <w:t>הודיעה ש</w:t>
      </w:r>
      <w:r>
        <w:rPr>
          <w:rtl w:val="true"/>
        </w:rPr>
        <w:t xml:space="preserve">' </w:t>
      </w:r>
      <w:r>
        <w:rPr>
          <w:rtl w:val="true"/>
        </w:rPr>
        <w:t>למערער כי היא מבקשת שהסוחטים ייצרו עמה קשר במישרין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שיגר לה את </w:t>
      </w:r>
      <w:r>
        <w:rPr>
          <w:rtl w:val="true"/>
        </w:rPr>
        <w:t>"</w:t>
      </w:r>
      <w:r>
        <w:rPr>
          <w:rtl w:val="true"/>
        </w:rPr>
        <w:t>דרישתם</w:t>
      </w:r>
      <w:r>
        <w:rPr>
          <w:rtl w:val="true"/>
        </w:rPr>
        <w:t xml:space="preserve">" </w:t>
      </w:r>
      <w:r>
        <w:rPr>
          <w:rtl w:val="true"/>
        </w:rPr>
        <w:t>מאחד הטלפונים הסלולריים שהיו ברשותו ושש</w:t>
      </w:r>
      <w:r>
        <w:rPr>
          <w:rtl w:val="true"/>
        </w:rPr>
        <w:t xml:space="preserve">' </w:t>
      </w:r>
      <w:r>
        <w:rPr>
          <w:rtl w:val="true"/>
        </w:rPr>
        <w:t>לא ידעה על קיומו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בעקבות התפתחות זו</w:t>
      </w:r>
      <w:r>
        <w:rPr>
          <w:rtl w:val="true"/>
        </w:rPr>
        <w:t xml:space="preserve">, </w:t>
      </w:r>
      <w:r>
        <w:rPr>
          <w:rtl w:val="true"/>
        </w:rPr>
        <w:t>ניגשה ש</w:t>
      </w:r>
      <w:r>
        <w:rPr>
          <w:rtl w:val="true"/>
        </w:rPr>
        <w:t xml:space="preserve">' </w:t>
      </w:r>
      <w:r>
        <w:rPr>
          <w:rtl w:val="true"/>
        </w:rPr>
        <w:t>לבנק בו החזיקה את כספה</w:t>
      </w:r>
      <w:r>
        <w:rPr>
          <w:rtl w:val="true"/>
        </w:rPr>
        <w:t xml:space="preserve">, </w:t>
      </w:r>
      <w:r>
        <w:rPr>
          <w:rtl w:val="true"/>
        </w:rPr>
        <w:t xml:space="preserve">משכה מהבנק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במזומנים</w:t>
      </w:r>
      <w:r>
        <w:rPr>
          <w:rtl w:val="true"/>
        </w:rPr>
        <w:t xml:space="preserve">, </w:t>
      </w:r>
      <w:r>
        <w:rPr>
          <w:rtl w:val="true"/>
        </w:rPr>
        <w:t xml:space="preserve">ולפי עצת המערער שמה את הכסף בקופסת נעליים כדי למסרה לידי נציג הסוחטים במקום המפגש שהסוחטים </w:t>
      </w:r>
      <w:r>
        <w:rPr>
          <w:rtl w:val="true"/>
        </w:rPr>
        <w:t>–</w:t>
      </w:r>
      <w:r>
        <w:rPr>
          <w:rtl w:val="true"/>
        </w:rPr>
        <w:t xml:space="preserve"> קרי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קבעו עמה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ביקש המערער</w:t>
      </w:r>
      <w:r>
        <w:rPr>
          <w:rtl w:val="true"/>
        </w:rPr>
        <w:t xml:space="preserve">, </w:t>
      </w:r>
      <w:r>
        <w:rPr>
          <w:rtl w:val="true"/>
        </w:rPr>
        <w:t>או שלוח שפעל מטעמו</w:t>
      </w:r>
      <w:r>
        <w:rPr>
          <w:rtl w:val="true"/>
        </w:rPr>
        <w:t xml:space="preserve">, </w:t>
      </w:r>
      <w:r>
        <w:rPr>
          <w:rtl w:val="true"/>
        </w:rPr>
        <w:t>מנהג מונית לפגוש את ש</w:t>
      </w:r>
      <w:r>
        <w:rPr>
          <w:rtl w:val="true"/>
        </w:rPr>
        <w:t xml:space="preserve">' </w:t>
      </w:r>
      <w:r>
        <w:rPr>
          <w:rtl w:val="true"/>
        </w:rPr>
        <w:t>במקום המפגש המוסכם</w:t>
      </w:r>
      <w:r>
        <w:rPr>
          <w:rtl w:val="true"/>
        </w:rPr>
        <w:t xml:space="preserve">, </w:t>
      </w:r>
      <w:r>
        <w:rPr>
          <w:rtl w:val="true"/>
        </w:rPr>
        <w:t>לקבל ממנה את הקופסה ולהעבירה אל המערער</w:t>
      </w:r>
      <w:r>
        <w:rPr>
          <w:rtl w:val="true"/>
        </w:rPr>
        <w:t xml:space="preserve">. </w:t>
      </w:r>
      <w:r>
        <w:rPr>
          <w:rtl w:val="true"/>
        </w:rPr>
        <w:t>המערער גם מסר לנהג שקית עם מכשיר הטלפון שנטל מש</w:t>
      </w:r>
      <w:r>
        <w:rPr>
          <w:rtl w:val="true"/>
        </w:rPr>
        <w:t xml:space="preserve">', </w:t>
      </w:r>
      <w:r>
        <w:rPr>
          <w:rtl w:val="true"/>
        </w:rPr>
        <w:t>ללא ידיעתה</w:t>
      </w:r>
      <w:r>
        <w:rPr>
          <w:rtl w:val="true"/>
        </w:rPr>
        <w:t xml:space="preserve">, </w:t>
      </w:r>
      <w:r>
        <w:rPr>
          <w:rtl w:val="true"/>
        </w:rPr>
        <w:t>בהיותם בצימר</w:t>
      </w:r>
      <w:r>
        <w:rPr>
          <w:rtl w:val="true"/>
        </w:rPr>
        <w:t xml:space="preserve">, </w:t>
      </w:r>
      <w:r>
        <w:rPr>
          <w:rtl w:val="true"/>
        </w:rPr>
        <w:t>וביקש מהנהג להעביר את השקית לש</w:t>
      </w:r>
      <w:r>
        <w:rPr>
          <w:rtl w:val="true"/>
        </w:rPr>
        <w:t xml:space="preserve">'. </w:t>
      </w:r>
      <w:r>
        <w:rPr>
          <w:rtl w:val="true"/>
        </w:rPr>
        <w:t>המפגש התקיים</w:t>
      </w:r>
      <w:r>
        <w:rPr>
          <w:rtl w:val="true"/>
        </w:rPr>
        <w:t xml:space="preserve">. </w:t>
      </w:r>
      <w:r>
        <w:rPr>
          <w:rtl w:val="true"/>
        </w:rPr>
        <w:t>הקופסה</w:t>
      </w:r>
      <w:r>
        <w:rPr>
          <w:rtl w:val="true"/>
        </w:rPr>
        <w:t xml:space="preserve">, </w:t>
      </w:r>
      <w:r>
        <w:rPr>
          <w:rtl w:val="true"/>
        </w:rPr>
        <w:t xml:space="preserve">שבתוכה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והשקית</w:t>
      </w:r>
      <w:r>
        <w:rPr>
          <w:rtl w:val="true"/>
        </w:rPr>
        <w:t xml:space="preserve">, </w:t>
      </w:r>
      <w:r>
        <w:rPr>
          <w:rtl w:val="true"/>
        </w:rPr>
        <w:t>שבתוכה מכשיר הטלפון של ש</w:t>
      </w:r>
      <w:r>
        <w:rPr>
          <w:rtl w:val="true"/>
        </w:rPr>
        <w:t xml:space="preserve">', </w:t>
      </w:r>
      <w:r>
        <w:rPr>
          <w:rtl w:val="true"/>
        </w:rPr>
        <w:t>החליפו ידיים כמתוכנן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מסר הנהג את הקופסה עם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למערער או לאדם שפעל בשליחותו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בסמוך לאחר קבלת הקופסה עם הכסף</w:t>
      </w:r>
      <w:r>
        <w:rPr>
          <w:rtl w:val="true"/>
        </w:rPr>
        <w:t xml:space="preserve">, </w:t>
      </w:r>
      <w:r>
        <w:rPr>
          <w:rtl w:val="true"/>
        </w:rPr>
        <w:t xml:space="preserve">רכש המערער שני כלי רכב משומשים במחיר כולל של </w:t>
      </w:r>
      <w:r>
        <w:rPr/>
        <w:t>103,000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המערער רשם את אחד מכלי הרכב הללו על שמו ואת כלי הרכב השני על שם בתו</w:t>
      </w:r>
      <w:r>
        <w:rPr>
          <w:rtl w:val="true"/>
        </w:rPr>
        <w:t xml:space="preserve">. </w:t>
      </w:r>
      <w:r>
        <w:rPr>
          <w:rtl w:val="true"/>
        </w:rPr>
        <w:t>הרכב שנרשם על שם בתו של המערער היה היקר מבין השניים</w:t>
      </w:r>
      <w:r>
        <w:rPr>
          <w:rtl w:val="true"/>
        </w:rPr>
        <w:t xml:space="preserve">: </w:t>
      </w:r>
      <w:r>
        <w:rPr>
          <w:rtl w:val="true"/>
        </w:rPr>
        <w:t xml:space="preserve">המערער שילם עבורו </w:t>
      </w:r>
      <w:r>
        <w:rPr/>
        <w:t>83,000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הרכב שנרשם על שמו של המערער עלה לו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כעבור מספר ימים</w:t>
      </w:r>
      <w:r>
        <w:rPr>
          <w:rtl w:val="true"/>
        </w:rPr>
        <w:t xml:space="preserve">, </w:t>
      </w:r>
      <w:r>
        <w:rPr>
          <w:rtl w:val="true"/>
        </w:rPr>
        <w:t>יצר המערער קשר עם ש</w:t>
      </w:r>
      <w:r>
        <w:rPr>
          <w:rtl w:val="true"/>
        </w:rPr>
        <w:t xml:space="preserve">' </w:t>
      </w:r>
      <w:r>
        <w:rPr>
          <w:rtl w:val="true"/>
        </w:rPr>
        <w:t>וסיפר לה</w:t>
      </w:r>
      <w:r>
        <w:rPr>
          <w:rtl w:val="true"/>
        </w:rPr>
        <w:t xml:space="preserve">, </w:t>
      </w:r>
      <w:r>
        <w:rPr>
          <w:rtl w:val="true"/>
        </w:rPr>
        <w:t>בכזב</w:t>
      </w:r>
      <w:r>
        <w:rPr>
          <w:rtl w:val="true"/>
        </w:rPr>
        <w:t xml:space="preserve">, </w:t>
      </w:r>
      <w:r>
        <w:rPr>
          <w:rtl w:val="true"/>
        </w:rPr>
        <w:t xml:space="preserve">כי הסוחטים דורשים כעת ממנו וממנה סכום כסף נוסף של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כמו כן סיפר המערער לש</w:t>
      </w:r>
      <w:r>
        <w:rPr>
          <w:rtl w:val="true"/>
        </w:rPr>
        <w:t xml:space="preserve">', </w:t>
      </w:r>
      <w:r>
        <w:rPr>
          <w:rtl w:val="true"/>
        </w:rPr>
        <w:t>כי הסוחטים מאיימים כי אם הסכום שדרשו לא ישולם להם הם יפיצו את התמונות שבידיהם בקרב בני משפחתה של ש</w:t>
      </w:r>
      <w:r>
        <w:rPr>
          <w:rtl w:val="true"/>
        </w:rPr>
        <w:t xml:space="preserve">' </w:t>
      </w:r>
      <w:r>
        <w:rPr>
          <w:rtl w:val="true"/>
        </w:rPr>
        <w:t>ומכריה וכן בקרב מכריו ובני משפחתו של המערער</w:t>
      </w:r>
      <w:r>
        <w:rPr>
          <w:rtl w:val="true"/>
        </w:rPr>
        <w:t xml:space="preserve">. </w:t>
      </w:r>
      <w:r>
        <w:rPr>
          <w:rtl w:val="true"/>
        </w:rPr>
        <w:t>המערער הציג בפני ש</w:t>
      </w:r>
      <w:r>
        <w:rPr>
          <w:rtl w:val="true"/>
        </w:rPr>
        <w:t xml:space="preserve">' </w:t>
      </w:r>
      <w:r>
        <w:rPr>
          <w:rtl w:val="true"/>
        </w:rPr>
        <w:t>את אחת התמונות האינטימיות שלדבריו קיבל מהסוחטים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הבינה ש</w:t>
      </w:r>
      <w:r>
        <w:rPr>
          <w:rtl w:val="true"/>
        </w:rPr>
        <w:t xml:space="preserve">' </w:t>
      </w:r>
      <w:r>
        <w:rPr>
          <w:rtl w:val="true"/>
        </w:rPr>
        <w:t>שכפי הנראה מדובר בעוקץ שהמערער עומד מאחוריו ופנתה למשטרה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בהדרכת אנשי המשטרה</w:t>
      </w:r>
      <w:r>
        <w:rPr>
          <w:rtl w:val="true"/>
        </w:rPr>
        <w:t xml:space="preserve">, </w:t>
      </w:r>
      <w:r>
        <w:rPr>
          <w:rtl w:val="true"/>
        </w:rPr>
        <w:t>נפגשה ש</w:t>
      </w:r>
      <w:r>
        <w:rPr>
          <w:rtl w:val="true"/>
        </w:rPr>
        <w:t xml:space="preserve">' </w:t>
      </w:r>
      <w:r>
        <w:rPr>
          <w:rtl w:val="true"/>
        </w:rPr>
        <w:t>עם המערער</w:t>
      </w:r>
      <w:r>
        <w:rPr>
          <w:rtl w:val="true"/>
        </w:rPr>
        <w:t xml:space="preserve">, </w:t>
      </w:r>
      <w:r>
        <w:rPr>
          <w:rtl w:val="true"/>
        </w:rPr>
        <w:t>שמעה ממנו כי הוא פועל כדי לשים קץ למעשי הסחיטה ולשם כך זקוק לכסף</w:t>
      </w:r>
      <w:r>
        <w:rPr>
          <w:rtl w:val="true"/>
        </w:rPr>
        <w:t xml:space="preserve">, </w:t>
      </w:r>
      <w:r>
        <w:rPr>
          <w:rtl w:val="true"/>
        </w:rPr>
        <w:t xml:space="preserve">ומסרה לידיו סכום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אחרי שסיפרה לו כי היא פועלת כדי לגייס את דמי הסחיטה שהשניים נדרשו לשלם לסוחטים</w:t>
      </w:r>
      <w:r>
        <w:rPr>
          <w:rtl w:val="true"/>
        </w:rPr>
        <w:t xml:space="preserve">. </w:t>
      </w:r>
      <w:r>
        <w:rPr>
          <w:rtl w:val="true"/>
        </w:rPr>
        <w:t>לאחר שהמערער לקח לידיו</w:t>
      </w:r>
      <w:r>
        <w:rPr>
          <w:rtl w:val="true"/>
        </w:rPr>
        <w:t xml:space="preserve">, </w:t>
      </w:r>
      <w:r>
        <w:rPr>
          <w:rtl w:val="true"/>
        </w:rPr>
        <w:t>מידיה של ש</w:t>
      </w:r>
      <w:r>
        <w:rPr>
          <w:rtl w:val="true"/>
        </w:rPr>
        <w:t xml:space="preserve">', </w:t>
      </w:r>
      <w:r>
        <w:rPr>
          <w:rtl w:val="true"/>
        </w:rPr>
        <w:t xml:space="preserve">את הסכום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הוא נעצר על ידי המשטרה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מעשיו בפרשת העוקץ</w:t>
      </w:r>
      <w:r>
        <w:rPr>
          <w:rtl w:val="true"/>
        </w:rPr>
        <w:t xml:space="preserve">, </w:t>
      </w:r>
      <w:r>
        <w:rPr>
          <w:rtl w:val="true"/>
        </w:rPr>
        <w:t>הואשם המערער בשלילת כושר התנגדותו של אדם כדי לבצע פשע</w:t>
      </w:r>
      <w:r>
        <w:rPr>
          <w:rtl w:val="true"/>
        </w:rPr>
        <w:t xml:space="preserve">, </w:t>
      </w:r>
      <w:r>
        <w:rPr>
          <w:rtl w:val="true"/>
        </w:rPr>
        <w:t xml:space="preserve">בקבלת דבר במרמה בנסיבות מחמירות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>בסחיטה באיומים</w:t>
      </w:r>
      <w:r>
        <w:rPr>
          <w:rtl w:val="true"/>
        </w:rPr>
        <w:t xml:space="preserve">, </w:t>
      </w:r>
      <w:r>
        <w:rPr>
          <w:rtl w:val="true"/>
        </w:rPr>
        <w:t>בגניבה</w:t>
      </w:r>
      <w:r>
        <w:rPr>
          <w:rtl w:val="true"/>
        </w:rPr>
        <w:t xml:space="preserve">, </w:t>
      </w:r>
      <w:r>
        <w:rPr>
          <w:rtl w:val="true"/>
        </w:rPr>
        <w:t>בנטילת נכסים לשם סחיטה</w:t>
      </w:r>
      <w:r>
        <w:rPr>
          <w:rtl w:val="true"/>
        </w:rPr>
        <w:t xml:space="preserve">, </w:t>
      </w:r>
      <w:r>
        <w:rPr>
          <w:rtl w:val="true"/>
        </w:rPr>
        <w:t xml:space="preserve">וכן בפגיעה בפרטיות ובהלבנת הון </w:t>
      </w:r>
      <w:r>
        <w:rPr>
          <w:rtl w:val="true"/>
        </w:rPr>
        <w:t>–</w:t>
      </w:r>
      <w:r>
        <w:rPr>
          <w:rtl w:val="true"/>
        </w:rPr>
        <w:t xml:space="preserve"> עבירות לפי </w:t>
      </w:r>
      <w:hyperlink r:id="rId4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, </w:t>
      </w:r>
      <w:hyperlink r:id="rId49">
        <w:r>
          <w:rPr>
            <w:rStyle w:val="Hyperlink"/>
          </w:rPr>
          <w:t>415</w:t>
        </w:r>
      </w:hyperlink>
      <w:r>
        <w:rPr>
          <w:rtl w:val="true"/>
        </w:rPr>
        <w:t xml:space="preserve">, </w:t>
      </w:r>
      <w:hyperlink r:id="rId50">
        <w:r>
          <w:rPr>
            <w:rStyle w:val="Hyperlink"/>
          </w:rPr>
          <w:t>428</w:t>
        </w:r>
      </w:hyperlink>
      <w:r>
        <w:rPr>
          <w:rtl w:val="true"/>
        </w:rPr>
        <w:t xml:space="preserve">, </w:t>
      </w:r>
      <w:hyperlink r:id="rId51">
        <w:r>
          <w:rPr>
            <w:rStyle w:val="Hyperlink"/>
          </w:rPr>
          <w:t>384-383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2">
        <w:r>
          <w:rPr>
            <w:rStyle w:val="Hyperlink"/>
          </w:rPr>
          <w:t>430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ולפי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הטרמפיסטית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אירועי אישום זה התרחשו בשנת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כעשור לפני אירועיהם של שני האישומים הקודמים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נענה לבקשת הסעה של טרמפיסטית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למחוז חפצה</w:t>
      </w:r>
      <w:r>
        <w:rPr>
          <w:rtl w:val="true"/>
        </w:rPr>
        <w:t xml:space="preserve">. </w:t>
      </w:r>
      <w:r>
        <w:rPr>
          <w:rtl w:val="true"/>
        </w:rPr>
        <w:t>במהלך השיחה שהתפתחה בין השניים בנסיעתם</w:t>
      </w:r>
      <w:r>
        <w:rPr>
          <w:rtl w:val="true"/>
        </w:rPr>
        <w:t xml:space="preserve">, </w:t>
      </w:r>
      <w:r>
        <w:rPr>
          <w:rtl w:val="true"/>
        </w:rPr>
        <w:t>הבטיח המערער לא</w:t>
      </w:r>
      <w:r>
        <w:rPr>
          <w:rtl w:val="true"/>
        </w:rPr>
        <w:t xml:space="preserve">' </w:t>
      </w:r>
      <w:r>
        <w:rPr>
          <w:rtl w:val="true"/>
        </w:rPr>
        <w:t>לסדר לה</w:t>
      </w:r>
      <w:r>
        <w:rPr>
          <w:rtl w:val="true"/>
        </w:rPr>
        <w:t xml:space="preserve">, </w:t>
      </w:r>
      <w:r>
        <w:rPr>
          <w:rtl w:val="true"/>
        </w:rPr>
        <w:t>לבקשתה</w:t>
      </w:r>
      <w:r>
        <w:rPr>
          <w:rtl w:val="true"/>
        </w:rPr>
        <w:t xml:space="preserve">, </w:t>
      </w:r>
      <w:r>
        <w:rPr>
          <w:rtl w:val="true"/>
        </w:rPr>
        <w:t>עבודה במסעדה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>החליפו ביניהם השניים את מספרי הטלפון שלהם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 השבוע</w:t>
      </w:r>
      <w:r>
        <w:rPr>
          <w:rtl w:val="true"/>
        </w:rPr>
        <w:t xml:space="preserve">, </w:t>
      </w:r>
      <w:r>
        <w:rPr>
          <w:rtl w:val="true"/>
        </w:rPr>
        <w:t>קבעו השניים להיפגש כדי שהמערער יסיע את א</w:t>
      </w:r>
      <w:r>
        <w:rPr>
          <w:rtl w:val="true"/>
        </w:rPr>
        <w:t xml:space="preserve">' </w:t>
      </w:r>
      <w:r>
        <w:rPr>
          <w:rtl w:val="true"/>
        </w:rPr>
        <w:t>למסעדה בנהריה על מנת לסדר לה עבודה באותה מסעדה</w:t>
      </w:r>
      <w:r>
        <w:rPr>
          <w:rtl w:val="true"/>
        </w:rPr>
        <w:t xml:space="preserve">. </w:t>
      </w:r>
      <w:r>
        <w:rPr>
          <w:rtl w:val="true"/>
        </w:rPr>
        <w:t>המפגש התקיים כמוסכם וא</w:t>
      </w:r>
      <w:r>
        <w:rPr>
          <w:rtl w:val="true"/>
        </w:rPr>
        <w:t xml:space="preserve">' </w:t>
      </w:r>
      <w:r>
        <w:rPr>
          <w:rtl w:val="true"/>
        </w:rPr>
        <w:t>נכנסה לרכבו של המערער כדי לנסוע לנהריה</w:t>
      </w:r>
      <w:r>
        <w:rPr>
          <w:rtl w:val="true"/>
        </w:rPr>
        <w:t xml:space="preserve">. </w:t>
      </w:r>
      <w:r>
        <w:rPr>
          <w:rtl w:val="true"/>
        </w:rPr>
        <w:t>במהלך הנסיעה לנהריה</w:t>
      </w:r>
      <w:r>
        <w:rPr>
          <w:rtl w:val="true"/>
        </w:rPr>
        <w:t xml:space="preserve">, </w:t>
      </w:r>
      <w:r>
        <w:rPr>
          <w:rtl w:val="true"/>
        </w:rPr>
        <w:t>עצר המערער את רכבו וביקש מא</w:t>
      </w:r>
      <w:r>
        <w:rPr>
          <w:rtl w:val="true"/>
        </w:rPr>
        <w:t xml:space="preserve">' </w:t>
      </w:r>
      <w:r>
        <w:rPr>
          <w:rtl w:val="true"/>
        </w:rPr>
        <w:t>לקנות בקבוקי מיץ ענבים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הציע המערער לא</w:t>
      </w:r>
      <w:r>
        <w:rPr>
          <w:rtl w:val="true"/>
        </w:rPr>
        <w:t xml:space="preserve">' </w:t>
      </w:r>
      <w:r>
        <w:rPr>
          <w:rtl w:val="true"/>
        </w:rPr>
        <w:t>לשתות את המיץ מתוך כוס חד</w:t>
      </w:r>
      <w:r>
        <w:rPr>
          <w:rtl w:val="true"/>
        </w:rPr>
        <w:t>-</w:t>
      </w:r>
      <w:r>
        <w:rPr>
          <w:rtl w:val="true"/>
        </w:rPr>
        <w:t>פעמית אחרי שטמן באותה כוס חומר המכיל דיאזפאם</w:t>
      </w:r>
      <w:r>
        <w:rPr>
          <w:rtl w:val="true"/>
        </w:rPr>
        <w:t xml:space="preserve">, </w:t>
      </w:r>
      <w:r>
        <w:rPr>
          <w:rtl w:val="true"/>
        </w:rPr>
        <w:t xml:space="preserve">אשר נועד לטיפול במצבי חרדה ולו השפעה כשל 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שתתה את המיץ עם הדיאזפאם ואז הבחינה בגרגרים כחולים בתחתית הכוס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ביקשה מהמערער להסביר לה את פשר הימצאות הגרגרים בכוס</w:t>
      </w:r>
      <w:r>
        <w:rPr>
          <w:rtl w:val="true"/>
        </w:rPr>
        <w:t xml:space="preserve">, </w:t>
      </w:r>
      <w:r>
        <w:rPr>
          <w:rtl w:val="true"/>
        </w:rPr>
        <w:t>והמערער השיב לה</w:t>
      </w:r>
      <w:r>
        <w:rPr>
          <w:rtl w:val="true"/>
        </w:rPr>
        <w:t xml:space="preserve">, </w:t>
      </w:r>
      <w:r>
        <w:rPr>
          <w:rtl w:val="true"/>
        </w:rPr>
        <w:t>בכזב</w:t>
      </w:r>
      <w:r>
        <w:rPr>
          <w:rtl w:val="true"/>
        </w:rPr>
        <w:t xml:space="preserve">, </w:t>
      </w:r>
      <w:r>
        <w:rPr>
          <w:rtl w:val="true"/>
        </w:rPr>
        <w:t>כי אינו יודע מניין הופיעו הגרגרים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בהגיעם לנהריה</w:t>
      </w:r>
      <w:r>
        <w:rPr>
          <w:rtl w:val="true"/>
        </w:rPr>
        <w:t xml:space="preserve">, </w:t>
      </w:r>
      <w:r>
        <w:rPr>
          <w:rtl w:val="true"/>
        </w:rPr>
        <w:t>קבע המערער עם א</w:t>
      </w:r>
      <w:r>
        <w:rPr>
          <w:rtl w:val="true"/>
        </w:rPr>
        <w:t xml:space="preserve">' </w:t>
      </w:r>
      <w:r>
        <w:rPr>
          <w:rtl w:val="true"/>
        </w:rPr>
        <w:t>כי יאספה ויסיעה למסעדה בגמר הסידורים שא</w:t>
      </w:r>
      <w:r>
        <w:rPr>
          <w:rtl w:val="true"/>
        </w:rPr>
        <w:t xml:space="preserve">' </w:t>
      </w:r>
      <w:r>
        <w:rPr>
          <w:rtl w:val="true"/>
        </w:rPr>
        <w:t>תכננה לעשות קודם לכן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יצאה מהרכב והלכה לדרכה</w:t>
      </w:r>
      <w:r>
        <w:rPr>
          <w:rtl w:val="true"/>
        </w:rPr>
        <w:t xml:space="preserve">. </w:t>
      </w:r>
      <w:r>
        <w:rPr>
          <w:rtl w:val="true"/>
        </w:rPr>
        <w:t>כעבור זמן קצר</w:t>
      </w:r>
      <w:r>
        <w:rPr>
          <w:rtl w:val="true"/>
        </w:rPr>
        <w:t xml:space="preserve">, </w:t>
      </w:r>
      <w:r>
        <w:rPr>
          <w:rtl w:val="true"/>
        </w:rPr>
        <w:t>היא חשה ברע</w:t>
      </w:r>
      <w:r>
        <w:rPr>
          <w:rtl w:val="true"/>
        </w:rPr>
        <w:t xml:space="preserve">, </w:t>
      </w:r>
      <w:r>
        <w:rPr>
          <w:rtl w:val="true"/>
        </w:rPr>
        <w:t>חשדה כי המערער סימם אותה</w:t>
      </w:r>
      <w:r>
        <w:rPr>
          <w:rtl w:val="true"/>
        </w:rPr>
        <w:t xml:space="preserve">, </w:t>
      </w:r>
      <w:r>
        <w:rPr>
          <w:rtl w:val="true"/>
        </w:rPr>
        <w:t>פנתה למשטרה והגישה נגדו תלונה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מעשיו בפרשת הטרמפיסטית</w:t>
      </w:r>
      <w:r>
        <w:rPr>
          <w:rtl w:val="true"/>
        </w:rPr>
        <w:t xml:space="preserve">, </w:t>
      </w:r>
      <w:r>
        <w:rPr>
          <w:rtl w:val="true"/>
        </w:rPr>
        <w:t xml:space="preserve">הואשם המערער בשלילת כושר התנגדותו של אדם כדי לבצע פשע או עוון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הסרטונים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אירועי אישומים אלה התרחשו בחודשים מאי ויוני </w:t>
      </w:r>
      <w:r>
        <w:rPr/>
        <w:t>2015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במהלכה של תקופה זו</w:t>
      </w:r>
      <w:r>
        <w:rPr>
          <w:rtl w:val="true"/>
        </w:rPr>
        <w:t xml:space="preserve">, </w:t>
      </w:r>
      <w:r>
        <w:rPr>
          <w:rtl w:val="true"/>
        </w:rPr>
        <w:t>הכיר המערער באמצעות אתר היכרויות את א</w:t>
      </w:r>
      <w:r>
        <w:rPr>
          <w:rtl w:val="true"/>
        </w:rPr>
        <w:t xml:space="preserve">' </w:t>
      </w:r>
      <w:r>
        <w:rPr>
          <w:rtl w:val="true"/>
        </w:rPr>
        <w:t>ואת ק</w:t>
      </w:r>
      <w:r>
        <w:rPr>
          <w:rtl w:val="true"/>
        </w:rPr>
        <w:t xml:space="preserve">', </w:t>
      </w:r>
      <w:r>
        <w:rPr>
          <w:rtl w:val="true"/>
        </w:rPr>
        <w:t>ניהל עם כל אחת מהנשים הללו התכתבות בעלת תכנים ארוטיים וקבע עמן מפגשים בצימרים לשם קיום יחסי מין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במהלך קיום יחסי המין</w:t>
      </w:r>
      <w:r>
        <w:rPr>
          <w:rtl w:val="true"/>
        </w:rPr>
        <w:t xml:space="preserve">, </w:t>
      </w:r>
      <w:r>
        <w:rPr>
          <w:rtl w:val="true"/>
        </w:rPr>
        <w:t>הסריט המערער את א</w:t>
      </w:r>
      <w:r>
        <w:rPr>
          <w:rtl w:val="true"/>
        </w:rPr>
        <w:t xml:space="preserve">' </w:t>
      </w:r>
      <w:r>
        <w:rPr>
          <w:rtl w:val="true"/>
        </w:rPr>
        <w:t>ואת ק</w:t>
      </w:r>
      <w:r>
        <w:rPr>
          <w:rtl w:val="true"/>
        </w:rPr>
        <w:t xml:space="preserve">' </w:t>
      </w:r>
      <w:r>
        <w:rPr>
          <w:rtl w:val="true"/>
        </w:rPr>
        <w:t xml:space="preserve">ושמר את הסרטונים בתוך מכשיר הטלפון הסלולרי שלו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ללא ידיעתן וללא הסכמתן של שתי הנשים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סרטונים אלה נתגלו במהלך החיפוש שבוצע על ידי המשטרה בטלפון הסלולרי של המערער כאשר הוא נחקר בקשר לפרשת האם והבת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מעשיו בפרשת הסרטונים</w:t>
      </w:r>
      <w:r>
        <w:rPr>
          <w:rtl w:val="true"/>
        </w:rPr>
        <w:t xml:space="preserve">, </w:t>
      </w:r>
      <w:r>
        <w:rPr>
          <w:rtl w:val="true"/>
        </w:rPr>
        <w:t xml:space="preserve">הואשם המערער בפגיעה בפרטיות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בעמדו בפני בית משפט קמא</w:t>
      </w:r>
      <w:r>
        <w:rPr>
          <w:rtl w:val="true"/>
        </w:rPr>
        <w:t xml:space="preserve">, </w:t>
      </w:r>
      <w:r>
        <w:rPr>
          <w:rtl w:val="true"/>
        </w:rPr>
        <w:t>כפר המערער בכל המיוחס לו באישומים דלעיל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קיים הוכחות שבמהלכן שמע את עדויות המתלוננות מכל חמשת האישומים</w:t>
      </w:r>
      <w:r>
        <w:rPr>
          <w:rtl w:val="true"/>
        </w:rPr>
        <w:t xml:space="preserve">, </w:t>
      </w:r>
      <w:r>
        <w:rPr>
          <w:rtl w:val="true"/>
        </w:rPr>
        <w:t>את עדות המערער ואת עדויותיהם של עדים רלבנטיים נוספים</w:t>
      </w:r>
      <w:r>
        <w:rPr>
          <w:rtl w:val="true"/>
        </w:rPr>
        <w:t xml:space="preserve">. </w:t>
      </w:r>
      <w:r>
        <w:rPr>
          <w:rtl w:val="true"/>
        </w:rPr>
        <w:t>כמו כן קיבל בית המשפט ובחן ראיות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שעיקרן מסמכים </w:t>
      </w:r>
      <w:r>
        <w:rPr>
          <w:rtl w:val="true"/>
        </w:rPr>
        <w:t>–</w:t>
      </w:r>
      <w:r>
        <w:rPr>
          <w:rtl w:val="true"/>
        </w:rPr>
        <w:t xml:space="preserve"> כתובים ודיגיטליים </w:t>
      </w:r>
      <w:r>
        <w:rPr>
          <w:rtl w:val="true"/>
        </w:rPr>
        <w:t>–</w:t>
      </w:r>
      <w:r>
        <w:rPr>
          <w:rtl w:val="true"/>
        </w:rPr>
        <w:t xml:space="preserve"> אשר מתעדים פעולות ושיחות שונות הנוגעות לאישומים</w:t>
      </w:r>
      <w:r>
        <w:rPr>
          <w:rtl w:val="true"/>
        </w:rPr>
        <w:t xml:space="preserve">. </w:t>
      </w:r>
      <w:r>
        <w:rPr>
          <w:rtl w:val="true"/>
        </w:rPr>
        <w:t>לצד כל אלה</w:t>
      </w:r>
      <w:r>
        <w:rPr>
          <w:rtl w:val="true"/>
        </w:rPr>
        <w:t xml:space="preserve">, </w:t>
      </w:r>
      <w:r>
        <w:rPr>
          <w:rtl w:val="true"/>
        </w:rPr>
        <w:t>קיבל בית המשפט</w:t>
      </w:r>
      <w:r>
        <w:rPr>
          <w:rtl w:val="true"/>
        </w:rPr>
        <w:t xml:space="preserve">, </w:t>
      </w:r>
      <w:r>
        <w:rPr>
          <w:rtl w:val="true"/>
        </w:rPr>
        <w:t>לאחר דיון מעמיק</w:t>
      </w:r>
      <w:r>
        <w:rPr>
          <w:rtl w:val="true"/>
        </w:rPr>
        <w:t xml:space="preserve">, </w:t>
      </w:r>
      <w:r>
        <w:rPr>
          <w:rtl w:val="true"/>
        </w:rPr>
        <w:t xml:space="preserve">את חוות דעתו של מומחה לאיתור שרידי 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 </w:t>
      </w:r>
      <w:r>
        <w:rPr>
          <w:rtl w:val="true"/>
        </w:rPr>
        <w:t>בדגימות שיער</w:t>
      </w:r>
      <w:r>
        <w:rPr>
          <w:rtl w:val="true"/>
        </w:rPr>
        <w:t xml:space="preserve">. </w:t>
      </w:r>
      <w:r>
        <w:rPr>
          <w:rtl w:val="true"/>
        </w:rPr>
        <w:t>לפי האמור באותה חוות הדעת</w:t>
      </w:r>
      <w:r>
        <w:rPr>
          <w:rtl w:val="true"/>
        </w:rPr>
        <w:t xml:space="preserve">, </w:t>
      </w:r>
      <w:r>
        <w:rPr>
          <w:rtl w:val="true"/>
        </w:rPr>
        <w:t xml:space="preserve">המומחה מצא שרידי 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 </w:t>
      </w:r>
      <w:r>
        <w:rPr>
          <w:rtl w:val="true"/>
        </w:rPr>
        <w:t>בדגימות שיער אשר נלקחו מש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המתלוננת באישום השני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ניתוח הראיות שנעשה על ידי בית משפט קמא העלה מעבר לספק סביר שהמערער ביצע את כל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למעט העבירה של פגיעה בפרטיות בפרשת העוקץ</w:t>
      </w:r>
      <w:r>
        <w:rPr>
          <w:rtl w:val="true"/>
        </w:rPr>
        <w:t xml:space="preserve">. </w:t>
      </w:r>
      <w:r>
        <w:rPr>
          <w:rtl w:val="true"/>
        </w:rPr>
        <w:t>בית המשפט הרשיע אפוא את המערער בכל העבירות שיוחסו לו</w:t>
      </w:r>
      <w:r>
        <w:rPr>
          <w:rtl w:val="true"/>
        </w:rPr>
        <w:t xml:space="preserve">, </w:t>
      </w:r>
      <w:r>
        <w:rPr>
          <w:rtl w:val="true"/>
        </w:rPr>
        <w:t>למעט העבירה של פגיעה בפרטיות מושא האישום השני</w:t>
      </w:r>
      <w:r>
        <w:rPr>
          <w:rtl w:val="true"/>
        </w:rPr>
        <w:t xml:space="preserve">, </w:t>
      </w:r>
      <w:r>
        <w:rPr>
          <w:rtl w:val="true"/>
        </w:rPr>
        <w:t>ממנה זוכה המערער</w:t>
      </w:r>
      <w:r>
        <w:rPr>
          <w:rtl w:val="true"/>
        </w:rPr>
        <w:t xml:space="preserve">. </w:t>
      </w:r>
      <w:r>
        <w:rPr>
          <w:rtl w:val="true"/>
        </w:rPr>
        <w:t>הרשעת המערער בעבירות בהן הוא נמצא אשם התבססה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על התרשמותו הישירה של בית המשפט מעדויותיהן של המתלוננות בכל חמשת האישומים</w:t>
      </w:r>
      <w:r>
        <w:rPr>
          <w:rtl w:val="true"/>
        </w:rPr>
        <w:t xml:space="preserve">,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ומעדותו של המערער מהצד השני</w:t>
      </w:r>
      <w:r>
        <w:rPr>
          <w:rtl w:val="true"/>
        </w:rPr>
        <w:t xml:space="preserve">. </w:t>
      </w:r>
      <w:r>
        <w:rPr>
          <w:rtl w:val="true"/>
        </w:rPr>
        <w:t>בית המשפט מצא את עדויותיהן של המתלוננות</w:t>
      </w:r>
      <w:r>
        <w:rPr>
          <w:rtl w:val="true"/>
        </w:rPr>
        <w:t xml:space="preserve">, </w:t>
      </w:r>
      <w:r>
        <w:rPr>
          <w:rtl w:val="true"/>
        </w:rPr>
        <w:t>שש במספרן</w:t>
      </w:r>
      <w:r>
        <w:rPr>
          <w:rtl w:val="true"/>
        </w:rPr>
        <w:t xml:space="preserve">, </w:t>
      </w:r>
      <w:r>
        <w:rPr>
          <w:rtl w:val="true"/>
        </w:rPr>
        <w:t>אמינות לעילא ולעילא</w:t>
      </w:r>
      <w:r>
        <w:rPr>
          <w:rtl w:val="true"/>
        </w:rPr>
        <w:t xml:space="preserve">, </w:t>
      </w:r>
      <w:r>
        <w:rPr>
          <w:rtl w:val="true"/>
        </w:rPr>
        <w:t>ואילו את עדותו של המערער הוא דחה בשתי ידיו לאחר שמצאהּ מתפתלת</w:t>
      </w:r>
      <w:r>
        <w:rPr>
          <w:rtl w:val="true"/>
        </w:rPr>
        <w:t xml:space="preserve">, </w:t>
      </w:r>
      <w:r>
        <w:rPr>
          <w:rtl w:val="true"/>
        </w:rPr>
        <w:t>מתחמקת</w:t>
      </w:r>
      <w:r>
        <w:rPr>
          <w:rtl w:val="true"/>
        </w:rPr>
        <w:t xml:space="preserve">, </w:t>
      </w:r>
      <w:r>
        <w:rPr>
          <w:rtl w:val="true"/>
        </w:rPr>
        <w:t>כבושה</w:t>
      </w:r>
      <w:r>
        <w:rPr>
          <w:rtl w:val="true"/>
        </w:rPr>
        <w:t xml:space="preserve">, </w:t>
      </w:r>
      <w:r>
        <w:rPr>
          <w:rtl w:val="true"/>
        </w:rPr>
        <w:t>רוויה בסתירות מהותיות</w:t>
      </w:r>
      <w:r>
        <w:rPr>
          <w:rtl w:val="true"/>
        </w:rPr>
        <w:t xml:space="preserve">, </w:t>
      </w:r>
      <w:r>
        <w:rPr>
          <w:rtl w:val="true"/>
        </w:rPr>
        <w:t>ואף מניפולטיבית ושקרית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העדויות שנמסרו על ידי המתלוננות נתמכו בראיות חיצוניות</w:t>
      </w:r>
      <w:r>
        <w:rPr>
          <w:rtl w:val="true"/>
        </w:rPr>
        <w:t xml:space="preserve">. </w:t>
      </w:r>
      <w:r>
        <w:rPr>
          <w:rtl w:val="true"/>
        </w:rPr>
        <w:t>בכל הקשור לפרשת האם והבת</w:t>
      </w:r>
      <w:r>
        <w:rPr>
          <w:rtl w:val="true"/>
        </w:rPr>
        <w:t xml:space="preserve">, </w:t>
      </w:r>
      <w:r>
        <w:rPr>
          <w:rtl w:val="true"/>
        </w:rPr>
        <w:t>ראיות כאמור סופקו על ידי גרושהּ של האם ואביה של הבת אשר העיד על שיחת הטלפון שקיבל מהבת בזמן אמת</w:t>
      </w:r>
      <w:r>
        <w:rPr>
          <w:rtl w:val="true"/>
        </w:rPr>
        <w:t xml:space="preserve">, </w:t>
      </w:r>
      <w:r>
        <w:rPr>
          <w:rtl w:val="true"/>
        </w:rPr>
        <w:t xml:space="preserve">בה סיפרה לו הבת כי היא ואמה נאנסו וכי הן נמצאות בצימר בצפון הארץ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כאשר העד שומע את קולה של גרושתו שנשמעה לו שיכורה או תחת השפעת סמים</w:t>
      </w:r>
      <w:r>
        <w:rPr>
          <w:rtl w:val="true"/>
        </w:rPr>
        <w:t xml:space="preserve">. </w:t>
      </w:r>
      <w:r>
        <w:rPr>
          <w:rtl w:val="true"/>
        </w:rPr>
        <w:t>בעלת הצימר</w:t>
      </w:r>
      <w:r>
        <w:rPr>
          <w:rtl w:val="true"/>
        </w:rPr>
        <w:t xml:space="preserve">, </w:t>
      </w:r>
      <w:r>
        <w:rPr>
          <w:rtl w:val="true"/>
        </w:rPr>
        <w:t xml:space="preserve">אף היא העידה כי ראתה את האם בזמן אמת ושמעה ממנה אמירה </w:t>
      </w:r>
      <w:r>
        <w:rPr>
          <w:rtl w:val="true"/>
        </w:rPr>
        <w:t>"</w:t>
      </w:r>
      <w:r>
        <w:rPr>
          <w:rtl w:val="true"/>
        </w:rPr>
        <w:t>הוא סימם אותי</w:t>
      </w:r>
      <w:r>
        <w:rPr>
          <w:rtl w:val="true"/>
        </w:rPr>
        <w:t xml:space="preserve">, </w:t>
      </w:r>
      <w:r>
        <w:rPr>
          <w:rtl w:val="true"/>
        </w:rPr>
        <w:t>סימם אותי</w:t>
      </w:r>
      <w:r>
        <w:rPr>
          <w:rtl w:val="true"/>
        </w:rPr>
        <w:t xml:space="preserve">", </w:t>
      </w:r>
      <w:r>
        <w:rPr>
          <w:rtl w:val="true"/>
        </w:rPr>
        <w:t xml:space="preserve">כאשר היא </w:t>
      </w:r>
      <w:r>
        <w:rPr>
          <w:rtl w:val="true"/>
        </w:rPr>
        <w:t>–</w:t>
      </w:r>
      <w:r>
        <w:rPr>
          <w:rtl w:val="true"/>
        </w:rPr>
        <w:t xml:space="preserve"> האם </w:t>
      </w:r>
      <w:r>
        <w:rPr>
          <w:rtl w:val="true"/>
        </w:rPr>
        <w:t>–</w:t>
      </w:r>
      <w:r>
        <w:rPr>
          <w:rtl w:val="true"/>
        </w:rPr>
        <w:t xml:space="preserve"> בקושי הולכת</w:t>
      </w:r>
      <w:r>
        <w:rPr>
          <w:rtl w:val="true"/>
        </w:rPr>
        <w:t xml:space="preserve">. </w:t>
      </w:r>
      <w:r>
        <w:rPr>
          <w:rtl w:val="true"/>
        </w:rPr>
        <w:t>עדות דומה נמסרה על ידי חברתה של האם בשם אפרת</w:t>
      </w:r>
      <w:r>
        <w:rPr>
          <w:rtl w:val="true"/>
        </w:rPr>
        <w:t xml:space="preserve">: </w:t>
      </w:r>
      <w:r>
        <w:rPr>
          <w:rtl w:val="true"/>
        </w:rPr>
        <w:t>אפרת העידה כי שוחחה עם הבת אחרי שהבת והאם הגיעו לבית החולים</w:t>
      </w:r>
      <w:r>
        <w:rPr>
          <w:rtl w:val="true"/>
        </w:rPr>
        <w:t xml:space="preserve">; </w:t>
      </w:r>
      <w:r>
        <w:rPr>
          <w:rtl w:val="true"/>
        </w:rPr>
        <w:t>כי הבת סיפרה לה באותה שיחה שהיא ואמה עברו אונס</w:t>
      </w:r>
      <w:r>
        <w:rPr>
          <w:rtl w:val="true"/>
        </w:rPr>
        <w:t xml:space="preserve">; </w:t>
      </w:r>
      <w:r>
        <w:rPr>
          <w:rtl w:val="true"/>
        </w:rPr>
        <w:t xml:space="preserve">וכי כאשר היא </w:t>
      </w:r>
      <w:r>
        <w:rPr>
          <w:rtl w:val="true"/>
        </w:rPr>
        <w:t>–</w:t>
      </w:r>
      <w:r>
        <w:rPr>
          <w:rtl w:val="true"/>
        </w:rPr>
        <w:t xml:space="preserve"> אפרת </w:t>
      </w:r>
      <w:r>
        <w:rPr>
          <w:rtl w:val="true"/>
        </w:rPr>
        <w:t>–</w:t>
      </w:r>
      <w:r>
        <w:rPr>
          <w:rtl w:val="true"/>
        </w:rPr>
        <w:t xml:space="preserve"> שוחחה עם האם</w:t>
      </w:r>
      <w:r>
        <w:rPr>
          <w:rtl w:val="true"/>
        </w:rPr>
        <w:t xml:space="preserve">, </w:t>
      </w:r>
      <w:r>
        <w:rPr>
          <w:rtl w:val="true"/>
        </w:rPr>
        <w:t>האם סיפרה לה כי היא נמצאת בבית החולים</w:t>
      </w:r>
      <w:r>
        <w:rPr>
          <w:rtl w:val="true"/>
        </w:rPr>
        <w:t xml:space="preserve">, </w:t>
      </w:r>
      <w:r>
        <w:rPr>
          <w:rtl w:val="true"/>
        </w:rPr>
        <w:t>עייפה</w:t>
      </w:r>
      <w:r>
        <w:rPr>
          <w:rtl w:val="true"/>
        </w:rPr>
        <w:t xml:space="preserve">, </w:t>
      </w:r>
      <w:r>
        <w:rPr>
          <w:rtl w:val="true"/>
        </w:rPr>
        <w:t>מטושטשת וללא יכולת לדבר</w:t>
      </w:r>
      <w:r>
        <w:rPr>
          <w:rtl w:val="true"/>
        </w:rPr>
        <w:t xml:space="preserve">.  </w:t>
      </w:r>
      <w:r>
        <w:rPr>
          <w:rtl w:val="true"/>
        </w:rPr>
        <w:t>העדויות שמסרו האם והבת נתמכו גם על ידי עדים נוספים</w:t>
      </w:r>
      <w:r>
        <w:rPr>
          <w:rtl w:val="true"/>
        </w:rPr>
        <w:t xml:space="preserve">; </w:t>
      </w:r>
      <w:r>
        <w:rPr>
          <w:rtl w:val="true"/>
        </w:rPr>
        <w:t>ודי אם אציין את עדותו של איש מגן דוד אדום</w:t>
      </w:r>
      <w:r>
        <w:rPr>
          <w:rtl w:val="true"/>
        </w:rPr>
        <w:t xml:space="preserve">, </w:t>
      </w:r>
      <w:r>
        <w:rPr>
          <w:rtl w:val="true"/>
        </w:rPr>
        <w:t>זינאת פארס</w:t>
      </w:r>
      <w:r>
        <w:rPr>
          <w:rtl w:val="true"/>
        </w:rPr>
        <w:t xml:space="preserve">, </w:t>
      </w:r>
      <w:r>
        <w:rPr>
          <w:rtl w:val="true"/>
        </w:rPr>
        <w:t>ואת דו</w:t>
      </w:r>
      <w:r>
        <w:rPr>
          <w:rtl w:val="true"/>
        </w:rPr>
        <w:t>"</w:t>
      </w:r>
      <w:r>
        <w:rPr>
          <w:rtl w:val="true"/>
        </w:rPr>
        <w:t xml:space="preserve">ח האירוע שעד זה ערך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אשר הוגש לתיק בית המשפט ללא התנגדות</w:t>
      </w:r>
      <w:r>
        <w:rPr>
          <w:rtl w:val="true"/>
        </w:rPr>
        <w:t xml:space="preserve">.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זה מתאר את מצבן של האם והבת ומספר כי האם מגמגמת ואילו הבת מתלוננת על סחרחורת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אמרותיהן של האם והבת על אודות מצבן </w:t>
      </w:r>
      <w:r>
        <w:rPr>
          <w:rtl w:val="true"/>
        </w:rPr>
        <w:t>–</w:t>
      </w:r>
      <w:r>
        <w:rPr>
          <w:rtl w:val="true"/>
        </w:rPr>
        <w:t xml:space="preserve"> אשר נאמרו מחוץ לכותלי בית המשפט בסמוך לאירוע הטראומטי שעברו ועליו דיווחו </w:t>
      </w:r>
      <w:r>
        <w:rPr>
          <w:rtl w:val="true"/>
        </w:rPr>
        <w:t>–</w:t>
      </w:r>
      <w:r>
        <w:rPr>
          <w:rtl w:val="true"/>
        </w:rPr>
        <w:t xml:space="preserve"> קבילות כראיה לאמיתות תוכנן במסגרתם של </w:t>
      </w:r>
      <w:hyperlink r:id="rId6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3"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6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פקודת הראיות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], </w:t>
      </w:r>
      <w:r>
        <w:rPr>
          <w:rFonts w:ascii="Times New Roman" w:hAnsi="Times New Roman" w:cs="Times New Roman"/>
          <w:rtl w:val="true"/>
        </w:rPr>
        <w:t>התשל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1971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פקודת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Times New Roman" w:hAnsi="Times New Roman" w:cs="Times New Roman"/>
          <w:rtl w:val="true"/>
        </w:rPr>
        <w:t>מכאן</w:t>
      </w:r>
      <w:r>
        <w:rPr>
          <w:rtl w:val="true"/>
        </w:rPr>
        <w:t xml:space="preserve"> לפרשת העוקץ</w:t>
      </w:r>
      <w:r>
        <w:rPr>
          <w:rtl w:val="true"/>
        </w:rPr>
        <w:t xml:space="preserve">. </w:t>
      </w:r>
      <w:r>
        <w:rPr>
          <w:rtl w:val="true"/>
        </w:rPr>
        <w:t>עדותה של ש</w:t>
      </w:r>
      <w:r>
        <w:rPr>
          <w:rtl w:val="true"/>
        </w:rPr>
        <w:t xml:space="preserve">', </w:t>
      </w:r>
      <w:r>
        <w:rPr>
          <w:rtl w:val="true"/>
        </w:rPr>
        <w:t>המתלוננת בפרשה זו</w:t>
      </w:r>
      <w:r>
        <w:rPr>
          <w:rtl w:val="true"/>
        </w:rPr>
        <w:t xml:space="preserve">, </w:t>
      </w:r>
      <w:r>
        <w:rPr>
          <w:rtl w:val="true"/>
        </w:rPr>
        <w:t xml:space="preserve">אף היא נמצאה אמינה לעילא ולעילא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למרות כמה אי</w:t>
      </w:r>
      <w:r>
        <w:rPr>
          <w:rtl w:val="true"/>
        </w:rPr>
        <w:t>-</w:t>
      </w:r>
      <w:r>
        <w:rPr>
          <w:rtl w:val="true"/>
        </w:rPr>
        <w:t>התאמות שנפלו בה</w:t>
      </w:r>
      <w:r>
        <w:rPr>
          <w:rtl w:val="true"/>
        </w:rPr>
        <w:t xml:space="preserve">, </w:t>
      </w:r>
      <w:r>
        <w:rPr>
          <w:rtl w:val="true"/>
        </w:rPr>
        <w:t>אשר נמצאו בלתי מהותיות וקיבלו הסבר משכנע</w:t>
      </w:r>
      <w:r>
        <w:rPr>
          <w:rtl w:val="true"/>
        </w:rPr>
        <w:t xml:space="preserve">. </w:t>
      </w:r>
      <w:r>
        <w:rPr>
          <w:rtl w:val="true"/>
        </w:rPr>
        <w:t>נקבע כי אי</w:t>
      </w:r>
      <w:r>
        <w:rPr>
          <w:rtl w:val="true"/>
        </w:rPr>
        <w:t>-</w:t>
      </w:r>
      <w:r>
        <w:rPr>
          <w:rtl w:val="true"/>
        </w:rPr>
        <w:t>התאמות אלה נבעו בחלקן מאובדן זיכרון ובחלקן האחר</w:t>
      </w:r>
      <w:r>
        <w:rPr>
          <w:rtl w:val="true"/>
        </w:rPr>
        <w:t xml:space="preserve">, </w:t>
      </w:r>
      <w:r>
        <w:rPr>
          <w:rtl w:val="true"/>
        </w:rPr>
        <w:t>מרצונה של ש</w:t>
      </w:r>
      <w:r>
        <w:rPr>
          <w:rtl w:val="true"/>
        </w:rPr>
        <w:t xml:space="preserve">' </w:t>
      </w:r>
      <w:r>
        <w:rPr>
          <w:rtl w:val="true"/>
        </w:rPr>
        <w:t>לשמור בסוד את פרטי יחסיה עם המערער</w:t>
      </w:r>
      <w:r>
        <w:rPr>
          <w:rtl w:val="true"/>
        </w:rPr>
        <w:t xml:space="preserve">, </w:t>
      </w:r>
      <w:r>
        <w:rPr>
          <w:rtl w:val="true"/>
        </w:rPr>
        <w:t>שכאמור הסתיימו בסחיטה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בסימומהּ</w:t>
      </w:r>
      <w:r>
        <w:rPr>
          <w:rtl w:val="true"/>
        </w:rPr>
        <w:t xml:space="preserve">, </w:t>
      </w:r>
      <w:r>
        <w:rPr>
          <w:rtl w:val="true"/>
        </w:rPr>
        <w:t>באובדן ממונה</w:t>
      </w:r>
      <w:r>
        <w:rPr>
          <w:rtl w:val="true"/>
        </w:rPr>
        <w:t xml:space="preserve">, </w:t>
      </w:r>
      <w:r>
        <w:rPr>
          <w:rtl w:val="true"/>
        </w:rPr>
        <w:t>ובמפח הנפש הקשה שסבלה</w:t>
      </w:r>
      <w:r>
        <w:rPr>
          <w:rtl w:val="true"/>
        </w:rPr>
        <w:t xml:space="preserve">. </w:t>
      </w:r>
      <w:r>
        <w:rPr>
          <w:rtl w:val="true"/>
        </w:rPr>
        <w:t>בית המשפט אף הדגיש וציין ביחס לש</w:t>
      </w:r>
      <w:r>
        <w:rPr>
          <w:rtl w:val="true"/>
        </w:rPr>
        <w:t xml:space="preserve">'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 xml:space="preserve">על אף כל האי נעימות שהיתה כרוכה בעדותה </w:t>
      </w:r>
      <w:r>
        <w:rPr>
          <w:rtl w:val="true"/>
        </w:rPr>
        <w:t xml:space="preserve">[...] </w:t>
      </w:r>
      <w:r>
        <w:rPr>
          <w:rtl w:val="true"/>
        </w:rPr>
        <w:t>היא השיבה לכל השאלות בכנות והותירה רושם מהימן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931</w:t>
      </w:r>
      <w:r>
        <w:rPr>
          <w:rtl w:val="true"/>
        </w:rPr>
        <w:t xml:space="preserve"> </w:t>
      </w:r>
      <w:r>
        <w:rPr>
          <w:rtl w:val="true"/>
        </w:rPr>
        <w:t>לפסק הדין קמא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עדות זאת נתמכה בראיות חיצוניות</w:t>
      </w:r>
      <w:r>
        <w:rPr>
          <w:rtl w:val="true"/>
        </w:rPr>
        <w:t xml:space="preserve">, </w:t>
      </w:r>
      <w:r>
        <w:rPr>
          <w:rtl w:val="true"/>
        </w:rPr>
        <w:t>אשר כללו את התכתבותה של ש</w:t>
      </w:r>
      <w:r>
        <w:rPr>
          <w:rtl w:val="true"/>
        </w:rPr>
        <w:t xml:space="preserve">' </w:t>
      </w:r>
      <w:r>
        <w:rPr>
          <w:rtl w:val="true"/>
        </w:rPr>
        <w:t xml:space="preserve">עם המערער שנוהלה באמצעות מכשירי טלפון סלולריים והאפליקציות שהותקנו בהם </w:t>
      </w:r>
      <w:r>
        <w:rPr>
          <w:rtl w:val="true"/>
        </w:rPr>
        <w:t>–</w:t>
      </w:r>
      <w:r>
        <w:rPr>
          <w:rtl w:val="true"/>
        </w:rPr>
        <w:t xml:space="preserve"> התכתבות אשר מלמדת על כך שהמערער תכנן את מבצע העוקץ בקפידה</w:t>
      </w:r>
      <w:r>
        <w:rPr>
          <w:rtl w:val="true"/>
        </w:rPr>
        <w:t xml:space="preserve">. </w:t>
      </w:r>
      <w:r>
        <w:rPr>
          <w:rtl w:val="true"/>
        </w:rPr>
        <w:t>בהתכתבויות אלה</w:t>
      </w:r>
      <w:r>
        <w:rPr>
          <w:rtl w:val="true"/>
        </w:rPr>
        <w:t xml:space="preserve">, </w:t>
      </w:r>
      <w:r>
        <w:rPr>
          <w:rtl w:val="true"/>
        </w:rPr>
        <w:t xml:space="preserve">ניסה המערער </w:t>
      </w:r>
      <w:r>
        <w:rPr>
          <w:rtl w:val="true"/>
        </w:rPr>
        <w:t>–</w:t>
      </w:r>
      <w:r>
        <w:rPr>
          <w:rtl w:val="true"/>
        </w:rPr>
        <w:t xml:space="preserve"> והצליח </w:t>
      </w:r>
      <w:r>
        <w:rPr>
          <w:rtl w:val="true"/>
        </w:rPr>
        <w:t>–</w:t>
      </w:r>
      <w:r>
        <w:rPr>
          <w:rtl w:val="true"/>
        </w:rPr>
        <w:t xml:space="preserve"> לזרוע פחד ואימה אצל ש</w:t>
      </w:r>
      <w:r>
        <w:rPr>
          <w:rtl w:val="true"/>
        </w:rPr>
        <w:t xml:space="preserve">' </w:t>
      </w:r>
      <w:r>
        <w:rPr>
          <w:rtl w:val="true"/>
        </w:rPr>
        <w:t>כאשר שיתף אותה בסיפורים על אנשים שנפלו קורבן למעשי סחיטה דומים</w:t>
      </w:r>
      <w:r>
        <w:rPr>
          <w:rtl w:val="true"/>
        </w:rPr>
        <w:t xml:space="preserve">. </w:t>
      </w:r>
      <w:r>
        <w:rPr>
          <w:rtl w:val="true"/>
        </w:rPr>
        <w:t>כמו כן הציג המערער בפני ש</w:t>
      </w:r>
      <w:r>
        <w:rPr>
          <w:rtl w:val="true"/>
        </w:rPr>
        <w:t xml:space="preserve">' </w:t>
      </w:r>
      <w:r>
        <w:rPr>
          <w:rtl w:val="true"/>
        </w:rPr>
        <w:t>מצג שקרי לפיו הוא כבר שילם את חלקו בדמי הסחיטה לנהג מונית בצומת טורעאן</w:t>
      </w:r>
      <w:r>
        <w:rPr>
          <w:rtl w:val="true"/>
        </w:rPr>
        <w:t xml:space="preserve">. </w:t>
      </w:r>
      <w:r>
        <w:rPr>
          <w:rtl w:val="true"/>
        </w:rPr>
        <w:t>עדויות תמיכה כאמור כללו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עדותה של ר</w:t>
      </w:r>
      <w:r>
        <w:rPr>
          <w:rtl w:val="true"/>
        </w:rPr>
        <w:t xml:space="preserve">', </w:t>
      </w:r>
      <w:r>
        <w:rPr>
          <w:rtl w:val="true"/>
        </w:rPr>
        <w:t>אחותה של ש</w:t>
      </w:r>
      <w:r>
        <w:rPr>
          <w:rtl w:val="true"/>
        </w:rPr>
        <w:t xml:space="preserve">' </w:t>
      </w:r>
      <w:r>
        <w:rPr>
          <w:rtl w:val="true"/>
        </w:rPr>
        <w:t>אשר תיארה את מצבה של ש</w:t>
      </w:r>
      <w:r>
        <w:rPr>
          <w:rtl w:val="true"/>
        </w:rPr>
        <w:t xml:space="preserve">' </w:t>
      </w:r>
      <w:r>
        <w:rPr>
          <w:rtl w:val="true"/>
        </w:rPr>
        <w:t>כשזו הגיעה לביתה כ</w:t>
      </w:r>
      <w:r>
        <w:rPr>
          <w:rtl w:val="true"/>
        </w:rPr>
        <w:t>"</w:t>
      </w:r>
      <w:r>
        <w:rPr>
          <w:rtl w:val="true"/>
        </w:rPr>
        <w:t>זומבי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החיזוק העיקרי לעדותה של ש</w:t>
      </w:r>
      <w:r>
        <w:rPr>
          <w:rtl w:val="true"/>
        </w:rPr>
        <w:t xml:space="preserve">' </w:t>
      </w:r>
      <w:r>
        <w:rPr>
          <w:rtl w:val="true"/>
        </w:rPr>
        <w:t>מצוי במחקרי התקשורת ובאיכונים אשר קשרו את הודעות הסחיטה ששוגרו לטלפון של ש</w:t>
      </w:r>
      <w:r>
        <w:rPr>
          <w:rtl w:val="true"/>
        </w:rPr>
        <w:t xml:space="preserve">' </w:t>
      </w:r>
      <w:r>
        <w:rPr>
          <w:rtl w:val="true"/>
        </w:rPr>
        <w:t xml:space="preserve">לכרטיס </w:t>
      </w:r>
      <w:r>
        <w:rPr>
          <w:rFonts w:cs="Times New Roman" w:ascii="Times New Roman" w:hAnsi="Times New Roman"/>
        </w:rPr>
        <w:t>SIM</w:t>
      </w:r>
      <w:r>
        <w:rPr>
          <w:rtl w:val="true"/>
        </w:rPr>
        <w:t xml:space="preserve"> </w:t>
      </w:r>
      <w:r>
        <w:rPr>
          <w:rtl w:val="true"/>
        </w:rPr>
        <w:t>אשר הותקן במכשיר הטלפון הנייד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שהינו בעל שתי מגירות </w:t>
      </w:r>
      <w:r>
        <w:rPr>
          <w:rFonts w:cs="Times New Roman" w:ascii="Times New Roman" w:hAnsi="Times New Roman"/>
        </w:rPr>
        <w:t>SIM</w:t>
      </w:r>
      <w:r>
        <w:rPr>
          <w:rtl w:val="true"/>
        </w:rPr>
        <w:t xml:space="preserve"> </w:t>
      </w:r>
      <w:r>
        <w:rPr>
          <w:rtl w:val="true"/>
        </w:rPr>
        <w:t xml:space="preserve">ושני מספרי </w:t>
      </w:r>
      <w:r>
        <w:rPr>
          <w:rFonts w:cs="Times New Roman" w:ascii="Times New Roman" w:hAnsi="Times New Roman"/>
        </w:rPr>
        <w:t>IMEI</w:t>
      </w:r>
      <w:r>
        <w:rPr/>
        <w:t xml:space="preserve"> (</w:t>
      </w:r>
      <w:r>
        <w:rPr>
          <w:rFonts w:cs="Times New Roman" w:ascii="Times New Roman" w:hAnsi="Times New Roman"/>
        </w:rPr>
        <w:t>international mobile equipment identity</w:t>
      </w:r>
      <w:r>
        <w:rPr/>
        <w:t>)</w:t>
      </w:r>
      <w:r>
        <w:rPr>
          <w:rtl w:val="true"/>
        </w:rPr>
        <w:t xml:space="preserve">.  </w:t>
      </w:r>
      <w:r>
        <w:rPr>
          <w:rtl w:val="true"/>
        </w:rPr>
        <w:t>זיקה חד</w:t>
      </w:r>
      <w:r>
        <w:rPr>
          <w:rtl w:val="true"/>
        </w:rPr>
        <w:t>-</w:t>
      </w:r>
      <w:r>
        <w:rPr>
          <w:rtl w:val="true"/>
        </w:rPr>
        <w:t>משמעית זו הוכחה בעדותם של רס</w:t>
      </w:r>
      <w:r>
        <w:rPr>
          <w:rtl w:val="true"/>
        </w:rPr>
        <w:t>"</w:t>
      </w:r>
      <w:r>
        <w:rPr>
          <w:rtl w:val="true"/>
        </w:rPr>
        <w:t>ב צ</w:t>
      </w:r>
      <w:r>
        <w:rPr>
          <w:rtl w:val="true"/>
        </w:rPr>
        <w:t xml:space="preserve">' </w:t>
      </w:r>
      <w:r>
        <w:rPr>
          <w:rtl w:val="true"/>
        </w:rPr>
        <w:t>שמו ורס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 xml:space="preserve">' </w:t>
      </w:r>
      <w:r>
        <w:rPr>
          <w:rtl w:val="true"/>
        </w:rPr>
        <w:t xml:space="preserve">סרחאן </w:t>
      </w:r>
      <w:r>
        <w:rPr>
          <w:rtl w:val="true"/>
        </w:rPr>
        <w:t>–</w:t>
      </w:r>
      <w:r>
        <w:rPr>
          <w:rtl w:val="true"/>
        </w:rPr>
        <w:t xml:space="preserve"> אנשי משטרה אשר נחקרו ארוכות בפני בית משפט קמא ודבריהם נמצאו אמינים ללא רבב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לראיות אלה מתווספות עדויותיהם של מוכרי המכוניות שנרכשו על ידי מערער</w:t>
      </w:r>
      <w:r>
        <w:rPr>
          <w:rtl w:val="true"/>
        </w:rPr>
        <w:t xml:space="preserve">. </w:t>
      </w:r>
      <w:r>
        <w:rPr>
          <w:rtl w:val="true"/>
        </w:rPr>
        <w:t>עדים אלה העידו שקיבלו מהמערער</w:t>
      </w:r>
      <w:r>
        <w:rPr>
          <w:rtl w:val="true"/>
        </w:rPr>
        <w:t xml:space="preserve">, </w:t>
      </w:r>
      <w:r>
        <w:rPr>
          <w:rtl w:val="true"/>
        </w:rPr>
        <w:t>עבור מכוניותיהם</w:t>
      </w:r>
      <w:r>
        <w:rPr>
          <w:rtl w:val="true"/>
        </w:rPr>
        <w:t xml:space="preserve">, </w:t>
      </w:r>
      <w:r>
        <w:rPr>
          <w:rtl w:val="true"/>
        </w:rPr>
        <w:t xml:space="preserve">סך כולל של </w:t>
      </w:r>
      <w:r>
        <w:rPr/>
        <w:t>103,000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במזומנים במועדים שהיו סמוכים מאד למועד בו העבירה ש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סוחטים מטורעאן</w:t>
      </w:r>
      <w:r>
        <w:rPr>
          <w:rtl w:val="true"/>
        </w:rPr>
        <w:t xml:space="preserve">", </w:t>
      </w:r>
      <w:r>
        <w:rPr>
          <w:rtl w:val="true"/>
        </w:rPr>
        <w:t xml:space="preserve">לפי אמונתה דאז </w:t>
      </w:r>
      <w:r>
        <w:rPr>
          <w:rtl w:val="true"/>
        </w:rPr>
        <w:t>–</w:t>
      </w:r>
      <w:r>
        <w:rPr>
          <w:rtl w:val="true"/>
        </w:rPr>
        <w:t xml:space="preserve"> את דמי הסחיטה שכאמור הסתכמו בסך של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במזומנים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הודעות הסחיטה שנשלחו לטלפון של ש</w:t>
      </w:r>
      <w:r>
        <w:rPr>
          <w:rtl w:val="true"/>
        </w:rPr>
        <w:t xml:space="preserve">' </w:t>
      </w:r>
      <w:r>
        <w:rPr>
          <w:rtl w:val="true"/>
        </w:rPr>
        <w:t>נפסקו עם מעצרו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שכבר צוין על ידי</w:t>
      </w:r>
      <w:r>
        <w:rPr>
          <w:rtl w:val="true"/>
        </w:rPr>
        <w:t xml:space="preserve">, </w:t>
      </w:r>
      <w:r>
        <w:rPr>
          <w:rtl w:val="true"/>
        </w:rPr>
        <w:t>לצד כל הראיות האלה</w:t>
      </w:r>
      <w:r>
        <w:rPr>
          <w:rtl w:val="true"/>
        </w:rPr>
        <w:t xml:space="preserve">, </w:t>
      </w:r>
      <w:r>
        <w:rPr>
          <w:rtl w:val="true"/>
        </w:rPr>
        <w:t xml:space="preserve">קיבל בית משפט קמא כראיה את חוות דעתו של מומחה לאיתור שרידי 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 </w:t>
      </w:r>
      <w:r>
        <w:rPr>
          <w:rtl w:val="true"/>
        </w:rPr>
        <w:t xml:space="preserve">בדגימות שיער אשר קבעה את הימצאותם של שרידי 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 </w:t>
      </w:r>
      <w:r>
        <w:rPr>
          <w:rtl w:val="true"/>
        </w:rPr>
        <w:t>בדגימות שיער אשר נלקחו מש</w:t>
      </w:r>
      <w:r>
        <w:rPr>
          <w:rtl w:val="true"/>
        </w:rPr>
        <w:t xml:space="preserve">'. </w:t>
      </w:r>
      <w:r>
        <w:rPr>
          <w:rtl w:val="true"/>
        </w:rPr>
        <w:t>מומחה זה</w:t>
      </w:r>
      <w:r>
        <w:rPr>
          <w:rtl w:val="true"/>
        </w:rPr>
        <w:t xml:space="preserve">,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טליארו מאיטליה</w:t>
      </w:r>
      <w:r>
        <w:rPr>
          <w:rtl w:val="true"/>
        </w:rPr>
        <w:t xml:space="preserve">, </w:t>
      </w:r>
      <w:r>
        <w:rPr>
          <w:rtl w:val="true"/>
        </w:rPr>
        <w:t>הציג בחוות דעתו זו את פרטי הבדיקה המדעית שערך</w:t>
      </w:r>
      <w:r>
        <w:rPr>
          <w:rtl w:val="true"/>
        </w:rPr>
        <w:t xml:space="preserve">. </w:t>
      </w:r>
      <w:r>
        <w:rPr>
          <w:rtl w:val="true"/>
        </w:rPr>
        <w:t>מדובר בבדיקה חדשנית שטרם עמדה לדיון בהליך פלילי בישראל</w:t>
      </w:r>
      <w:r>
        <w:rPr>
          <w:rtl w:val="true"/>
        </w:rPr>
        <w:t xml:space="preserve">. </w:t>
      </w:r>
      <w:r>
        <w:rPr>
          <w:rtl w:val="true"/>
        </w:rPr>
        <w:t>בשל כך הקדיש בית משפט קמא לא מעט עמודים מפסק דינו לדיון בקבילותה ובמשקלה של חוות דעת זו כראיה</w:t>
      </w:r>
      <w:r>
        <w:rPr>
          <w:rtl w:val="true"/>
        </w:rPr>
        <w:t xml:space="preserve">. </w:t>
      </w:r>
      <w:r>
        <w:rPr>
          <w:rtl w:val="true"/>
        </w:rPr>
        <w:t>איני רואה סיבה לסכם את האמור בפסק הדין קמא בעניינן של חוות הדעת והבדיקה שערך המומחה</w:t>
      </w:r>
      <w:r>
        <w:rPr>
          <w:rtl w:val="true"/>
        </w:rPr>
        <w:t xml:space="preserve">,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 xml:space="preserve">טליארו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מאחר שממצאיהן אינם נחוצים להכרעה בערעור</w:t>
      </w:r>
      <w:r>
        <w:rPr>
          <w:rtl w:val="true"/>
        </w:rPr>
        <w:t xml:space="preserve">; </w:t>
      </w:r>
      <w:r>
        <w:rPr>
          <w:rtl w:val="true"/>
        </w:rPr>
        <w:t>ועל כך עוד ידובר בהמשך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אסיים את סקירתה של הכרעת הדין קמא בעניינה של פרשת העוקץ בציון ראיות חד</w:t>
      </w:r>
      <w:r>
        <w:rPr>
          <w:rtl w:val="true"/>
        </w:rPr>
        <w:t>-</w:t>
      </w:r>
      <w:r>
        <w:rPr>
          <w:rtl w:val="true"/>
        </w:rPr>
        <w:t>משמעיות אשר הצביעו על מצבו הכלכלי הירוד של המערער</w:t>
      </w:r>
      <w:r>
        <w:rPr>
          <w:rtl w:val="true"/>
        </w:rPr>
        <w:t xml:space="preserve">, </w:t>
      </w:r>
      <w:r>
        <w:rPr>
          <w:rtl w:val="true"/>
        </w:rPr>
        <w:t>אשר התקשה לממן את הצרכים הבסיסיים שלו ושל משפחתו</w:t>
      </w:r>
      <w:r>
        <w:rPr>
          <w:rtl w:val="true"/>
        </w:rPr>
        <w:t xml:space="preserve">. </w:t>
      </w:r>
      <w:r>
        <w:rPr>
          <w:rtl w:val="true"/>
        </w:rPr>
        <w:t xml:space="preserve">דבר זה עומד בסתירה להסבר שהמערער ביקש לתת לכך שהחזיק </w:t>
      </w:r>
      <w:r>
        <w:rPr/>
        <w:t>103,000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במזומנים כחיסכון לרכישת מכוניות</w:t>
      </w:r>
      <w:r>
        <w:rPr>
          <w:rtl w:val="true"/>
        </w:rPr>
        <w:t xml:space="preserve">. </w:t>
      </w:r>
      <w:r>
        <w:rPr>
          <w:rtl w:val="true"/>
        </w:rPr>
        <w:t>כמו כן אציין את סיפורה הבלתי אמין של עדת המערער בשם אביבה</w:t>
      </w:r>
      <w:r>
        <w:rPr>
          <w:rtl w:val="true"/>
        </w:rPr>
        <w:t xml:space="preserve">, </w:t>
      </w:r>
      <w:r>
        <w:rPr>
          <w:rtl w:val="true"/>
        </w:rPr>
        <w:t xml:space="preserve">אשר סיפרה לבית משפט קמא כי שילמה למערער </w:t>
      </w:r>
      <w:r>
        <w:rPr/>
        <w:t>42,000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–</w:t>
      </w:r>
      <w:r>
        <w:rPr>
          <w:rtl w:val="true"/>
        </w:rPr>
        <w:t xml:space="preserve"> מתוכם </w:t>
      </w:r>
      <w:r>
        <w:rPr/>
        <w:t>32,000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במזומנים </w:t>
      </w:r>
      <w:r>
        <w:rPr>
          <w:rtl w:val="true"/>
        </w:rPr>
        <w:t>–</w:t>
      </w:r>
      <w:r>
        <w:rPr>
          <w:rtl w:val="true"/>
        </w:rPr>
        <w:t xml:space="preserve"> כמקדמת התשלום בעד שיפוץ דירתה</w:t>
      </w:r>
      <w:r>
        <w:rPr>
          <w:rtl w:val="true"/>
        </w:rPr>
        <w:t xml:space="preserve">, </w:t>
      </w:r>
      <w:r>
        <w:rPr>
          <w:rtl w:val="true"/>
        </w:rPr>
        <w:t>ללא קבלות</w:t>
      </w:r>
      <w:r>
        <w:rPr>
          <w:rtl w:val="true"/>
        </w:rPr>
        <w:t xml:space="preserve">, </w:t>
      </w:r>
      <w:r>
        <w:rPr>
          <w:rtl w:val="true"/>
        </w:rPr>
        <w:t>ללא הסכם כתוב</w:t>
      </w:r>
      <w:r>
        <w:rPr>
          <w:rtl w:val="true"/>
        </w:rPr>
        <w:t xml:space="preserve">, </w:t>
      </w:r>
      <w:r>
        <w:rPr>
          <w:rtl w:val="true"/>
        </w:rPr>
        <w:t>וללא כל אסמכתא אחרת המאפיינת יחסים רגילים שבין קבלן למזמין עבודתו</w:t>
      </w:r>
      <w:r>
        <w:rPr>
          <w:rtl w:val="true"/>
        </w:rPr>
        <w:t xml:space="preserve">. </w:t>
      </w:r>
      <w:r>
        <w:rPr>
          <w:rtl w:val="true"/>
        </w:rPr>
        <w:t>כפי שציין בית משפט קמא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הסכום של </w:t>
      </w:r>
      <w:r>
        <w:rPr/>
        <w:t>32,000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שכביכול שולם על ידי עדה זאת למערער</w:t>
      </w:r>
      <w:r>
        <w:rPr>
          <w:rtl w:val="true"/>
        </w:rPr>
        <w:t xml:space="preserve">, </w:t>
      </w:r>
      <w:r>
        <w:rPr>
          <w:rtl w:val="true"/>
        </w:rPr>
        <w:t xml:space="preserve">ממילא אינו יכול להסביר כיצד אדם שחי בצמצום רב מחזיק בידו </w:t>
      </w:r>
      <w:r>
        <w:rPr/>
        <w:t>103,000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במזומנים וקונה בכסף זה מכוניות משומשות בשעה שהוא ומשפחתו </w:t>
      </w:r>
      <w:r>
        <w:rPr>
          <w:rtl w:val="true"/>
        </w:rPr>
        <w:t>"</w:t>
      </w:r>
      <w:r>
        <w:rPr>
          <w:rtl w:val="true"/>
        </w:rPr>
        <w:t>לא גומרים את החודש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[</w:t>
      </w:r>
      <w:r>
        <w:rPr>
          <w:rtl w:val="true"/>
        </w:rPr>
        <w:t>פסקה זו מתארת את החלטתו של בית משפט קמא לזכות את המערער</w:t>
      </w:r>
      <w:r>
        <w:rPr>
          <w:rtl w:val="true"/>
        </w:rPr>
        <w:t xml:space="preserve">, </w:t>
      </w:r>
      <w:r>
        <w:rPr>
          <w:rtl w:val="true"/>
        </w:rPr>
        <w:t>מחמת הספק</w:t>
      </w:r>
      <w:r>
        <w:rPr>
          <w:rtl w:val="true"/>
        </w:rPr>
        <w:t xml:space="preserve">, </w:t>
      </w:r>
      <w:r>
        <w:rPr>
          <w:rtl w:val="true"/>
        </w:rPr>
        <w:t xml:space="preserve">מעבירה לפי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>.]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לפרשת הטרמפיסטית</w:t>
      </w:r>
      <w:r>
        <w:rPr>
          <w:rtl w:val="true"/>
        </w:rPr>
        <w:t xml:space="preserve">. </w:t>
      </w:r>
      <w:r>
        <w:rPr>
          <w:rtl w:val="true"/>
        </w:rPr>
        <w:t>המתלוננת בפרשה זו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 xml:space="preserve">הותירה אצל בית משפט קמא רושם אמין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הן בזכות עדותה</w:t>
      </w:r>
      <w:r>
        <w:rPr>
          <w:rtl w:val="true"/>
        </w:rPr>
        <w:t>-</w:t>
      </w:r>
      <w:r>
        <w:rPr>
          <w:rtl w:val="true"/>
        </w:rPr>
        <w:t>שלה והן לנוכח קיומו של חיזוק משמעותי לעדות זו בדברי חברתה של המתלוננת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'. </w:t>
      </w:r>
      <w:r>
        <w:rPr>
          <w:rtl w:val="true"/>
        </w:rPr>
        <w:t>חברה זו העידה כי ראתה את המתלוננת זמן קצר יחסית אחרי שזו נפרדה מהמערער בהגיעם לנהריה</w:t>
      </w:r>
      <w:r>
        <w:rPr>
          <w:rtl w:val="true"/>
        </w:rPr>
        <w:t xml:space="preserve">. </w:t>
      </w:r>
      <w:r>
        <w:rPr>
          <w:rtl w:val="true"/>
        </w:rPr>
        <w:t>לדברי החברה</w:t>
      </w:r>
      <w:r>
        <w:rPr>
          <w:rtl w:val="true"/>
        </w:rPr>
        <w:t xml:space="preserve">, </w:t>
      </w:r>
      <w:r>
        <w:rPr>
          <w:rtl w:val="true"/>
        </w:rPr>
        <w:t>המתלוננת נראתה מפוחדת ולחוצה</w:t>
      </w:r>
      <w:r>
        <w:rPr>
          <w:rtl w:val="true"/>
        </w:rPr>
        <w:t xml:space="preserve">; </w:t>
      </w:r>
      <w:r>
        <w:rPr>
          <w:rtl w:val="true"/>
        </w:rPr>
        <w:t>סיפרה לה על הגרגרים הכחולים שראתה בכוס השתייה שהוגשה לה על ידי המערער</w:t>
      </w:r>
      <w:r>
        <w:rPr>
          <w:rtl w:val="true"/>
        </w:rPr>
        <w:t xml:space="preserve">; </w:t>
      </w:r>
      <w:r>
        <w:rPr>
          <w:rtl w:val="true"/>
        </w:rPr>
        <w:t>אמרה לה כי הרגישה מוזר</w:t>
      </w:r>
      <w:r>
        <w:rPr>
          <w:rtl w:val="true"/>
        </w:rPr>
        <w:t xml:space="preserve">; </w:t>
      </w:r>
      <w:r>
        <w:rPr>
          <w:rtl w:val="true"/>
        </w:rPr>
        <w:t>ושיתפה אותה בחששה שהמערער ניסה לסמם אותה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סיפרה המתלוננת לחברתה כי היא השתמשה בכוס השתייה שקיבלה מהמערער כמאפרה כדי שפחדה מהמצב</w:t>
      </w:r>
      <w:r>
        <w:rPr>
          <w:rtl w:val="true"/>
        </w:rPr>
        <w:t xml:space="preserve">, </w:t>
      </w:r>
      <w:r>
        <w:rPr>
          <w:rtl w:val="true"/>
        </w:rPr>
        <w:t>אליו נקלעה שלא בטובתה</w:t>
      </w:r>
      <w:r>
        <w:rPr>
          <w:rtl w:val="true"/>
        </w:rPr>
        <w:t xml:space="preserve">, </w:t>
      </w:r>
      <w:r>
        <w:rPr>
          <w:rtl w:val="true"/>
        </w:rPr>
        <w:t>לא יורגש</w:t>
      </w:r>
      <w:r>
        <w:rPr>
          <w:rtl w:val="true"/>
        </w:rPr>
        <w:t xml:space="preserve">. </w:t>
      </w:r>
      <w:r>
        <w:rPr>
          <w:rtl w:val="true"/>
        </w:rPr>
        <w:t xml:space="preserve">עדה זו סיפרה לבית המשפט כי היא והמתלוננת ניגשו יחד לתחנת המשטרה וכי היא </w:t>
      </w:r>
      <w:r>
        <w:rPr>
          <w:rtl w:val="true"/>
        </w:rPr>
        <w:t>–</w:t>
      </w:r>
      <w:r>
        <w:rPr>
          <w:rtl w:val="true"/>
        </w:rPr>
        <w:t xml:space="preserve"> העדה </w:t>
      </w:r>
      <w:r>
        <w:rPr>
          <w:rtl w:val="true"/>
        </w:rPr>
        <w:t>–</w:t>
      </w:r>
      <w:r>
        <w:rPr>
          <w:rtl w:val="true"/>
        </w:rPr>
        <w:t xml:space="preserve"> חיכתה למתלוננת מחוץ לבניין בזמן שהמתלוננת נכנסה פנימה כדי להגיש תלונה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חיזוק משמעותי נוסף לעדות המתלוננת נמצא בעדויות שמסרו השוטרים מ</w:t>
      </w:r>
      <w:r>
        <w:rPr>
          <w:rtl w:val="true"/>
        </w:rPr>
        <w:t xml:space="preserve">' </w:t>
      </w:r>
      <w:r>
        <w:rPr>
          <w:rtl w:val="true"/>
        </w:rPr>
        <w:t>אלקובי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ורדי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בן אלי</w:t>
      </w:r>
      <w:r>
        <w:rPr>
          <w:rtl w:val="true"/>
        </w:rPr>
        <w:t xml:space="preserve">, </w:t>
      </w:r>
      <w:r>
        <w:rPr>
          <w:rtl w:val="true"/>
        </w:rPr>
        <w:t>וסנ</w:t>
      </w:r>
      <w:r>
        <w:rPr>
          <w:rtl w:val="true"/>
        </w:rPr>
        <w:t>"</w:t>
      </w:r>
      <w:r>
        <w:rPr>
          <w:rtl w:val="true"/>
        </w:rPr>
        <w:t>צ ד</w:t>
      </w:r>
      <w:r>
        <w:rPr>
          <w:rtl w:val="true"/>
        </w:rPr>
        <w:t xml:space="preserve">' </w:t>
      </w:r>
      <w:r>
        <w:rPr>
          <w:rtl w:val="true"/>
        </w:rPr>
        <w:t xml:space="preserve">זוננפלד </w:t>
      </w:r>
      <w:r>
        <w:rPr>
          <w:rtl w:val="true"/>
        </w:rPr>
        <w:t>–</w:t>
      </w:r>
      <w:r>
        <w:rPr>
          <w:rtl w:val="true"/>
        </w:rPr>
        <w:t xml:space="preserve"> ראשת מעבדת סמים במטה הארצי של המשטרה</w:t>
      </w:r>
      <w:r>
        <w:rPr>
          <w:rtl w:val="true"/>
        </w:rPr>
        <w:t xml:space="preserve">. </w:t>
      </w:r>
      <w:r>
        <w:rPr>
          <w:rtl w:val="true"/>
        </w:rPr>
        <w:t>מעדויות אלה עולה כי בתוך כוס השתייה שהמערער הגיש למתלוננת במכוניתו</w:t>
      </w:r>
      <w:r>
        <w:rPr>
          <w:rtl w:val="true"/>
        </w:rPr>
        <w:t xml:space="preserve">, </w:t>
      </w:r>
      <w:r>
        <w:rPr>
          <w:rtl w:val="true"/>
        </w:rPr>
        <w:t>ואשר נתפסה על ידי המשטרה במהלך החיפוש במכונית</w:t>
      </w:r>
      <w:r>
        <w:rPr>
          <w:rtl w:val="true"/>
        </w:rPr>
        <w:t xml:space="preserve">, </w:t>
      </w:r>
      <w:r>
        <w:rPr>
          <w:rtl w:val="true"/>
        </w:rPr>
        <w:t xml:space="preserve">נמצא חומר פעיל מסוג דיאזפאם </w:t>
      </w:r>
      <w:r>
        <w:rPr>
          <w:rtl w:val="true"/>
        </w:rPr>
        <w:t>("</w:t>
      </w:r>
      <w:r>
        <w:rPr>
          <w:rtl w:val="true"/>
        </w:rPr>
        <w:t>סם אונס</w:t>
      </w:r>
      <w:r>
        <w:rPr>
          <w:rtl w:val="true"/>
        </w:rPr>
        <w:t xml:space="preserve">")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ממצא שתואם את אשר סיפרה המתלוננת לחברתה זמן קצר אחרי האירוע</w:t>
      </w:r>
      <w:r>
        <w:rPr>
          <w:rtl w:val="true"/>
        </w:rPr>
        <w:t xml:space="preserve">. </w:t>
      </w:r>
      <w:r>
        <w:rPr>
          <w:rtl w:val="true"/>
        </w:rPr>
        <w:t>לזאת אוסיף את עדותו של ד</w:t>
      </w:r>
      <w:r>
        <w:rPr>
          <w:rtl w:val="true"/>
        </w:rPr>
        <w:t>"</w:t>
      </w:r>
      <w:r>
        <w:rPr>
          <w:rtl w:val="true"/>
        </w:rPr>
        <w:t>ר מ</w:t>
      </w:r>
      <w:r>
        <w:rPr>
          <w:rtl w:val="true"/>
        </w:rPr>
        <w:t xml:space="preserve">' </w:t>
      </w:r>
      <w:r>
        <w:rPr>
          <w:rtl w:val="true"/>
        </w:rPr>
        <w:t>איסק</w:t>
      </w:r>
      <w:r>
        <w:rPr>
          <w:rtl w:val="true"/>
        </w:rPr>
        <w:t xml:space="preserve">, </w:t>
      </w:r>
      <w:r>
        <w:rPr>
          <w:rtl w:val="true"/>
        </w:rPr>
        <w:t>מומחה לתרופות</w:t>
      </w:r>
      <w:r>
        <w:rPr>
          <w:rtl w:val="true"/>
        </w:rPr>
        <w:t xml:space="preserve">, </w:t>
      </w:r>
      <w:r>
        <w:rPr>
          <w:rtl w:val="true"/>
        </w:rPr>
        <w:t xml:space="preserve">אשר סיפר לבית המשפט כי כדורי אסיבל במינון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שאף הם נמצאו במכוניתו של המערער במהלך החיפוש</w:t>
      </w:r>
      <w:r>
        <w:rPr>
          <w:rtl w:val="true"/>
        </w:rPr>
        <w:t xml:space="preserve">, </w:t>
      </w:r>
      <w:r>
        <w:rPr>
          <w:rtl w:val="true"/>
        </w:rPr>
        <w:t xml:space="preserve">הינם בצבע כחול </w:t>
      </w:r>
      <w:r>
        <w:rPr>
          <w:rtl w:val="true"/>
        </w:rPr>
        <w:t>–</w:t>
      </w:r>
      <w:r>
        <w:rPr>
          <w:rtl w:val="true"/>
        </w:rPr>
        <w:t xml:space="preserve"> עדות שתאמה את דברי המתלוננת שכאמור סיפרה בעדותה כי ראתה גרגירים בצבע כחול בתחתית הכוס ממנה שתתה את המיץ שהמערער הגיש 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הראיות שהתביעה הציגה נגד המערער בפרשת הסרטונים כללו</w:t>
      </w:r>
      <w:r>
        <w:rPr>
          <w:rtl w:val="true"/>
        </w:rPr>
        <w:t xml:space="preserve">,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את עדויות המתלוננות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וק</w:t>
      </w:r>
      <w:r>
        <w:rPr>
          <w:rtl w:val="true"/>
        </w:rPr>
        <w:t xml:space="preserve">', </w:t>
      </w:r>
      <w:r>
        <w:rPr>
          <w:rtl w:val="true"/>
        </w:rPr>
        <w:t>אשר נדהמו לגלות את דמויותיהן בסרטונים המתעדים אותן במצבים מיניים אינטימיים</w:t>
      </w:r>
      <w:r>
        <w:rPr>
          <w:rtl w:val="true"/>
        </w:rPr>
        <w:t xml:space="preserve">, </w:t>
      </w:r>
      <w:r>
        <w:rPr>
          <w:rtl w:val="true"/>
        </w:rPr>
        <w:t>שכאמור נמצאו במכשיר הטלפון הסלולרי של המערער</w:t>
      </w:r>
      <w:r>
        <w:rPr>
          <w:rtl w:val="true"/>
        </w:rPr>
        <w:t xml:space="preserve">. </w:t>
      </w:r>
      <w:r>
        <w:rPr>
          <w:rtl w:val="true"/>
        </w:rPr>
        <w:t>העדה א</w:t>
      </w:r>
      <w:r>
        <w:rPr>
          <w:rtl w:val="true"/>
        </w:rPr>
        <w:t xml:space="preserve">' </w:t>
      </w:r>
      <w:r>
        <w:rPr>
          <w:rtl w:val="true"/>
        </w:rPr>
        <w:t>העידה בגילוי לב כי יצרה קשר עם המערער באמצעות אתר הכרויות לשם קיום יחסי מין וכי קיימה עמו שלושה מפגשים בצימרים שונים</w:t>
      </w:r>
      <w:r>
        <w:rPr>
          <w:rtl w:val="true"/>
        </w:rPr>
        <w:t xml:space="preserve">. </w:t>
      </w:r>
      <w:r>
        <w:rPr>
          <w:rtl w:val="true"/>
        </w:rPr>
        <w:t>העדה שיתפה את בית המשפט כי כאשר נודע לה לראשונה שהמערער צילם אותה בזמן שעשתה בו מין אוראלי</w:t>
      </w:r>
      <w:r>
        <w:rPr>
          <w:rtl w:val="true"/>
        </w:rPr>
        <w:t xml:space="preserve">, </w:t>
      </w:r>
      <w:r>
        <w:rPr>
          <w:rtl w:val="true"/>
        </w:rPr>
        <w:t>היא לא האמינה שדבר כזה קרה לה והיתה בהלם מוחלט</w:t>
      </w:r>
      <w:r>
        <w:rPr>
          <w:rtl w:val="true"/>
        </w:rPr>
        <w:t xml:space="preserve">. </w:t>
      </w:r>
      <w:r>
        <w:rPr>
          <w:rtl w:val="true"/>
        </w:rPr>
        <w:t>לדברי העדה</w:t>
      </w:r>
      <w:r>
        <w:rPr>
          <w:rtl w:val="true"/>
        </w:rPr>
        <w:t xml:space="preserve">, </w:t>
      </w:r>
      <w:r>
        <w:rPr>
          <w:rtl w:val="true"/>
        </w:rPr>
        <w:t>דבר זה אירע בתחנה המשטרה אליה הוזמנה כדי לזהות את עצמה בסרטון</w:t>
      </w:r>
      <w:r>
        <w:rPr>
          <w:rtl w:val="true"/>
        </w:rPr>
        <w:t xml:space="preserve">. </w:t>
      </w:r>
      <w:r>
        <w:rPr>
          <w:rtl w:val="true"/>
        </w:rPr>
        <w:t xml:space="preserve">העדה עמדה על כך שמעולם לא הסכימה לכך שהמערער </w:t>
      </w:r>
      <w:r>
        <w:rPr>
          <w:rtl w:val="true"/>
        </w:rPr>
        <w:t>–</w:t>
      </w:r>
      <w:r>
        <w:rPr>
          <w:rtl w:val="true"/>
        </w:rPr>
        <w:t xml:space="preserve"> או מאן דהוא </w:t>
      </w:r>
      <w:r>
        <w:rPr>
          <w:rtl w:val="true"/>
        </w:rPr>
        <w:t>–</w:t>
      </w:r>
      <w:r>
        <w:rPr>
          <w:rtl w:val="true"/>
        </w:rPr>
        <w:t xml:space="preserve"> יצלמה בזמן קיום יחסי המין</w:t>
      </w:r>
      <w:r>
        <w:rPr>
          <w:rtl w:val="true"/>
        </w:rPr>
        <w:t xml:space="preserve">. </w:t>
      </w:r>
      <w:r>
        <w:rPr>
          <w:rtl w:val="true"/>
        </w:rPr>
        <w:t>העדה עמדה על כך בחקירה נגדית גם כאשר ההגנה ניסתה להביכה על ידי הצגת שאלות על פרטיהם של מפגשי המין בצימרים</w:t>
      </w:r>
      <w:r>
        <w:rPr>
          <w:rtl w:val="true"/>
        </w:rPr>
        <w:t xml:space="preserve">. </w:t>
      </w:r>
      <w:r>
        <w:rPr>
          <w:rtl w:val="true"/>
        </w:rPr>
        <w:t>בעקבות שאלות אלו</w:t>
      </w:r>
      <w:r>
        <w:rPr>
          <w:rtl w:val="true"/>
        </w:rPr>
        <w:t xml:space="preserve">, </w:t>
      </w:r>
      <w:r>
        <w:rPr>
          <w:rtl w:val="true"/>
        </w:rPr>
        <w:t>העדה אישרה בגלוי כי באחד ממפגשיה עם המערער נכחה אישה נוספת וכי המפגש האחר התקיים בנוכחות בעלה</w:t>
      </w:r>
      <w:r>
        <w:rPr>
          <w:rtl w:val="true"/>
        </w:rPr>
        <w:t xml:space="preserve">. </w:t>
      </w:r>
      <w:r>
        <w:rPr>
          <w:rtl w:val="true"/>
        </w:rPr>
        <w:t>לאורך כל חקירתה</w:t>
      </w:r>
      <w:r>
        <w:rPr>
          <w:rtl w:val="true"/>
        </w:rPr>
        <w:t xml:space="preserve">, </w:t>
      </w:r>
      <w:r>
        <w:rPr>
          <w:rtl w:val="true"/>
        </w:rPr>
        <w:t>עדה זו עמדה בתוקף על כך שלא ראתה שום מצלמה בסביבתה כאשר קיימה יחסי מין עם המערער ושמעולם לא הסכימה להיות מצולמת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קמא מצא סימנים נוספים לאמינותה של עדה זו בכך שמדובר באישה קצרת ראייה</w:t>
      </w:r>
      <w:r>
        <w:rPr>
          <w:rtl w:val="true"/>
        </w:rPr>
        <w:t xml:space="preserve">, </w:t>
      </w:r>
      <w:r>
        <w:rPr>
          <w:rtl w:val="true"/>
        </w:rPr>
        <w:t>אשר ללא משקפיים אינה יכולה להבחין בקיומה של מצלמה שאינה קרובה לעיניה</w:t>
      </w:r>
      <w:r>
        <w:rPr>
          <w:rtl w:val="true"/>
        </w:rPr>
        <w:t xml:space="preserve">; </w:t>
      </w:r>
      <w:r>
        <w:rPr>
          <w:rtl w:val="true"/>
        </w:rPr>
        <w:t>וכן בכך שהעדה סיימה את הקשר שהיה לה עם המערער ברוח טובה וללא כעסים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בדומה לכך נקבעה אמינותה של המתלוננת ק</w:t>
      </w:r>
      <w:r>
        <w:rPr>
          <w:rtl w:val="true"/>
        </w:rPr>
        <w:t xml:space="preserve">' </w:t>
      </w:r>
      <w:r>
        <w:rPr>
          <w:rtl w:val="true"/>
        </w:rPr>
        <w:t>מתלוננת זו העידה בבית המשפט כי קיימה עם המערער מפגש אחד בלבד בו השניים קיימו יחסי מין בצימר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היא שמעה לראשונה על כך שצולמה על ידי המערער</w:t>
      </w:r>
      <w:r>
        <w:rPr>
          <w:rtl w:val="true"/>
        </w:rPr>
        <w:t xml:space="preserve">, </w:t>
      </w:r>
      <w:r>
        <w:rPr>
          <w:rtl w:val="true"/>
        </w:rPr>
        <w:t>בזמן שקיימה עמו יחסי מין</w:t>
      </w:r>
      <w:r>
        <w:rPr>
          <w:rtl w:val="true"/>
        </w:rPr>
        <w:t xml:space="preserve">, </w:t>
      </w:r>
      <w:r>
        <w:rPr>
          <w:rtl w:val="true"/>
        </w:rPr>
        <w:t>מחוקרי המשטרה</w:t>
      </w:r>
      <w:r>
        <w:rPr>
          <w:rtl w:val="true"/>
        </w:rPr>
        <w:t xml:space="preserve">; </w:t>
      </w:r>
      <w:r>
        <w:rPr>
          <w:rtl w:val="true"/>
        </w:rPr>
        <w:t>כי גילוי זה גרם לה להרגיש מושפלת וכי הדבר הגעיל אותה מאחר שלא שיערה שהמערער יעשה זאת</w:t>
      </w:r>
      <w:r>
        <w:rPr>
          <w:rtl w:val="true"/>
        </w:rPr>
        <w:t xml:space="preserve">. </w:t>
      </w:r>
      <w:r>
        <w:rPr>
          <w:rtl w:val="true"/>
        </w:rPr>
        <w:t>עדה זו נחקרה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אודות תמונותיה שנמצאו בטלפון של המערער והודתה כי כנראה היא זו ששלחה למערער את התמונות</w:t>
      </w:r>
      <w:r>
        <w:rPr>
          <w:rtl w:val="true"/>
        </w:rPr>
        <w:t xml:space="preserve">. </w:t>
      </w:r>
      <w:r>
        <w:rPr>
          <w:rtl w:val="true"/>
        </w:rPr>
        <w:t>לצד דברים אלו</w:t>
      </w:r>
      <w:r>
        <w:rPr>
          <w:rtl w:val="true"/>
        </w:rPr>
        <w:t xml:space="preserve">, </w:t>
      </w:r>
      <w:r>
        <w:rPr>
          <w:rtl w:val="true"/>
        </w:rPr>
        <w:t xml:space="preserve">עמדה העדה בתוקף על כך שמעולם לא הסכימה </w:t>
      </w:r>
      <w:r>
        <w:rPr>
          <w:rtl w:val="true"/>
        </w:rPr>
        <w:t>–</w:t>
      </w:r>
      <w:r>
        <w:rPr>
          <w:rtl w:val="true"/>
        </w:rPr>
        <w:t xml:space="preserve"> וממילא לא נתנה למערער להבין כי היא מסכימה </w:t>
      </w:r>
      <w:r>
        <w:rPr>
          <w:rtl w:val="true"/>
        </w:rPr>
        <w:t>–</w:t>
      </w:r>
      <w:r>
        <w:rPr>
          <w:rtl w:val="true"/>
        </w:rPr>
        <w:t xml:space="preserve"> לכך שהלה יסריטה או יצלמה במהלך קיום יחסי המין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יסוד ראיות אלה</w:t>
      </w:r>
      <w:r>
        <w:rPr>
          <w:rtl w:val="true"/>
        </w:rPr>
        <w:t xml:space="preserve">, </w:t>
      </w:r>
      <w:r>
        <w:rPr>
          <w:rtl w:val="true"/>
        </w:rPr>
        <w:t>קבע בית משפט קמא כי כל העבירות שיוחסו למערער בכתב האישום</w:t>
      </w:r>
      <w:r>
        <w:rPr>
          <w:rtl w:val="true"/>
        </w:rPr>
        <w:t xml:space="preserve">, </w:t>
      </w:r>
      <w:r>
        <w:rPr>
          <w:rtl w:val="true"/>
        </w:rPr>
        <w:t>למעט העבירה של פגיעה בפרטיות בפרשת העוקץ</w:t>
      </w:r>
      <w:r>
        <w:rPr>
          <w:rtl w:val="true"/>
        </w:rPr>
        <w:t xml:space="preserve">, </w:t>
      </w:r>
      <w:r>
        <w:rPr>
          <w:rtl w:val="true"/>
        </w:rPr>
        <w:t>הוכחו מעבר לספק סביר</w:t>
      </w:r>
      <w:r>
        <w:rPr>
          <w:rtl w:val="true"/>
        </w:rPr>
        <w:t xml:space="preserve">. </w:t>
      </w:r>
      <w:r>
        <w:rPr>
          <w:rtl w:val="true"/>
        </w:rPr>
        <w:t>בהתבסס על קביעה זו</w:t>
      </w:r>
      <w:r>
        <w:rPr>
          <w:rtl w:val="true"/>
        </w:rPr>
        <w:t xml:space="preserve">, </w:t>
      </w:r>
      <w:r>
        <w:rPr>
          <w:rtl w:val="true"/>
        </w:rPr>
        <w:t>הרשיע בית המשפט את המערער בכל העבירות שהוכחו כאמור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לגזור את עונשו של המערער</w:t>
      </w:r>
      <w:r>
        <w:rPr>
          <w:rtl w:val="true"/>
        </w:rPr>
        <w:t xml:space="preserve">, </w:t>
      </w:r>
      <w:r>
        <w:rPr>
          <w:rtl w:val="true"/>
        </w:rPr>
        <w:t>עמד בית משפט קמא על חומרתם המופלגת של מעשיו של המערער ועל נסיבות ביצועם</w:t>
      </w:r>
      <w:r>
        <w:rPr>
          <w:rtl w:val="true"/>
        </w:rPr>
        <w:t xml:space="preserve">; </w:t>
      </w:r>
      <w:r>
        <w:rPr>
          <w:rtl w:val="true"/>
        </w:rPr>
        <w:t>סקר את פסקי הדין הרלבנטיים</w:t>
      </w:r>
      <w:r>
        <w:rPr>
          <w:rtl w:val="true"/>
        </w:rPr>
        <w:t xml:space="preserve">, </w:t>
      </w:r>
      <w:r>
        <w:rPr>
          <w:rtl w:val="true"/>
        </w:rPr>
        <w:t>אשר משקפים את מדיניות הענישה הנהוגה ביחס לעבירות שהמערער ביצען</w:t>
      </w:r>
      <w:r>
        <w:rPr>
          <w:rtl w:val="true"/>
        </w:rPr>
        <w:t xml:space="preserve">; </w:t>
      </w:r>
      <w:r>
        <w:rPr>
          <w:rtl w:val="true"/>
        </w:rPr>
        <w:t>וקבע מתחמי ענישה כדלקמן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העוקץ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הטרמפיסטית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שקל בית משפט קמא את הנסיבות שאינן קשורות לביצוע העבירות</w:t>
      </w:r>
      <w:r>
        <w:rPr>
          <w:rtl w:val="true"/>
        </w:rPr>
        <w:t xml:space="preserve">. </w:t>
      </w:r>
      <w:r>
        <w:rPr>
          <w:rtl w:val="true"/>
        </w:rPr>
        <w:t>בצד הקולא</w:t>
      </w:r>
      <w:r>
        <w:rPr>
          <w:rtl w:val="true"/>
        </w:rPr>
        <w:t xml:space="preserve">, </w:t>
      </w:r>
      <w:r>
        <w:rPr>
          <w:rtl w:val="true"/>
        </w:rPr>
        <w:t xml:space="preserve">כללו נסיבות אלה את העובדה שהמערער הוא אדם מבוגר כבן 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 לשלושה ילדים וסב לנכדים</w:t>
      </w:r>
      <w:r>
        <w:rPr>
          <w:rtl w:val="true"/>
        </w:rPr>
        <w:t xml:space="preserve">, </w:t>
      </w:r>
      <w:r>
        <w:rPr>
          <w:rtl w:val="true"/>
        </w:rPr>
        <w:t>שעובר למעצרו היה המפרנס העיקרי של משפחתו</w:t>
      </w:r>
      <w:r>
        <w:rPr>
          <w:rtl w:val="true"/>
        </w:rPr>
        <w:t xml:space="preserve">. </w:t>
      </w:r>
      <w:r>
        <w:rPr>
          <w:rtl w:val="true"/>
        </w:rPr>
        <w:t>בצד החומרא</w:t>
      </w:r>
      <w:r>
        <w:rPr>
          <w:rtl w:val="true"/>
        </w:rPr>
        <w:t xml:space="preserve">, </w:t>
      </w:r>
      <w:r>
        <w:rPr>
          <w:rtl w:val="true"/>
        </w:rPr>
        <w:t>לקח בית המשפט בחשבון את 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שרשם לחובתו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</w:t>
      </w:r>
      <w:r>
        <w:rPr>
          <w:rtl w:val="true"/>
        </w:rPr>
        <w:t>–</w:t>
      </w:r>
      <w:r>
        <w:rPr>
          <w:rtl w:val="true"/>
        </w:rPr>
        <w:t xml:space="preserve"> חלקן בעבירות כלכליות שרכיביהן כוללים מרמה וזיוף מסמכים</w:t>
      </w:r>
      <w:r>
        <w:rPr>
          <w:rtl w:val="true"/>
        </w:rPr>
        <w:t xml:space="preserve">. </w:t>
      </w:r>
      <w:r>
        <w:rPr>
          <w:rtl w:val="true"/>
        </w:rPr>
        <w:t>כמו כן נלקחה בחשבון העובדה שהמערער לא הביע שום התנצלות או חרטה על מעשיו וניהל הליך הוכחות ארוך ומתיש</w:t>
      </w:r>
      <w:r>
        <w:rPr>
          <w:rtl w:val="true"/>
        </w:rPr>
        <w:t xml:space="preserve">. </w:t>
      </w:r>
      <w:r>
        <w:rPr>
          <w:rtl w:val="true"/>
        </w:rPr>
        <w:t>לצד השיקולים הללו</w:t>
      </w:r>
      <w:r>
        <w:rPr>
          <w:rtl w:val="true"/>
        </w:rPr>
        <w:t xml:space="preserve">, </w:t>
      </w:r>
      <w:r>
        <w:rPr>
          <w:rtl w:val="true"/>
        </w:rPr>
        <w:t>קבע בית המשפט כי ענישת המערער צריכה לבטא גם את הצורך בהרתעת היחיד ובהרתעה הרבים מפני המעשים הפוגעניים כדוגמת אלו שבוצעו על ידי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יסוד מכלול השיקולים כאמור</w:t>
      </w:r>
      <w:r>
        <w:rPr>
          <w:rtl w:val="true"/>
        </w:rPr>
        <w:t xml:space="preserve">, </w:t>
      </w:r>
      <w:r>
        <w:rPr>
          <w:rtl w:val="true"/>
        </w:rPr>
        <w:t>גזר בית משפט קמא על המערער את העונשים שפורטו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ערעורו של המערער שחציו מופנים הן אל הכרעת הדין והן אל גזר הדין</w:t>
      </w:r>
      <w:r>
        <w:rPr>
          <w:rtl w:val="true"/>
        </w:rPr>
        <w:t xml:space="preserve">. </w:t>
      </w:r>
      <w:r>
        <w:rPr>
          <w:rtl w:val="true"/>
        </w:rPr>
        <w:t>המערער טוען כי מן הדין לזכותו מהעבירות בהן הורשע</w:t>
      </w:r>
      <w:r>
        <w:rPr>
          <w:rtl w:val="true"/>
        </w:rPr>
        <w:t xml:space="preserve">, </w:t>
      </w:r>
      <w:r>
        <w:rPr>
          <w:rtl w:val="true"/>
        </w:rPr>
        <w:t>כולן או חלקן</w:t>
      </w:r>
      <w:r>
        <w:rPr>
          <w:rtl w:val="true"/>
        </w:rPr>
        <w:t xml:space="preserve">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מבקש המערער כי נקל בעונשו ככל שניתן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סבורה כי מן הדין לדחות את הערעור על כל חלקיו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טענות המערער נגד הרשעתו תוקפות את ממצאי המהימנות אשר נקבעו על ידי בית משפט קמא ביחס לעדויות שעל בסיסן הוא נמצא אשם</w:t>
      </w:r>
      <w:r>
        <w:rPr>
          <w:rtl w:val="true"/>
        </w:rPr>
        <w:t xml:space="preserve">, </w:t>
      </w:r>
      <w:r>
        <w:rPr>
          <w:rtl w:val="true"/>
        </w:rPr>
        <w:t>כשבמרכזן עדויותיהן של שש המתלוננות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כמו כן טוען המערער לחוסר אמינותה של הבדיקה להימצאותו של 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 </w:t>
      </w:r>
      <w:r>
        <w:rPr>
          <w:rtl w:val="true"/>
        </w:rPr>
        <w:t>בשיערה של ש</w:t>
      </w:r>
      <w:r>
        <w:rPr>
          <w:rtl w:val="true"/>
        </w:rPr>
        <w:t xml:space="preserve">', </w:t>
      </w:r>
      <w:r>
        <w:rPr>
          <w:rtl w:val="true"/>
        </w:rPr>
        <w:t>המתלוננת בפרשת העוקץ</w:t>
      </w:r>
      <w:r>
        <w:rPr>
          <w:rtl w:val="true"/>
        </w:rPr>
        <w:t xml:space="preserve">, </w:t>
      </w:r>
      <w:r>
        <w:rPr>
          <w:rtl w:val="true"/>
        </w:rPr>
        <w:t>ומלין על אי</w:t>
      </w:r>
      <w:r>
        <w:rPr>
          <w:rtl w:val="true"/>
        </w:rPr>
        <w:t>-</w:t>
      </w:r>
      <w:r>
        <w:rPr>
          <w:rtl w:val="true"/>
        </w:rPr>
        <w:t>עריכת בדיקות פורנזיות שונות אשר לשיטתו יכלו להוכיח את חפותו 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לעורר ספק סביר לגבי אשמתו בחלק מן העבירות בהן הוא נמצא אשם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מצביע גם על מחדלי חקירה שונים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מחדלים אלה באו לידי ביטוי בכך שזירות מפגשיו עם המתלוננות מפרשת האם והבת ומפרשת העוקץ </w:t>
      </w:r>
      <w:r>
        <w:rPr>
          <w:rtl w:val="true"/>
        </w:rPr>
        <w:t>–</w:t>
      </w:r>
      <w:r>
        <w:rPr>
          <w:rtl w:val="true"/>
        </w:rPr>
        <w:t xml:space="preserve"> הצימרים </w:t>
      </w:r>
      <w:r>
        <w:rPr>
          <w:rtl w:val="true"/>
        </w:rPr>
        <w:t>–</w:t>
      </w:r>
      <w:r>
        <w:rPr>
          <w:rtl w:val="true"/>
        </w:rPr>
        <w:t xml:space="preserve"> לא נבדקו באופן יסודי מבחינת הראיות הפורנזיות</w:t>
      </w:r>
      <w:r>
        <w:rPr>
          <w:rtl w:val="true"/>
        </w:rPr>
        <w:t xml:space="preserve">, </w:t>
      </w:r>
      <w:r>
        <w:rPr>
          <w:rtl w:val="true"/>
        </w:rPr>
        <w:t>כדוגמת זרע על סדינים</w:t>
      </w:r>
      <w:r>
        <w:rPr>
          <w:rtl w:val="true"/>
        </w:rPr>
        <w:t>,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שניתן היה לאסוף</w:t>
      </w:r>
      <w:r>
        <w:rPr>
          <w:rtl w:val="true"/>
        </w:rPr>
        <w:t xml:space="preserve">, </w:t>
      </w:r>
      <w:r>
        <w:rPr>
          <w:rtl w:val="true"/>
        </w:rPr>
        <w:t>והעדים שאפשר היה לתשאל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טוען המערער כי צירוף האישומים שלל ממנו את זכותו להליך הוגן</w:t>
      </w:r>
      <w:r>
        <w:rPr>
          <w:rtl w:val="true"/>
        </w:rPr>
        <w:t xml:space="preserve">; </w:t>
      </w:r>
      <w:r>
        <w:rPr>
          <w:rtl w:val="true"/>
        </w:rPr>
        <w:t>כי העמדתו לדין בפרשת הטרמפיסטית נפגמה בחוסר שימוע ובהגשה בלתי מוסמכת של האישום לאחר סגירת תיק החקירה אשר נפתח נגדו שנים קודם</w:t>
      </w:r>
      <w:r>
        <w:rPr>
          <w:rtl w:val="true"/>
        </w:rPr>
        <w:t>-</w:t>
      </w:r>
      <w:r>
        <w:rPr>
          <w:rtl w:val="true"/>
        </w:rPr>
        <w:t>לכן בקשר לפרשה</w:t>
      </w:r>
      <w:r>
        <w:rPr>
          <w:rtl w:val="true"/>
        </w:rPr>
        <w:t xml:space="preserve">; </w:t>
      </w:r>
      <w:r>
        <w:rPr>
          <w:rtl w:val="true"/>
        </w:rPr>
        <w:t>וכי ממילא לא ניתן היה להרשיעו בעבירה בה הורשע בגין פרשת הטרמפיסטית מחמת התיישנות העבירה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מלין גם על החיפוש שנעשה בטלפון הסלולרי שלו ועל פריקת הטלפון באופן שהביא לגילוי הסרטונים מושא האישומים הרביעי והחמישי </w:t>
      </w:r>
      <w:r>
        <w:rPr>
          <w:rtl w:val="true"/>
        </w:rPr>
        <w:t>(</w:t>
      </w:r>
      <w:r>
        <w:rPr>
          <w:rtl w:val="true"/>
        </w:rPr>
        <w:t>פרשת הסרטונים</w:t>
      </w:r>
      <w:r>
        <w:rPr>
          <w:rtl w:val="true"/>
        </w:rPr>
        <w:t xml:space="preserve">).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החיפוש ופריקת הטלפון כאמור חרגו מגבולות הצו שהיה בידי המשטרה</w:t>
      </w:r>
      <w:r>
        <w:rPr>
          <w:rtl w:val="true"/>
        </w:rPr>
        <w:t xml:space="preserve">, </w:t>
      </w:r>
      <w:r>
        <w:rPr>
          <w:rtl w:val="true"/>
        </w:rPr>
        <w:t>ועל כן מן הדין לפסול את תוצריהם מלשמש כראיה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מוסיף ותוקף את ניסוחן הכוללני של ההאשמות בפרשת האם והבת</w:t>
      </w:r>
      <w:r>
        <w:rPr>
          <w:rtl w:val="true"/>
        </w:rPr>
        <w:t xml:space="preserve">, </w:t>
      </w:r>
      <w:r>
        <w:rPr>
          <w:rtl w:val="true"/>
        </w:rPr>
        <w:t>בפרשת העוקץ ובפרשת הטרמפיסטית</w:t>
      </w:r>
      <w:r>
        <w:rPr>
          <w:rtl w:val="true"/>
        </w:rPr>
        <w:t xml:space="preserve">, </w:t>
      </w:r>
      <w:r>
        <w:rPr>
          <w:rtl w:val="true"/>
        </w:rPr>
        <w:t xml:space="preserve">אשר יחסו לו שלילת כושר התנגדותו של אדם לשם ביצוע פשע או עוון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מבלי לציין את מהות הפשעים והעוונות שלשמם</w:t>
      </w:r>
      <w:r>
        <w:rPr>
          <w:rtl w:val="true"/>
        </w:rPr>
        <w:t xml:space="preserve">, </w:t>
      </w:r>
      <w:r>
        <w:rPr>
          <w:rtl w:val="true"/>
        </w:rPr>
        <w:t>לטענת התביעה</w:t>
      </w:r>
      <w:r>
        <w:rPr>
          <w:rtl w:val="true"/>
        </w:rPr>
        <w:t xml:space="preserve">, </w:t>
      </w:r>
      <w:r>
        <w:rPr>
          <w:rtl w:val="true"/>
        </w:rPr>
        <w:t>הוא שלל את יכולת ההתנגדות מנפגעות העבירה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טוען המערער שבית משפט קמא השית עליו עונש חמור מדי ומבקש שנקצר את תקופת מאסרו בכלא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מפנה המערער לפסיקתו של בית משפט זה אשר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מצדדת בעונשים חמורים פחות מעונש המאסר הכולל שנגזר עליו לרצות</w:t>
      </w:r>
      <w:r>
        <w:rPr>
          <w:rtl w:val="true"/>
        </w:rPr>
        <w:t xml:space="preserve">.  </w:t>
      </w:r>
      <w:r>
        <w:rPr>
          <w:rtl w:val="true"/>
        </w:rPr>
        <w:t>המערער מוסיף וטוען כי בית משפט קמא שגה גם כאשר יחס לו שני מעשים של קבלת דבר במרמה בפרשת העוקץ</w:t>
      </w:r>
      <w:r>
        <w:rPr>
          <w:rtl w:val="true"/>
        </w:rPr>
        <w:t xml:space="preserve">, </w:t>
      </w:r>
      <w:r>
        <w:rPr>
          <w:rtl w:val="true"/>
        </w:rPr>
        <w:t xml:space="preserve">במקום מעשה אחד </w:t>
      </w:r>
      <w:r>
        <w:rPr>
          <w:rtl w:val="true"/>
        </w:rPr>
        <w:t>–</w:t>
      </w:r>
      <w:r>
        <w:rPr>
          <w:rtl w:val="true"/>
        </w:rPr>
        <w:t xml:space="preserve"> ייחוס אשר לגישתו גרם להחמרה בלתי מוצדקת בעונשו</w:t>
      </w:r>
      <w:r>
        <w:rPr>
          <w:rtl w:val="true"/>
        </w:rPr>
        <w:t xml:space="preserve">. </w:t>
      </w:r>
      <w:r>
        <w:rPr>
          <w:rtl w:val="true"/>
        </w:rPr>
        <w:t>טענה אחרונה זו הנני מסיר מהפרק כאן ועכשיו</w:t>
      </w:r>
      <w:r>
        <w:rPr>
          <w:rtl w:val="true"/>
        </w:rPr>
        <w:t xml:space="preserve">, </w:t>
      </w:r>
      <w:r>
        <w:rPr>
          <w:rtl w:val="true"/>
        </w:rPr>
        <w:t xml:space="preserve">מאחר שבית משפט קמא נמנע במפורש מלהרשיע את המערער בשתי עבירות של קבלת דבר במרמה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 xml:space="preserve">הן משום שקבלת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מש</w:t>
      </w:r>
      <w:r>
        <w:rPr>
          <w:rtl w:val="true"/>
        </w:rPr>
        <w:t xml:space="preserve">' </w:t>
      </w:r>
      <w:r>
        <w:rPr>
          <w:rtl w:val="true"/>
        </w:rPr>
        <w:t>כאשר זו פעלה בתיאום עם המשטרה היתה</w:t>
      </w:r>
      <w:r>
        <w:rPr>
          <w:rtl w:val="true"/>
        </w:rPr>
        <w:t xml:space="preserve">,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>בגדר ניסיון בלתי</w:t>
      </w:r>
      <w:r>
        <w:rPr>
          <w:rtl w:val="true"/>
        </w:rPr>
        <w:t>-</w:t>
      </w:r>
      <w:r>
        <w:rPr>
          <w:rtl w:val="true"/>
        </w:rPr>
        <w:t xml:space="preserve">צליח </w:t>
      </w:r>
      <w:r>
        <w:rPr>
          <w:rtl w:val="true"/>
        </w:rPr>
        <w:t>(</w:t>
      </w:r>
      <w:r>
        <w:rPr>
          <w:rtl w:val="true"/>
        </w:rPr>
        <w:t>אם כי עניש</w:t>
      </w:r>
      <w:r>
        <w:rPr>
          <w:rtl w:val="true"/>
        </w:rPr>
        <w:t xml:space="preserve">) </w:t>
      </w:r>
      <w:r>
        <w:rPr>
          <w:rtl w:val="true"/>
        </w:rPr>
        <w:t>לקבל דבר במרמה</w:t>
      </w:r>
      <w:r>
        <w:rPr>
          <w:rtl w:val="true"/>
        </w:rPr>
        <w:t xml:space="preserve">, </w:t>
      </w:r>
      <w:r>
        <w:rPr>
          <w:rtl w:val="true"/>
        </w:rPr>
        <w:t xml:space="preserve">והן משום שהתביעה זנחה האשמה כאמור בסיכומיה </w:t>
      </w:r>
      <w:r>
        <w:rPr>
          <w:rtl w:val="true"/>
        </w:rPr>
        <w:t>(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1023</w:t>
      </w:r>
      <w:r>
        <w:rPr>
          <w:rtl w:val="true"/>
        </w:rPr>
        <w:t xml:space="preserve"> </w:t>
      </w:r>
      <w:r>
        <w:rPr>
          <w:rtl w:val="true"/>
        </w:rPr>
        <w:t>לפסק הדין קמא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סבורה כי בפסק הדין קמא לא נפלה שום שגגה</w:t>
      </w:r>
      <w:r>
        <w:rPr>
          <w:rtl w:val="true"/>
        </w:rPr>
        <w:t xml:space="preserve">. </w:t>
      </w:r>
      <w:r>
        <w:rPr>
          <w:rtl w:val="true"/>
        </w:rPr>
        <w:t xml:space="preserve">המדינה סומכת אפוא את ידיה על פסק דין זה ועל נימוקיו </w:t>
      </w:r>
      <w:r>
        <w:rPr>
          <w:rtl w:val="true"/>
        </w:rPr>
        <w:t>–</w:t>
      </w:r>
      <w:r>
        <w:rPr>
          <w:rtl w:val="true"/>
        </w:rPr>
        <w:t xml:space="preserve"> הן אלה שמופיעים בהכרעת הדין והן אלה שבגזר הדין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מפרטת וטוענת כי הרשעת המערער מבוססת על ממצאי מהימנות אשר נקבעו על יסוד התרשמותו הבלתי אמצעית של בית משפט קמא מהעדויות שנשמעו לפניו</w:t>
      </w:r>
      <w:r>
        <w:rPr>
          <w:rtl w:val="true"/>
        </w:rPr>
        <w:t xml:space="preserve">, </w:t>
      </w:r>
      <w:r>
        <w:rPr>
          <w:rtl w:val="true"/>
        </w:rPr>
        <w:t>שאינה מגלה כל עילה להתערבותנו</w:t>
      </w:r>
      <w:r>
        <w:rPr>
          <w:rtl w:val="true"/>
        </w:rPr>
        <w:t xml:space="preserve">; </w:t>
      </w:r>
      <w:r>
        <w:rPr>
          <w:rtl w:val="true"/>
        </w:rPr>
        <w:t>כי חקירת הפרשות בגינן הועמד המערער לדין לא נפגמה בשום מחדל מצד החוקרים המשטרתיים</w:t>
      </w:r>
      <w:r>
        <w:rPr>
          <w:rtl w:val="true"/>
        </w:rPr>
        <w:t xml:space="preserve">; </w:t>
      </w:r>
      <w:r>
        <w:rPr>
          <w:rtl w:val="true"/>
        </w:rPr>
        <w:t>כי הפגמים הדיוניים עליהם מלין המערער</w:t>
      </w:r>
      <w:r>
        <w:rPr>
          <w:rtl w:val="true"/>
        </w:rPr>
        <w:t xml:space="preserve">, </w:t>
      </w:r>
      <w:r>
        <w:rPr>
          <w:rtl w:val="true"/>
        </w:rPr>
        <w:t>כולל תלונתו על החריגה מצו החיפוש בפריקת הטלפון הסלולרי שלו</w:t>
      </w:r>
      <w:r>
        <w:rPr>
          <w:rtl w:val="true"/>
        </w:rPr>
        <w:t xml:space="preserve">, </w:t>
      </w:r>
      <w:r>
        <w:rPr>
          <w:rtl w:val="true"/>
        </w:rPr>
        <w:t>לאו פגמים הם</w:t>
      </w:r>
      <w:r>
        <w:rPr>
          <w:rtl w:val="true"/>
        </w:rPr>
        <w:t xml:space="preserve">; </w:t>
      </w:r>
      <w:r>
        <w:rPr>
          <w:rtl w:val="true"/>
        </w:rPr>
        <w:t xml:space="preserve">כי העבירה מושא האישום השלישי </w:t>
      </w:r>
      <w:r>
        <w:rPr>
          <w:rtl w:val="true"/>
        </w:rPr>
        <w:t>–</w:t>
      </w:r>
      <w:r>
        <w:rPr>
          <w:rtl w:val="true"/>
        </w:rPr>
        <w:t xml:space="preserve"> פרשת הטרמפיסטית </w:t>
      </w:r>
      <w:r>
        <w:rPr>
          <w:rtl w:val="true"/>
        </w:rPr>
        <w:t>–</w:t>
      </w:r>
      <w:r>
        <w:rPr>
          <w:rtl w:val="true"/>
        </w:rPr>
        <w:t xml:space="preserve"> כלל לא התיישנה</w:t>
      </w:r>
      <w:r>
        <w:rPr>
          <w:rtl w:val="true"/>
        </w:rPr>
        <w:t xml:space="preserve">; </w:t>
      </w:r>
      <w:r>
        <w:rPr>
          <w:rtl w:val="true"/>
        </w:rPr>
        <w:t>כי עלינו לאשר את קבילות הממצאים הפורנזיים שעלו מבדיקת השיער אשר נעשתה לש</w:t>
      </w:r>
      <w:r>
        <w:rPr>
          <w:rtl w:val="true"/>
        </w:rPr>
        <w:t xml:space="preserve">' </w:t>
      </w:r>
      <w:r>
        <w:rPr>
          <w:rtl w:val="true"/>
        </w:rPr>
        <w:t xml:space="preserve">ואשר אבחנה אצלה הימצאות של שרידי 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"; </w:t>
      </w:r>
      <w:r>
        <w:rPr>
          <w:rtl w:val="true"/>
        </w:rPr>
        <w:t>וכי נכון נעשה אם נראה בממצאים הפורנזיים כאמור חיזוק לעדותה של ש</w:t>
      </w:r>
      <w:r>
        <w:rPr>
          <w:rtl w:val="true"/>
        </w:rPr>
        <w:t xml:space="preserve">' </w:t>
      </w:r>
      <w:r>
        <w:rPr>
          <w:rtl w:val="true"/>
        </w:rPr>
        <w:t>ואף ראיה עצמאית לכך שהיא סוממה על ידי המערער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 טוענת המדינה כי בית משפט קמא השית על המערער עונש מידתי וראוי</w:t>
      </w:r>
      <w:r>
        <w:rPr>
          <w:rtl w:val="true"/>
        </w:rPr>
        <w:t xml:space="preserve">, </w:t>
      </w:r>
      <w:r>
        <w:rPr>
          <w:rtl w:val="true"/>
        </w:rPr>
        <w:t>שביחס אליו לא מתקיימת שום עילת התערבות בהליך של ערעור על גזר הדין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בחינתו של פסק הדין קמא ועיון בכתובים שבעלי הדין הניחו לפנינו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</w:t>
      </w:r>
      <w:r>
        <w:rPr>
          <w:rtl w:val="true"/>
        </w:rPr>
        <w:t xml:space="preserve">, </w:t>
      </w:r>
      <w:r>
        <w:rPr>
          <w:rtl w:val="true"/>
        </w:rPr>
        <w:t>על כל חלקיו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את טעמיי לדחיית הערעור אפרט לפי הסדר הבא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אתייחס לטענות המערער ביחס לראיות שעל בסיסן הוא נמצא אשם ולמחדלי החקירה עליהם הוא מלין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פרוצדורה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אקיים דיון בטענות הפרוצדורליות שהעלה המערער</w:t>
      </w:r>
      <w:r>
        <w:rPr>
          <w:rtl w:val="true"/>
        </w:rPr>
        <w:t xml:space="preserve">, </w:t>
      </w:r>
      <w:r>
        <w:rPr>
          <w:rtl w:val="true"/>
        </w:rPr>
        <w:t>לרבות טענת ההתיישנות ביחס לפרשת הטרמפיסטית נושא האישום השלישי</w:t>
      </w:r>
      <w:r>
        <w:rPr>
          <w:rtl w:val="true"/>
        </w:rPr>
        <w:t xml:space="preserve">, </w:t>
      </w:r>
      <w:r>
        <w:rPr>
          <w:rtl w:val="true"/>
        </w:rPr>
        <w:t>הטענה בדבר הפרת הזכות לשימוע</w:t>
      </w:r>
      <w:r>
        <w:rPr>
          <w:rtl w:val="true"/>
        </w:rPr>
        <w:t xml:space="preserve">, </w:t>
      </w:r>
      <w:r>
        <w:rPr>
          <w:rtl w:val="true"/>
        </w:rPr>
        <w:t>הטענה בדבר פגמים בכתב האישום</w:t>
      </w:r>
      <w:r>
        <w:rPr>
          <w:rtl w:val="true"/>
        </w:rPr>
        <w:t xml:space="preserve">, </w:t>
      </w:r>
      <w:r>
        <w:rPr>
          <w:rtl w:val="true"/>
        </w:rPr>
        <w:t>והטענה בדבר חריגת המשטרה מצו החיפוש במהלך פריקת הטלפון הסלולרי של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בפרק קצר שיבוא אחרי הדיון בענייני הראיות והפרוצדורה</w:t>
      </w:r>
      <w:r>
        <w:rPr>
          <w:rtl w:val="true"/>
        </w:rPr>
        <w:t xml:space="preserve">, </w:t>
      </w:r>
      <w:r>
        <w:rPr>
          <w:rtl w:val="true"/>
        </w:rPr>
        <w:t>אתייחס לטענות הצדדים בנוגע לממצאי הבדיקה הפורנזית החדשנית</w:t>
      </w:r>
      <w:r>
        <w:rPr>
          <w:rtl w:val="true"/>
        </w:rPr>
        <w:t xml:space="preserve">, </w:t>
      </w:r>
      <w:r>
        <w:rPr>
          <w:rtl w:val="true"/>
        </w:rPr>
        <w:t xml:space="preserve">שכאמור זיהתה שרידי 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 </w:t>
      </w:r>
      <w:r>
        <w:rPr>
          <w:rtl w:val="true"/>
        </w:rPr>
        <w:t>בשיערה של ש</w:t>
      </w:r>
      <w:r>
        <w:rPr>
          <w:rtl w:val="true"/>
        </w:rPr>
        <w:t xml:space="preserve">', </w:t>
      </w:r>
      <w:r>
        <w:rPr>
          <w:rtl w:val="true"/>
        </w:rPr>
        <w:t>ואסביר מדוע אין מקום לדון בקבילותם ובמשקלם של ממצאים אלה בגדרי ההליך הנוכחי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אנמק את עמדתי באשר לעונש המאסר שהושת על המערער על ידי בית משפט 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אדון בכל אלה</w:t>
      </w:r>
      <w:r>
        <w:rPr>
          <w:rtl w:val="true"/>
        </w:rPr>
        <w:t xml:space="preserve">, </w:t>
      </w:r>
      <w:r>
        <w:rPr>
          <w:rtl w:val="true"/>
        </w:rPr>
        <w:t>אציין כי הערעור הנוכחי אינו מעורר שום שאלה שבדין הפלילי המהותי</w:t>
      </w:r>
      <w:r>
        <w:rPr>
          <w:rtl w:val="true"/>
        </w:rPr>
        <w:t xml:space="preserve">. </w:t>
      </w:r>
      <w:r>
        <w:rPr>
          <w:rtl w:val="true"/>
        </w:rPr>
        <w:t>בהינתן נכונות המסד העובדתי של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לית מאן דפליג כי העבירות בהן הורשע המערער התקיימו על כל רכיביהן </w:t>
      </w:r>
      <w:r>
        <w:rPr>
          <w:rtl w:val="true"/>
        </w:rPr>
        <w:t>–</w:t>
      </w:r>
      <w:r>
        <w:rPr>
          <w:rtl w:val="true"/>
        </w:rPr>
        <w:t xml:space="preserve"> הן בהיבט היסוד העובדתי והן בהיבט היסוד הנפשי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ענייני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היא עמנו כי אין בידינו להתערב בממצאי מהימנות אשר נקבעו על ידי הערכאה הדיונית על יסוד התרשמותה הבלתי אמצעית מעדים שמסרו את עדויותיהם בפניה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662/20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6.4.2021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חל הכלל ואין תחולה לשום חריג לכלל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שכל שש המתלוננות שמסרו את עדויותיהן בפני בית משפט קמא הותירו אצל בית המשפט רושם חיובי ביותר כעדות אמינות לעילא ולעילא</w:t>
      </w:r>
      <w:r>
        <w:rPr>
          <w:rtl w:val="true"/>
        </w:rPr>
        <w:t xml:space="preserve">, </w:t>
      </w:r>
      <w:r>
        <w:rPr>
          <w:rtl w:val="true"/>
        </w:rPr>
        <w:t>שאין כל סיבה לפקפק במהימנותן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עדותו של המערער הותירה אצל בית משפט קמא רושם שלילי ביותר ואף כללה סתירות מהותיות וסיפורי בדים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אמינות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והבת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בפרשת האם והבת</w:t>
      </w:r>
      <w:r>
        <w:rPr>
          <w:rtl w:val="true"/>
        </w:rPr>
        <w:t xml:space="preserve">, </w:t>
      </w:r>
      <w:r>
        <w:rPr>
          <w:rtl w:val="true"/>
        </w:rPr>
        <w:t xml:space="preserve">אמינות המתלוננות </w:t>
      </w:r>
      <w:r>
        <w:rPr>
          <w:rtl w:val="true"/>
        </w:rPr>
        <w:t>–</w:t>
      </w:r>
      <w:r>
        <w:rPr>
          <w:rtl w:val="true"/>
        </w:rPr>
        <w:t xml:space="preserve"> האם והבת </w:t>
      </w:r>
      <w:r>
        <w:rPr>
          <w:rtl w:val="true"/>
        </w:rPr>
        <w:t>–</w:t>
      </w:r>
      <w:r>
        <w:rPr>
          <w:rtl w:val="true"/>
        </w:rPr>
        <w:t xml:space="preserve"> עולה לא רק מעדויותיהן גופן</w:t>
      </w:r>
      <w:r>
        <w:rPr>
          <w:rtl w:val="true"/>
        </w:rPr>
        <w:t xml:space="preserve">, </w:t>
      </w:r>
      <w:r>
        <w:rPr>
          <w:rtl w:val="true"/>
        </w:rPr>
        <w:t>אלא גם משורה של חיזוקים אובייקטיביים לעדויות אלה</w:t>
      </w:r>
      <w:r>
        <w:rPr>
          <w:rtl w:val="true"/>
        </w:rPr>
        <w:t xml:space="preserve">. </w:t>
      </w:r>
      <w:r>
        <w:rPr>
          <w:rtl w:val="true"/>
        </w:rPr>
        <w:t>אחד מחיזוקים אלה הוא המצב של בלבול וטשטוש שבו נמצאו האם והבת בצימר אחרי הזעקת עזרה</w:t>
      </w:r>
      <w:r>
        <w:rPr>
          <w:rtl w:val="true"/>
        </w:rPr>
        <w:t xml:space="preserve">, </w:t>
      </w:r>
      <w:r>
        <w:rPr>
          <w:rtl w:val="true"/>
        </w:rPr>
        <w:t>עליו העידו עדים אמינים וניטרליים לחלוטין</w:t>
      </w:r>
      <w:r>
        <w:rPr>
          <w:rtl w:val="true"/>
        </w:rPr>
        <w:t xml:space="preserve">. </w:t>
      </w:r>
      <w:r>
        <w:rPr>
          <w:rtl w:val="true"/>
        </w:rPr>
        <w:t>חיזוק נוסף נמצא באמרותיה הספונטאניות של הבת על אודות מצבה שלה ושל אמה ועל מה שהשתיים חוו בתוך הצימר בהיותן תחת השפעת הסם</w:t>
      </w:r>
      <w:r>
        <w:rPr>
          <w:rtl w:val="true"/>
        </w:rPr>
        <w:t xml:space="preserve">. </w:t>
      </w:r>
      <w:r>
        <w:rPr>
          <w:rtl w:val="true"/>
        </w:rPr>
        <w:t xml:space="preserve">אמרות אלו קבילות כראיה לאמיתות תוכנן בגדרם של </w:t>
      </w:r>
      <w:hyperlink r:id="rId7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1"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; </w:t>
      </w:r>
      <w:r>
        <w:rPr>
          <w:rtl w:val="true"/>
        </w:rPr>
        <w:t>ולפי ההלכה הנהוגה ביחס אליהן</w:t>
      </w:r>
      <w:r>
        <w:rPr>
          <w:rtl w:val="true"/>
        </w:rPr>
        <w:t xml:space="preserve">, </w:t>
      </w:r>
      <w:r>
        <w:rPr>
          <w:rtl w:val="true"/>
        </w:rPr>
        <w:t xml:space="preserve">הן יכולות </w:t>
      </w:r>
      <w:r>
        <w:rPr>
          <w:rtl w:val="true"/>
        </w:rPr>
        <w:t>–</w:t>
      </w:r>
      <w:r>
        <w:rPr>
          <w:rtl w:val="true"/>
        </w:rPr>
        <w:t xml:space="preserve"> וראויות </w:t>
      </w:r>
      <w:r>
        <w:rPr>
          <w:rtl w:val="true"/>
        </w:rPr>
        <w:t>–</w:t>
      </w:r>
      <w:r>
        <w:rPr>
          <w:rtl w:val="true"/>
        </w:rPr>
        <w:t xml:space="preserve"> לשמש חיזוק ואפילו סיוע לעדותה של הבת </w:t>
      </w:r>
      <w:r>
        <w:rPr>
          <w:rtl w:val="true"/>
        </w:rPr>
        <w:t>(</w:t>
      </w:r>
      <w:r>
        <w:rPr>
          <w:rtl w:val="true"/>
        </w:rPr>
        <w:t xml:space="preserve">כמוסבר בפסק הדין היסודי אשר ניתן בעניין זה על ידי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tl w:val="true"/>
        </w:rPr>
        <w:t>ביושבה על מדין ב</w:t>
      </w:r>
      <w:hyperlink r:id="rId7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223/64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אפריאט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אבוטבול</w:t>
      </w:r>
      <w:r>
        <w:rPr>
          <w:rtl w:val="true"/>
        </w:rPr>
        <w:t xml:space="preserve"> פס</w:t>
      </w:r>
      <w:r>
        <w:rPr>
          <w:rtl w:val="true"/>
        </w:rPr>
        <w:t>"</w:t>
      </w:r>
      <w:r>
        <w:rPr>
          <w:rtl w:val="true"/>
        </w:rPr>
        <w:t>מ נח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10-9</w:t>
      </w:r>
      <w:r>
        <w:rPr>
          <w:rtl w:val="true"/>
        </w:rPr>
        <w:t xml:space="preserve"> (</w:t>
      </w:r>
      <w:r>
        <w:rPr/>
        <w:t>1967</w:t>
      </w:r>
      <w:r>
        <w:rPr>
          <w:rtl w:val="true"/>
        </w:rPr>
        <w:t xml:space="preserve">);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7293/97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פ</w:t>
      </w:r>
      <w:r>
        <w:rPr>
          <w:rtl w:val="true"/>
        </w:rPr>
        <w:t>"</w:t>
      </w:r>
      <w:r>
        <w:rPr>
          <w:rtl w:val="true"/>
        </w:rPr>
        <w:t>ד נב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460</w:t>
      </w:r>
      <w:r>
        <w:rPr>
          <w:rtl w:val="true"/>
        </w:rPr>
        <w:t xml:space="preserve">, </w:t>
      </w:r>
      <w:r>
        <w:rPr/>
        <w:t>474-468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)).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ברי הוא גם כי עדותה של הבת בנוגע למה שהמערער עולל לה בתוך הג</w:t>
      </w:r>
      <w:r>
        <w:rPr>
          <w:rtl w:val="true"/>
        </w:rPr>
        <w:t>'</w:t>
      </w:r>
      <w:r>
        <w:rPr>
          <w:rtl w:val="true"/>
        </w:rPr>
        <w:t>קוזי</w:t>
      </w:r>
      <w:r>
        <w:rPr>
          <w:rtl w:val="true"/>
        </w:rPr>
        <w:t xml:space="preserve">, </w:t>
      </w:r>
      <w:r>
        <w:rPr>
          <w:rtl w:val="true"/>
        </w:rPr>
        <w:t>בהיותה תחת השפעת החומר ששתתה עם המיץ</w:t>
      </w:r>
      <w:r>
        <w:rPr>
          <w:rtl w:val="true"/>
        </w:rPr>
        <w:t xml:space="preserve">, </w:t>
      </w:r>
      <w:r>
        <w:rPr>
          <w:rtl w:val="true"/>
        </w:rPr>
        <w:t>היא עדות אותנטית ואמינה לחלוטין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עומדת עדותו המפותלת של המערער שלא ידע להסביר את פשר המצב אליו הגיעו האם והבת בסופו של </w:t>
      </w:r>
      <w:r>
        <w:rPr>
          <w:rtl w:val="true"/>
        </w:rPr>
        <w:t>"</w:t>
      </w:r>
      <w:r>
        <w:rPr>
          <w:rtl w:val="true"/>
        </w:rPr>
        <w:t>יום כיף בצפון הארץ</w:t>
      </w:r>
      <w:r>
        <w:rPr>
          <w:rtl w:val="true"/>
        </w:rPr>
        <w:t xml:space="preserve">", </w:t>
      </w:r>
      <w:r>
        <w:rPr>
          <w:rtl w:val="true"/>
        </w:rPr>
        <w:t>ומדוע השתיים מצאו את עצמן</w:t>
      </w:r>
      <w:r>
        <w:rPr>
          <w:rtl w:val="true"/>
        </w:rPr>
        <w:t xml:space="preserve">, </w:t>
      </w:r>
      <w:r>
        <w:rPr>
          <w:rtl w:val="true"/>
        </w:rPr>
        <w:t>בהתעוררן משינה</w:t>
      </w:r>
      <w:r>
        <w:rPr>
          <w:rtl w:val="true"/>
        </w:rPr>
        <w:t xml:space="preserve">, </w:t>
      </w:r>
      <w:r>
        <w:rPr>
          <w:rtl w:val="true"/>
        </w:rPr>
        <w:t>כשהמערער שוכב ביניהן במיטתן ועליו תחתונים 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ראיות אלו מוכיחות את כל המיוחס למערער באישום הראשון</w:t>
      </w:r>
      <w:r>
        <w:rPr>
          <w:rtl w:val="true"/>
        </w:rPr>
        <w:t xml:space="preserve">, </w:t>
      </w:r>
      <w:r>
        <w:rPr>
          <w:rtl w:val="true"/>
        </w:rPr>
        <w:t>ועל כן איני רואה סיבה לנתח חיזוקים נוספים עליהם התבסס בית משפט קמא בהכרעת הדין</w:t>
      </w:r>
      <w:r>
        <w:rPr>
          <w:rtl w:val="true"/>
        </w:rPr>
        <w:t xml:space="preserve">, </w:t>
      </w:r>
      <w:r>
        <w:rPr>
          <w:rtl w:val="true"/>
        </w:rPr>
        <w:t>המנומקת היטב</w:t>
      </w:r>
      <w:r>
        <w:rPr>
          <w:rtl w:val="true"/>
        </w:rPr>
        <w:t xml:space="preserve">, </w:t>
      </w:r>
      <w:r>
        <w:rPr>
          <w:rtl w:val="true"/>
        </w:rPr>
        <w:t>אשר קבעה באופן פסקני ונחרץ כי האם והבת דיברו אמת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אמינות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עוקץ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אמינותה של ש</w:t>
      </w:r>
      <w:r>
        <w:rPr>
          <w:rtl w:val="true"/>
        </w:rPr>
        <w:t xml:space="preserve">' </w:t>
      </w:r>
      <w:r>
        <w:rPr>
          <w:rtl w:val="true"/>
        </w:rPr>
        <w:t>אף היא איננה מוטלת בספק</w:t>
      </w:r>
      <w:r>
        <w:rPr>
          <w:rtl w:val="true"/>
        </w:rPr>
        <w:t xml:space="preserve">. </w:t>
      </w:r>
      <w:r>
        <w:rPr>
          <w:rtl w:val="true"/>
        </w:rPr>
        <w:t>מתלוננת זו מסרה את עדותה ללא כחל וסרק ובית משפט קמא התרשם מאמינותה באופן שלא משאיר שום מקום להתערבותנו</w:t>
      </w:r>
      <w:r>
        <w:rPr>
          <w:rtl w:val="true"/>
        </w:rPr>
        <w:t xml:space="preserve">. </w:t>
      </w:r>
      <w:r>
        <w:rPr>
          <w:rtl w:val="true"/>
        </w:rPr>
        <w:t>גם לעדות זו נמצאו חיזוקים אובייקטיביים אשר כללו את מצבה המטושטש של ש</w:t>
      </w:r>
      <w:r>
        <w:rPr>
          <w:rtl w:val="true"/>
        </w:rPr>
        <w:t xml:space="preserve">' </w:t>
      </w:r>
      <w:r>
        <w:rPr>
          <w:rtl w:val="true"/>
        </w:rPr>
        <w:t>בהגיעה לדירת אחותה</w:t>
      </w:r>
      <w:r>
        <w:rPr>
          <w:rtl w:val="true"/>
        </w:rPr>
        <w:t xml:space="preserve">; </w:t>
      </w:r>
      <w:r>
        <w:rPr>
          <w:rtl w:val="true"/>
        </w:rPr>
        <w:t xml:space="preserve">את </w:t>
      </w:r>
      <w:r>
        <w:rPr>
          <w:rtl w:val="true"/>
        </w:rPr>
        <w:t>"</w:t>
      </w:r>
      <w:r>
        <w:rPr>
          <w:rtl w:val="true"/>
        </w:rPr>
        <w:t>אובדן</w:t>
      </w:r>
      <w:r>
        <w:rPr>
          <w:rtl w:val="true"/>
        </w:rPr>
        <w:t xml:space="preserve">" </w:t>
      </w:r>
      <w:r>
        <w:rPr>
          <w:rtl w:val="true"/>
        </w:rPr>
        <w:t>הטלפון הסלולרי שלה והחזרתו באמצעות נהג המונית</w:t>
      </w:r>
      <w:r>
        <w:rPr>
          <w:rtl w:val="true"/>
        </w:rPr>
        <w:t xml:space="preserve">, </w:t>
      </w:r>
      <w:r>
        <w:rPr>
          <w:rtl w:val="true"/>
        </w:rPr>
        <w:t xml:space="preserve">שכביכול פעל בשליחות </w:t>
      </w:r>
      <w:r>
        <w:rPr>
          <w:rtl w:val="true"/>
        </w:rPr>
        <w:t>"</w:t>
      </w:r>
      <w:r>
        <w:rPr>
          <w:rtl w:val="true"/>
        </w:rPr>
        <w:t>הסוחטים מטורעאן</w:t>
      </w:r>
      <w:r>
        <w:rPr>
          <w:rtl w:val="true"/>
        </w:rPr>
        <w:t xml:space="preserve">"; </w:t>
      </w:r>
      <w:r>
        <w:rPr>
          <w:rtl w:val="true"/>
        </w:rPr>
        <w:t>את הזהות בין נתוני הטלפון הסלולרי של המערער לבין הטלפון ממנו שוגרה הודעת הסחיטה לטלפון של ש</w:t>
      </w:r>
      <w:r>
        <w:rPr>
          <w:rtl w:val="true"/>
        </w:rPr>
        <w:t xml:space="preserve">'; </w:t>
      </w:r>
      <w:r>
        <w:rPr>
          <w:rtl w:val="true"/>
        </w:rPr>
        <w:t xml:space="preserve">את הימצאותם של </w:t>
      </w:r>
      <w:r>
        <w:rPr/>
        <w:t>103,000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במזומנים בידי המערער</w:t>
      </w:r>
      <w:r>
        <w:rPr>
          <w:rtl w:val="true"/>
        </w:rPr>
        <w:t xml:space="preserve">, </w:t>
      </w:r>
      <w:r>
        <w:rPr>
          <w:rtl w:val="true"/>
        </w:rPr>
        <w:t>בעודו נתון בקשיים כלכליים חריפים</w:t>
      </w:r>
      <w:r>
        <w:rPr>
          <w:rtl w:val="true"/>
        </w:rPr>
        <w:t xml:space="preserve">, </w:t>
      </w:r>
      <w:r>
        <w:rPr>
          <w:rtl w:val="true"/>
        </w:rPr>
        <w:t>בסמוך למועד שבו העבירה ש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סוחטים מטורעאן</w:t>
      </w:r>
      <w:r>
        <w:rPr>
          <w:rtl w:val="true"/>
        </w:rPr>
        <w:t xml:space="preserve">"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במזומנים</w:t>
      </w:r>
      <w:r>
        <w:rPr>
          <w:rtl w:val="true"/>
        </w:rPr>
        <w:t xml:space="preserve">; </w:t>
      </w:r>
      <w:r>
        <w:rPr>
          <w:rtl w:val="true"/>
        </w:rPr>
        <w:t>את העובדה שהודעות הסחיטה פסקו מיד אחרי מעצרו של המערער</w:t>
      </w:r>
      <w:r>
        <w:rPr>
          <w:rtl w:val="true"/>
        </w:rPr>
        <w:t xml:space="preserve">; </w:t>
      </w:r>
      <w:r>
        <w:rPr>
          <w:rtl w:val="true"/>
        </w:rPr>
        <w:t>ועוד כהנה וכהנה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אינני נדרש לחיזוקים הנוספים לעדותה של ש</w:t>
      </w:r>
      <w:r>
        <w:rPr>
          <w:rtl w:val="true"/>
        </w:rPr>
        <w:t xml:space="preserve">' </w:t>
      </w:r>
      <w:r>
        <w:rPr>
          <w:rtl w:val="true"/>
        </w:rPr>
        <w:t xml:space="preserve">ולראיות נסיבתיות נוספות שתומכות במסקנה כי </w:t>
      </w:r>
      <w:r>
        <w:rPr>
          <w:rtl w:val="true"/>
        </w:rPr>
        <w:t>"</w:t>
      </w:r>
      <w:r>
        <w:rPr>
          <w:rtl w:val="true"/>
        </w:rPr>
        <w:t>הסוחטים מטורעאן</w:t>
      </w:r>
      <w:r>
        <w:rPr>
          <w:rtl w:val="true"/>
        </w:rPr>
        <w:t xml:space="preserve">" </w:t>
      </w:r>
      <w:r>
        <w:rPr>
          <w:rtl w:val="true"/>
        </w:rPr>
        <w:t>לא היו ולא נבראו וכי ש</w:t>
      </w:r>
      <w:r>
        <w:rPr>
          <w:rtl w:val="true"/>
        </w:rPr>
        <w:t xml:space="preserve">' </w:t>
      </w:r>
      <w:r>
        <w:rPr>
          <w:rtl w:val="true"/>
        </w:rPr>
        <w:t xml:space="preserve">נסחטה על ידי המערער עצמו </w:t>
      </w:r>
      <w:r>
        <w:rPr>
          <w:rtl w:val="true"/>
        </w:rPr>
        <w:t>(</w:t>
      </w:r>
      <w:r>
        <w:rPr>
          <w:rtl w:val="true"/>
        </w:rPr>
        <w:t>אשר ייתכן שפעל עם שותפים ולא בגפו</w:t>
      </w:r>
      <w:r>
        <w:rPr>
          <w:rtl w:val="true"/>
        </w:rPr>
        <w:t xml:space="preserve">). </w:t>
      </w:r>
      <w:r>
        <w:rPr>
          <w:rtl w:val="true"/>
        </w:rPr>
        <w:t xml:space="preserve">אוסיף כי ניסיון המערער לתרץ בעדותו את כל </w:t>
      </w:r>
      <w:r>
        <w:rPr>
          <w:rtl w:val="true"/>
        </w:rPr>
        <w:t>"</w:t>
      </w:r>
      <w:r>
        <w:rPr>
          <w:rtl w:val="true"/>
        </w:rPr>
        <w:t>צירופי המקרים</w:t>
      </w:r>
      <w:r>
        <w:rPr>
          <w:rtl w:val="true"/>
        </w:rPr>
        <w:t xml:space="preserve">" </w:t>
      </w:r>
      <w:r>
        <w:rPr>
          <w:rtl w:val="true"/>
        </w:rPr>
        <w:t xml:space="preserve">אשר זיהו אותו כמי שניהל את מבצע </w:t>
      </w:r>
      <w:r>
        <w:rPr>
          <w:rtl w:val="true"/>
        </w:rPr>
        <w:t>"</w:t>
      </w:r>
      <w:r>
        <w:rPr>
          <w:rtl w:val="true"/>
        </w:rPr>
        <w:t>העוקץ</w:t>
      </w:r>
      <w:r>
        <w:rPr>
          <w:rtl w:val="true"/>
        </w:rPr>
        <w:t xml:space="preserve">" </w:t>
      </w:r>
      <w:r>
        <w:rPr>
          <w:rtl w:val="true"/>
        </w:rPr>
        <w:t>ביד רמה היה בגדר ניסיון נֶפֶל</w:t>
      </w:r>
      <w:r>
        <w:rPr>
          <w:rtl w:val="true"/>
        </w:rPr>
        <w:t xml:space="preserve">. </w:t>
      </w:r>
      <w:r>
        <w:rPr>
          <w:rtl w:val="true"/>
        </w:rPr>
        <w:t>המערער לא ידע להסביר את הזהות הכמעט מוחלטת בין נתוני הטלפון הסלולרי שלו לבין נתוניו של הטלפון ממנו נשלחה הודעת סחיטה לש</w:t>
      </w:r>
      <w:r>
        <w:rPr>
          <w:rtl w:val="true"/>
        </w:rPr>
        <w:t xml:space="preserve">'; </w:t>
      </w:r>
      <w:r>
        <w:rPr>
          <w:rtl w:val="true"/>
        </w:rPr>
        <w:t xml:space="preserve">את הימצאותו של סכום המזומנים הגבוה יחסית </w:t>
      </w:r>
      <w:r>
        <w:rPr>
          <w:rtl w:val="true"/>
        </w:rPr>
        <w:t>(</w:t>
      </w:r>
      <w:r>
        <w:rPr/>
        <w:t>103,000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בידיו בסמוך למועד בו העבירה ש</w:t>
      </w:r>
      <w:r>
        <w:rPr>
          <w:rtl w:val="true"/>
        </w:rPr>
        <w:t xml:space="preserve">'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במזומנים ל</w:t>
      </w:r>
      <w:r>
        <w:rPr>
          <w:rtl w:val="true"/>
        </w:rPr>
        <w:t>"</w:t>
      </w:r>
      <w:r>
        <w:rPr>
          <w:rtl w:val="true"/>
        </w:rPr>
        <w:t>סוחטים מטורעאן</w:t>
      </w:r>
      <w:r>
        <w:rPr>
          <w:rtl w:val="true"/>
        </w:rPr>
        <w:t xml:space="preserve">"; </w:t>
      </w:r>
      <w:r>
        <w:rPr>
          <w:rtl w:val="true"/>
        </w:rPr>
        <w:t>ואת הבלבול וטשטוש החושים שפקד את ש</w:t>
      </w:r>
      <w:r>
        <w:rPr>
          <w:rtl w:val="true"/>
        </w:rPr>
        <w:t xml:space="preserve">' </w:t>
      </w:r>
      <w:r>
        <w:rPr>
          <w:rtl w:val="true"/>
        </w:rPr>
        <w:t>בזמן שהשניים ביקרו באתר הצימרים כדי לאפשר לש</w:t>
      </w:r>
      <w:r>
        <w:rPr>
          <w:rtl w:val="true"/>
        </w:rPr>
        <w:t xml:space="preserve">' </w:t>
      </w:r>
      <w:r>
        <w:rPr>
          <w:rtl w:val="true"/>
        </w:rPr>
        <w:t>להתרשם מתאורת הבריכה</w:t>
      </w:r>
      <w:r>
        <w:rPr>
          <w:rtl w:val="true"/>
        </w:rPr>
        <w:t xml:space="preserve">, </w:t>
      </w:r>
      <w:r>
        <w:rPr>
          <w:rtl w:val="true"/>
        </w:rPr>
        <w:t>אותם ביקש המערער לתרץ על ידי גרסה שקרית בעליל לפיה ש</w:t>
      </w:r>
      <w:r>
        <w:rPr>
          <w:rtl w:val="true"/>
        </w:rPr>
        <w:t xml:space="preserve">' </w:t>
      </w:r>
      <w:r>
        <w:rPr>
          <w:rtl w:val="true"/>
        </w:rPr>
        <w:t>נטלה כדורי שינה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אמינות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הטרמפיסטית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עדותה של א</w:t>
      </w:r>
      <w:r>
        <w:rPr>
          <w:rtl w:val="true"/>
        </w:rPr>
        <w:t xml:space="preserve">', </w:t>
      </w:r>
      <w:r>
        <w:rPr>
          <w:rtl w:val="true"/>
        </w:rPr>
        <w:t>המתלוננת בפרשת הטרמפיסטית</w:t>
      </w:r>
      <w:r>
        <w:rPr>
          <w:rtl w:val="true"/>
        </w:rPr>
        <w:t xml:space="preserve">, </w:t>
      </w:r>
      <w:r>
        <w:rPr>
          <w:rtl w:val="true"/>
        </w:rPr>
        <w:t>היתה אף היא אמינה ללא עוררין</w:t>
      </w:r>
      <w:r>
        <w:rPr>
          <w:rtl w:val="true"/>
        </w:rPr>
        <w:t xml:space="preserve">. </w:t>
      </w:r>
      <w:r>
        <w:rPr>
          <w:rtl w:val="true"/>
        </w:rPr>
        <w:t>מתלוננת זו ראתה כדוריות כחולות בתחתית הכוס ממנה שתתה מיץ לפי הזמנת המערער</w:t>
      </w:r>
      <w:r>
        <w:rPr>
          <w:rtl w:val="true"/>
        </w:rPr>
        <w:t xml:space="preserve">, </w:t>
      </w:r>
      <w:r>
        <w:rPr>
          <w:rtl w:val="true"/>
        </w:rPr>
        <w:t>והרגישה מוזר מיד לאחר מכן</w:t>
      </w:r>
      <w:r>
        <w:rPr>
          <w:rtl w:val="true"/>
        </w:rPr>
        <w:t xml:space="preserve">. </w:t>
      </w:r>
      <w:r>
        <w:rPr>
          <w:rtl w:val="true"/>
        </w:rPr>
        <w:t xml:space="preserve">הוכח כי כדוריות אלה מזוהות עם 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 </w:t>
      </w:r>
      <w:r>
        <w:rPr>
          <w:rtl w:val="true"/>
        </w:rPr>
        <w:t>שדוגמתו נמצאה במכוניתו של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בראיות אלה די כדי לבסס את האישום בפרשת הטרמפיסטית מעבר לספק סביר</w:t>
      </w:r>
      <w:r>
        <w:rPr>
          <w:rtl w:val="true"/>
        </w:rPr>
        <w:t xml:space="preserve">.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המערער ניסה לסמם את א</w:t>
      </w:r>
      <w:r>
        <w:rPr>
          <w:rtl w:val="true"/>
        </w:rPr>
        <w:t xml:space="preserve">', </w:t>
      </w:r>
      <w:r>
        <w:rPr>
          <w:rtl w:val="true"/>
        </w:rPr>
        <w:t>המתלוננת בפרשה זו</w:t>
      </w:r>
      <w:r>
        <w:rPr>
          <w:rtl w:val="true"/>
        </w:rPr>
        <w:t xml:space="preserve">, </w:t>
      </w:r>
      <w:r>
        <w:rPr>
          <w:rtl w:val="true"/>
        </w:rPr>
        <w:t>כדי לבצע בה עבירת מין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האישומים שהוגשו נגד המערער בגין פרשת האם והבת</w:t>
      </w:r>
      <w:r>
        <w:rPr>
          <w:rtl w:val="true"/>
        </w:rPr>
        <w:t xml:space="preserve">, </w:t>
      </w:r>
      <w:r>
        <w:rPr>
          <w:rtl w:val="true"/>
        </w:rPr>
        <w:t>בגין פרשת העוקץ ובגין פרשת הטרמפיסטית הינם שונים זה מזה</w:t>
      </w:r>
      <w:r>
        <w:rPr>
          <w:rtl w:val="true"/>
        </w:rPr>
        <w:t xml:space="preserve">. </w:t>
      </w:r>
      <w:r>
        <w:rPr>
          <w:rtl w:val="true"/>
        </w:rPr>
        <w:t>לצד השוני</w:t>
      </w:r>
      <w:r>
        <w:rPr>
          <w:rtl w:val="true"/>
        </w:rPr>
        <w:t xml:space="preserve">, </w:t>
      </w:r>
      <w:r>
        <w:rPr>
          <w:rtl w:val="true"/>
        </w:rPr>
        <w:t>יש בין שלושת האישומים הללו מכנה משותף</w:t>
      </w:r>
      <w:r>
        <w:rPr>
          <w:rtl w:val="true"/>
        </w:rPr>
        <w:t xml:space="preserve">: </w:t>
      </w:r>
      <w:r>
        <w:rPr>
          <w:rtl w:val="true"/>
        </w:rPr>
        <w:t>השימוש שעשה המערער ב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 </w:t>
      </w:r>
      <w:r>
        <w:rPr>
          <w:rtl w:val="true"/>
        </w:rPr>
        <w:t>אותו הוא מהל בכוסות שתיה שהגיש לכל אחת מהמתלוננות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מכנה משותף זה הוא בגדר ראיה בדבר </w:t>
      </w:r>
      <w:r>
        <w:rPr>
          <w:rtl w:val="true"/>
        </w:rPr>
        <w:t>"</w:t>
      </w:r>
      <w:r>
        <w:rPr>
          <w:rtl w:val="true"/>
        </w:rPr>
        <w:t>מעשים דומים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אם לא ראיית </w:t>
      </w:r>
      <w:r>
        <w:rPr>
          <w:rtl w:val="true"/>
        </w:rPr>
        <w:t>"</w:t>
      </w:r>
      <w:r>
        <w:rPr>
          <w:rtl w:val="true"/>
        </w:rPr>
        <w:t>שיטה</w:t>
      </w:r>
      <w:r>
        <w:rPr>
          <w:rtl w:val="true"/>
        </w:rPr>
        <w:t xml:space="preserve">" </w:t>
      </w:r>
      <w:r>
        <w:rPr>
          <w:rtl w:val="true"/>
        </w:rPr>
        <w:t xml:space="preserve">של ממש </w:t>
      </w:r>
      <w:r>
        <w:rPr>
          <w:rtl w:val="true"/>
        </w:rPr>
        <w:t>–</w:t>
      </w:r>
      <w:r>
        <w:rPr>
          <w:rtl w:val="true"/>
        </w:rPr>
        <w:t xml:space="preserve"> אשר מוסיפה משקל רב לראיות התומכות בכל אחד מהאישומים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334-332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10.11.2011</w:t>
      </w:r>
      <w:r>
        <w:rPr>
          <w:rtl w:val="true"/>
        </w:rPr>
        <w:t xml:space="preserve">); </w:t>
      </w:r>
      <w:r>
        <w:rPr>
          <w:rtl w:val="true"/>
        </w:rPr>
        <w:t>נינה זלצמן</w:t>
      </w:r>
      <w:r>
        <w:rPr>
          <w:rtl w:val="true"/>
        </w:rPr>
        <w:t>, "</w:t>
      </w:r>
      <w:r>
        <w:rPr>
          <w:rtl w:val="true"/>
        </w:rPr>
        <w:t xml:space="preserve">עדות </w:t>
      </w:r>
      <w:r>
        <w:rPr>
          <w:rtl w:val="true"/>
        </w:rPr>
        <w:t>"</w:t>
      </w:r>
      <w:r>
        <w:rPr>
          <w:rtl w:val="true"/>
        </w:rPr>
        <w:t>שיטה</w:t>
      </w:r>
      <w:r>
        <w:rPr>
          <w:rtl w:val="true"/>
        </w:rPr>
        <w:t xml:space="preserve">" </w:t>
      </w:r>
      <w:r>
        <w:rPr>
          <w:rtl w:val="true"/>
        </w:rPr>
        <w:t xml:space="preserve">כראייה מסייעת </w:t>
      </w:r>
      <w:r>
        <w:rPr>
          <w:rtl w:val="true"/>
        </w:rPr>
        <w:t>–</w:t>
      </w:r>
      <w:r>
        <w:rPr>
          <w:rtl w:val="true"/>
        </w:rPr>
        <w:t xml:space="preserve"> מבחן שונה לקבילות</w:t>
      </w:r>
      <w:r>
        <w:rPr>
          <w:rtl w:val="true"/>
        </w:rPr>
        <w:t xml:space="preserve">?"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Times New Roman" w:hAnsi="Times New Roman" w:cs="Times New Roman"/>
          <w:sz w:val="20"/>
          <w:sz w:val="20"/>
          <w:szCs w:val="26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יא </w:t>
      </w:r>
      <w:r>
        <w:rPr>
          <w:rFonts w:cs="Century" w:ascii="Century" w:hAnsi="Century"/>
          <w:sz w:val="22"/>
        </w:rPr>
        <w:t>528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חיבורה לכל אחד משלושת האישומים אינו משאיר מקום לספקות באשר למעשי המערער וכוונותיו</w:t>
      </w:r>
      <w:r>
        <w:rPr>
          <w:rtl w:val="true"/>
        </w:rPr>
        <w:t xml:space="preserve">, </w:t>
      </w:r>
      <w:r>
        <w:rPr>
          <w:rtl w:val="true"/>
        </w:rPr>
        <w:t>כמי שסימם את האם ואת הבת כדי לבצע בבת מעשה מגונה</w:t>
      </w:r>
      <w:r>
        <w:rPr>
          <w:rtl w:val="true"/>
        </w:rPr>
        <w:t xml:space="preserve">, </w:t>
      </w:r>
      <w:r>
        <w:rPr>
          <w:rtl w:val="true"/>
        </w:rPr>
        <w:t>אם לא עבירה חמורה יותר</w:t>
      </w:r>
      <w:r>
        <w:rPr>
          <w:rtl w:val="true"/>
        </w:rPr>
        <w:t xml:space="preserve">; </w:t>
      </w:r>
      <w:r>
        <w:rPr>
          <w:rtl w:val="true"/>
        </w:rPr>
        <w:t>כמי שסימם את ש</w:t>
      </w:r>
      <w:r>
        <w:rPr>
          <w:rtl w:val="true"/>
        </w:rPr>
        <w:t xml:space="preserve">' </w:t>
      </w:r>
      <w:r>
        <w:rPr>
          <w:rtl w:val="true"/>
        </w:rPr>
        <w:t>כחלק ממבצע הסחיטה והמרמה בפרשת העוקץ</w:t>
      </w:r>
      <w:r>
        <w:rPr>
          <w:rtl w:val="true"/>
        </w:rPr>
        <w:t xml:space="preserve">; </w:t>
      </w:r>
      <w:r>
        <w:rPr>
          <w:rtl w:val="true"/>
        </w:rPr>
        <w:t>וכמי שניסה לסמם את א</w:t>
      </w:r>
      <w:r>
        <w:rPr>
          <w:rtl w:val="true"/>
        </w:rPr>
        <w:t xml:space="preserve">', </w:t>
      </w:r>
      <w:r>
        <w:rPr>
          <w:rtl w:val="true"/>
        </w:rPr>
        <w:t>המתלוננת בפרשת הטרמפיסטית</w:t>
      </w:r>
      <w:r>
        <w:rPr>
          <w:rtl w:val="true"/>
        </w:rPr>
        <w:t xml:space="preserve">, </w:t>
      </w:r>
      <w:r>
        <w:rPr>
          <w:rtl w:val="true"/>
        </w:rPr>
        <w:t>כדי לבצע בה עבירת מין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אמינות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הסרטונים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גם מתלוננות אלה מסרו עדות אמת כאשר סיפרו לבית המשפט כי לא נתנו את הסכמתן לכך שהמערער יצלמן בזמן קיום יחסי המין</w:t>
      </w:r>
      <w:r>
        <w:rPr>
          <w:rtl w:val="true"/>
        </w:rPr>
        <w:t xml:space="preserve">. </w:t>
      </w:r>
      <w:r>
        <w:rPr>
          <w:rtl w:val="true"/>
        </w:rPr>
        <w:t>איני רואה מקום להתערב ברושם החיובי שמתלוננות אלה הותירו בעדותן אצל בית משפט קמא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אציין כי התרשמותו של בית משפט קמא מהעדויות שמסרו המתלוננות עולה בקנה אחד עם השכל הישר</w:t>
      </w:r>
      <w:r>
        <w:rPr>
          <w:rtl w:val="true"/>
        </w:rPr>
        <w:t xml:space="preserve">. </w:t>
      </w:r>
      <w:r>
        <w:rPr>
          <w:rtl w:val="true"/>
        </w:rPr>
        <w:t>אנשים שמחפשים לעצמם הרפתקה מינית מן הסוג שבו מדובר אינם מעוניינים להיחשף ולתת פומבי למעשיהם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גרוע מכך</w:t>
      </w:r>
      <w:r>
        <w:rPr>
          <w:rtl w:val="true"/>
        </w:rPr>
        <w:t xml:space="preserve">: </w:t>
      </w:r>
      <w:r>
        <w:rPr>
          <w:rtl w:val="true"/>
        </w:rPr>
        <w:t>לחשוף את עצמם לאפשרות של סחיטה</w:t>
      </w:r>
      <w:r>
        <w:rPr>
          <w:rtl w:val="true"/>
        </w:rPr>
        <w:t xml:space="preserve">. </w:t>
      </w:r>
      <w:r>
        <w:rPr>
          <w:rtl w:val="true"/>
        </w:rPr>
        <w:t>אנשים כאלה מן הסתם אינם מסכימים לכך שיצלמום כשהם מקיימים יחסי מין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באין חולק על כך שהמערער צילם את המתלוננות הללו בזמן שקיים עמן יחסי מין</w:t>
      </w:r>
      <w:r>
        <w:rPr>
          <w:rtl w:val="true"/>
        </w:rPr>
        <w:t xml:space="preserve">, </w:t>
      </w:r>
      <w:r>
        <w:rPr>
          <w:rtl w:val="true"/>
        </w:rPr>
        <w:t xml:space="preserve">ולאחר שהוכח שהמתלוננות לא הסכימו להיות מצולמות </w:t>
      </w:r>
      <w:r>
        <w:rPr>
          <w:rtl w:val="true"/>
        </w:rPr>
        <w:t>–</w:t>
      </w:r>
      <w:r>
        <w:rPr>
          <w:rtl w:val="true"/>
        </w:rPr>
        <w:t xml:space="preserve"> המסקנה כי המערער עבר שתי עבירות פליליות לפני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 הינה מתבקשת מאליה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בעניין מחדלי חקירה</w:t>
      </w:r>
      <w:r>
        <w:rPr>
          <w:rtl w:val="true"/>
        </w:rPr>
        <w:t xml:space="preserve">, </w:t>
      </w:r>
      <w:r>
        <w:rPr>
          <w:rtl w:val="true"/>
        </w:rPr>
        <w:t>אין לי אלא לחזור על הדברים שאמרתי בפרשה אחרת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" </w:t>
      </w:r>
      <w:r>
        <w:rPr>
          <w:rtl w:val="true"/>
        </w:rPr>
        <w:t>נהנות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מפופולריות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במשפטנו</w:t>
      </w:r>
      <w:r>
        <w:rPr>
          <w:rtl w:val="true"/>
        </w:rPr>
        <w:t xml:space="preserve">. </w:t>
      </w:r>
      <w:r>
        <w:rPr>
          <w:rtl w:val="true"/>
        </w:rPr>
        <w:t>התדירות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tl w:val="true"/>
        </w:rPr>
        <w:t xml:space="preserve">"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התדיינות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שלדאבוני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הזרים</w:t>
      </w:r>
      <w:r>
        <w:rPr>
          <w:rtl w:val="true"/>
        </w:rPr>
        <w:t xml:space="preserve">, </w:t>
      </w:r>
      <w:r>
        <w:rPr>
          <w:rtl w:val="true"/>
        </w:rPr>
        <w:t>שלדברי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צולמו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כבקשתך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מכלכלת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החקירתיים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8.2.2018</w:t>
      </w:r>
      <w:r>
        <w:rPr>
          <w:rtl w:val="true"/>
        </w:rPr>
        <w:t xml:space="preserve">), </w:t>
      </w:r>
      <w:r>
        <w:rPr>
          <w:rtl w:val="true"/>
        </w:rPr>
        <w:t>"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מרובה</w:t>
      </w:r>
      <w:r>
        <w:rPr>
          <w:rtl w:val="true"/>
        </w:rPr>
        <w:t xml:space="preserve">, </w:t>
      </w:r>
      <w:r>
        <w:rPr>
          <w:rtl w:val="true"/>
        </w:rPr>
        <w:t>והפועלים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מוגבלים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מקיבעון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</w:t>
      </w:r>
      <w:r>
        <w:rPr>
          <w:rtl w:val="true"/>
        </w:rPr>
        <w:t>."</w:t>
      </w:r>
      <w:r>
        <w:rPr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שעיקרם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19.7.2007</w:t>
      </w:r>
      <w:r>
        <w:rPr>
          <w:rtl w:val="true"/>
        </w:rPr>
        <w:t>))</w:t>
      </w:r>
      <w:r>
        <w:rPr>
          <w:rtl w:val="true"/>
        </w:rPr>
        <w:t>."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</w:t>
      </w:r>
      <w:r>
        <w:rPr/>
        <w:t>4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ברגות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אשמתו של המערער בכל אחת ואחת מהפרשות הוכחה מעבר לספק סביר</w:t>
      </w:r>
      <w:r>
        <w:rPr>
          <w:rtl w:val="true"/>
        </w:rPr>
        <w:t xml:space="preserve">. </w:t>
      </w: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אינני סבור אפוא כי העובדה שחלק מהאנשים שקשורים להפעלת הצימרים</w:t>
      </w:r>
      <w:r>
        <w:rPr>
          <w:rtl w:val="true"/>
        </w:rPr>
        <w:t xml:space="preserve">, </w:t>
      </w:r>
      <w:r>
        <w:rPr>
          <w:rtl w:val="true"/>
        </w:rPr>
        <w:t>בהם הוא ביקר עם המתלוננות מפרשת האם והבת ומפרשת העוקץ</w:t>
      </w:r>
      <w:r>
        <w:rPr>
          <w:rtl w:val="true"/>
        </w:rPr>
        <w:t xml:space="preserve">, </w:t>
      </w:r>
      <w:r>
        <w:rPr>
          <w:rtl w:val="true"/>
        </w:rPr>
        <w:t>לא נחקרו</w:t>
      </w:r>
      <w:r>
        <w:rPr>
          <w:rtl w:val="true"/>
        </w:rPr>
        <w:t xml:space="preserve">, </w:t>
      </w:r>
      <w:r>
        <w:rPr>
          <w:rtl w:val="true"/>
        </w:rPr>
        <w:t>או לא נחקרו מספיק</w:t>
      </w:r>
      <w:r>
        <w:rPr>
          <w:rtl w:val="true"/>
        </w:rPr>
        <w:t xml:space="preserve">, </w:t>
      </w:r>
      <w:r>
        <w:rPr>
          <w:rtl w:val="true"/>
        </w:rPr>
        <w:t>היא בגדר מחדל חקירה רציני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; </w:t>
      </w:r>
      <w:r>
        <w:rPr>
          <w:rtl w:val="true"/>
        </w:rPr>
        <w:t>וכך הוא גם לגבי בדיקת הסדין עם זרעו של המערער בפרשת האם והבת</w:t>
      </w:r>
      <w:r>
        <w:rPr>
          <w:rtl w:val="true"/>
        </w:rPr>
        <w:t xml:space="preserve">, </w:t>
      </w:r>
      <w:r>
        <w:rPr>
          <w:rtl w:val="true"/>
        </w:rPr>
        <w:t>שלא נעשתה</w:t>
      </w:r>
      <w:r>
        <w:rPr>
          <w:rtl w:val="true"/>
        </w:rPr>
        <w:t xml:space="preserve">, </w:t>
      </w:r>
      <w:r>
        <w:rPr>
          <w:rtl w:val="true"/>
        </w:rPr>
        <w:t>ולגבי כיווני חקירה שלא מומשו</w:t>
      </w:r>
      <w:r>
        <w:rPr>
          <w:rtl w:val="true"/>
        </w:rPr>
        <w:t xml:space="preserve">. </w:t>
      </w:r>
      <w:r>
        <w:rPr>
          <w:rtl w:val="true"/>
        </w:rPr>
        <w:t>סימום האם והבת בפרשה שקשורה אליהן הוכח לא רק באמצעות עדויותיהן אלא גם בראיות אובייקטיביות</w:t>
      </w:r>
      <w:r>
        <w:rPr>
          <w:rtl w:val="true"/>
        </w:rPr>
        <w:t xml:space="preserve">; </w:t>
      </w:r>
      <w:r>
        <w:rPr>
          <w:rtl w:val="true"/>
        </w:rPr>
        <w:t>וכך הוא גם לגבי מעשה הסחיטה אשר בוצע על ידי המערער כלפי ש</w:t>
      </w:r>
      <w:r>
        <w:rPr>
          <w:rtl w:val="true"/>
        </w:rPr>
        <w:t xml:space="preserve">' </w:t>
      </w:r>
      <w:r>
        <w:rPr>
          <w:rtl w:val="true"/>
        </w:rPr>
        <w:t>בפרשת העוקץ</w:t>
      </w:r>
      <w:r>
        <w:rPr>
          <w:rtl w:val="true"/>
        </w:rPr>
        <w:t xml:space="preserve">. </w:t>
      </w:r>
      <w:r>
        <w:rPr>
          <w:rtl w:val="true"/>
        </w:rPr>
        <w:t>כפי שהדגיש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בפסק דינו שצוטט לעיל</w:t>
      </w:r>
      <w:r>
        <w:rPr>
          <w:rtl w:val="true"/>
        </w:rPr>
        <w:t xml:space="preserve">, </w:t>
      </w:r>
      <w:r>
        <w:rPr>
          <w:rtl w:val="true"/>
        </w:rPr>
        <w:t>כיווני חקירה נוספים קיימים כמעט בכל תיק</w:t>
      </w:r>
      <w:r>
        <w:rPr>
          <w:rtl w:val="true"/>
        </w:rPr>
        <w:t xml:space="preserve">, </w:t>
      </w:r>
      <w:r>
        <w:rPr>
          <w:rtl w:val="true"/>
        </w:rPr>
        <w:t>אבל חוקרי משטרה פועלים במצב של מלאכה מרובה ומשאבים מוגבלים</w:t>
      </w:r>
      <w:r>
        <w:rPr>
          <w:rtl w:val="true"/>
        </w:rPr>
        <w:t xml:space="preserve">, </w:t>
      </w:r>
      <w:r>
        <w:rPr>
          <w:rtl w:val="true"/>
        </w:rPr>
        <w:t>שאותם הם מקצים בתבונה</w:t>
      </w:r>
      <w:r>
        <w:rPr>
          <w:rtl w:val="true"/>
        </w:rPr>
        <w:t xml:space="preserve">, </w:t>
      </w:r>
      <w:r>
        <w:rPr>
          <w:rtl w:val="true"/>
        </w:rPr>
        <w:t>לכל תיק ותיק</w:t>
      </w:r>
      <w:r>
        <w:rPr>
          <w:rtl w:val="true"/>
        </w:rPr>
        <w:t xml:space="preserve">, </w:t>
      </w:r>
      <w:r>
        <w:rPr>
          <w:rtl w:val="true"/>
        </w:rPr>
        <w:t>לפי שיקול דעתם המקצועי</w:t>
      </w:r>
      <w:r>
        <w:rPr>
          <w:rtl w:val="true"/>
        </w:rPr>
        <w:t xml:space="preserve">. </w:t>
      </w:r>
      <w:r>
        <w:rPr>
          <w:rtl w:val="true"/>
        </w:rPr>
        <w:t>בשיקול דעת זה לא נתערב אלא במקרים חריגים</w:t>
      </w:r>
      <w:r>
        <w:rPr>
          <w:rtl w:val="true"/>
        </w:rPr>
        <w:t xml:space="preserve">, </w:t>
      </w:r>
      <w:r>
        <w:rPr>
          <w:rtl w:val="true"/>
        </w:rPr>
        <w:t>שעיקרם</w:t>
      </w:r>
      <w:r>
        <w:rPr>
          <w:rtl w:val="true"/>
        </w:rPr>
        <w:t xml:space="preserve">, </w:t>
      </w:r>
      <w:r>
        <w:rPr>
          <w:rtl w:val="true"/>
        </w:rPr>
        <w:t xml:space="preserve">כפי שציינתי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ברגות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נקיטת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חקירתית</w:t>
      </w:r>
      <w:r>
        <w:rPr>
          <w:rtl w:val="true"/>
        </w:rPr>
        <w:t xml:space="preserve"> </w:t>
      </w:r>
      <w:r>
        <w:rPr>
          <w:rtl w:val="true"/>
        </w:rPr>
        <w:t>מתבקשת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מטיל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 </w:t>
      </w:r>
      <w:r>
        <w:rPr>
          <w:rtl w:val="true"/>
        </w:rPr>
        <w:t>שבאות</w:t>
      </w:r>
      <w:r>
        <w:rPr>
          <w:rtl w:val="true"/>
        </w:rPr>
        <w:t xml:space="preserve"> </w:t>
      </w:r>
      <w:r>
        <w:rPr>
          <w:rtl w:val="true"/>
        </w:rPr>
        <w:t>להפליל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ראו 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המקרה דנן אינו בגדר חריג לכלל</w:t>
      </w:r>
      <w:r>
        <w:rPr>
          <w:rtl w:val="true"/>
        </w:rPr>
        <w:t xml:space="preserve">. </w:t>
      </w:r>
      <w:r>
        <w:rPr>
          <w:rtl w:val="true"/>
        </w:rPr>
        <w:t>כאשר אשמתו של חשוד או נאשם הינה ברורה ומוכחת על ידי ראיות מוצקות</w:t>
      </w:r>
      <w:r>
        <w:rPr>
          <w:rtl w:val="true"/>
        </w:rPr>
        <w:t xml:space="preserve">, </w:t>
      </w:r>
      <w:r>
        <w:rPr>
          <w:rtl w:val="true"/>
        </w:rPr>
        <w:t>אין כל סיבה לפתח כיווני חקירה חדשים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ענייני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פרוצדורה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מלין על צירוף אישומים בעניינו</w:t>
      </w:r>
      <w:r>
        <w:rPr>
          <w:rtl w:val="true"/>
        </w:rPr>
        <w:t xml:space="preserve">, </w:t>
      </w:r>
      <w:r>
        <w:rPr>
          <w:rtl w:val="true"/>
        </w:rPr>
        <w:t>אך בתלונתו זו אין ממש</w:t>
      </w:r>
      <w:r>
        <w:rPr>
          <w:rtl w:val="true"/>
        </w:rPr>
        <w:t xml:space="preserve">. </w:t>
      </w:r>
      <w:r>
        <w:rPr>
          <w:rtl w:val="true"/>
        </w:rPr>
        <w:t xml:space="preserve">צירוף אישומים הוא פררוגטיבה של התביעה כל אימת שמדובר באישומים המבוססים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", </w:t>
      </w:r>
      <w:r>
        <w:rPr>
          <w:rtl w:val="true"/>
        </w:rPr>
        <w:t xml:space="preserve">כאמור </w:t>
      </w:r>
      <w:hyperlink r:id="rId8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8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צירים שמחברים את האישומים כוללים סימום המתלוננות ב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 </w:t>
      </w:r>
      <w:r>
        <w:rPr>
          <w:rtl w:val="true"/>
        </w:rPr>
        <w:t xml:space="preserve">וצילומן בזמן קיום יחסי מין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כאמצעים אשר נועדו לאפשר למערער לבצע עבירות מין</w:t>
      </w:r>
      <w:r>
        <w:rPr>
          <w:rtl w:val="true"/>
        </w:rPr>
        <w:t xml:space="preserve">, </w:t>
      </w:r>
      <w:r>
        <w:rPr>
          <w:rtl w:val="true"/>
        </w:rPr>
        <w:t>סחיטה וקבלת דבר במרמה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יוער כי את מה שתכנן המערער לעשות עם צילומי המתלוננות מפרשת הסרטונים לא נדע לעולם</w:t>
      </w:r>
      <w:r>
        <w:rPr>
          <w:rtl w:val="true"/>
        </w:rPr>
        <w:t xml:space="preserve">, </w:t>
      </w:r>
      <w:r>
        <w:rPr>
          <w:rtl w:val="true"/>
        </w:rPr>
        <w:t>אך יחד עם כך ברור הוא ששמירת הצילומים הללו במכשיר הטלפון שלו העמידה אותו בעמדת סחיטה מול כל אחת מהמתלוננות</w:t>
      </w:r>
      <w:r>
        <w:rPr>
          <w:rtl w:val="true"/>
        </w:rPr>
        <w:t xml:space="preserve">. </w:t>
      </w:r>
      <w:r>
        <w:rPr>
          <w:rtl w:val="true"/>
        </w:rPr>
        <w:t xml:space="preserve">מכאן המסקנה כי התביעה פעלה נכון ולא עשתה שימוש לרעה בסמכותה לצרף אישומים נגד המערער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1301/92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749</w:t>
      </w:r>
      <w:r>
        <w:rPr>
          <w:rtl w:val="true"/>
        </w:rPr>
        <w:t xml:space="preserve">, </w:t>
      </w:r>
      <w:r>
        <w:rPr/>
        <w:t>784-783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התביעה הפרה את החובה ליידעו בנוגע לעבירות שבגינן היא החליטה</w:t>
      </w:r>
      <w:r>
        <w:rPr>
          <w:rtl w:val="true"/>
        </w:rPr>
        <w:t xml:space="preserve">,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להעמידו לדין</w:t>
      </w:r>
      <w:r>
        <w:rPr>
          <w:rtl w:val="true"/>
        </w:rPr>
        <w:t xml:space="preserve">, </w:t>
      </w:r>
      <w:r>
        <w:rPr>
          <w:rtl w:val="true"/>
        </w:rPr>
        <w:t>וכפועל יוצא מכך לא אפשרה לו להגיב להאשמות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 xml:space="preserve">הזכאות ליידוע ולמתן אפשרות לחשוד להגיב להאשמות ולבקש מהתביעה להימנע מהגשת כתב אישום איננה נחלתו של חשוד </w:t>
      </w:r>
      <w:r>
        <w:rPr>
          <w:rtl w:val="true"/>
        </w:rPr>
        <w:t>"</w:t>
      </w:r>
      <w:r>
        <w:rPr>
          <w:rtl w:val="true"/>
        </w:rPr>
        <w:t>שבעת</w:t>
      </w:r>
      <w:r>
        <w:rPr>
          <w:rtl w:val="true"/>
        </w:rPr>
        <w:t xml:space="preserve"> </w:t>
      </w:r>
      <w:r>
        <w:rPr>
          <w:rtl w:val="true"/>
        </w:rPr>
        <w:t>העברת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והוגש</w:t>
      </w:r>
      <w:r>
        <w:rPr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בתקופת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" (</w:t>
      </w:r>
      <w:r>
        <w:rPr>
          <w:rtl w:val="true"/>
        </w:rPr>
        <w:t xml:space="preserve">כאמור </w:t>
      </w:r>
      <w:hyperlink r:id="rId8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כפי שעולה מהאמור בגזר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היה עצור בזמן קבלת ההחלטה להגיש נגדו כתב אישום </w:t>
      </w:r>
      <w:r>
        <w:rPr>
          <w:rtl w:val="true"/>
        </w:rPr>
        <w:t>(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1092</w:t>
      </w:r>
      <w:r>
        <w:rPr>
          <w:rtl w:val="true"/>
        </w:rPr>
        <w:t xml:space="preserve"> </w:t>
      </w:r>
      <w:r>
        <w:rPr>
          <w:rtl w:val="true"/>
        </w:rPr>
        <w:t>לגזר הדין קמא</w:t>
      </w:r>
      <w:r>
        <w:rPr>
          <w:rtl w:val="true"/>
        </w:rPr>
        <w:t xml:space="preserve">), </w:t>
      </w:r>
      <w:r>
        <w:rPr>
          <w:rtl w:val="true"/>
        </w:rPr>
        <w:t>ועל כן התביעה לא היתה חייבת ליידעו על כוונתה להגיש נגדו כתב אישום ולאפשר לו להגיב להאשמות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מעלה טענת התיישנות ביחס לעבירה מושא האישום בפרשת הטרמפיסטית</w:t>
      </w:r>
      <w:r>
        <w:rPr>
          <w:rtl w:val="true"/>
        </w:rPr>
        <w:t xml:space="preserve">. </w:t>
      </w:r>
      <w:r>
        <w:rPr>
          <w:rtl w:val="true"/>
        </w:rPr>
        <w:t xml:space="preserve">עבירה זו היא בגדר </w:t>
      </w:r>
      <w:r>
        <w:rPr>
          <w:rtl w:val="true"/>
        </w:rPr>
        <w:t>"</w:t>
      </w:r>
      <w:r>
        <w:rPr>
          <w:rtl w:val="true"/>
        </w:rPr>
        <w:t>פשע אחר</w:t>
      </w:r>
      <w:r>
        <w:rPr>
          <w:rtl w:val="true"/>
        </w:rPr>
        <w:t xml:space="preserve">" </w:t>
      </w:r>
      <w:r>
        <w:rPr>
          <w:rtl w:val="true"/>
        </w:rPr>
        <w:t xml:space="preserve">במובנו של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אשר מתיישנת בחלוף עשר שנים מיום ההליך האחרון בחקירה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8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לאותו חוק</w:t>
      </w:r>
      <w:r>
        <w:rPr>
          <w:rtl w:val="true"/>
        </w:rPr>
        <w:t xml:space="preserve">. </w:t>
      </w:r>
      <w:r>
        <w:rPr>
          <w:rtl w:val="true"/>
        </w:rPr>
        <w:t>כפי שקבע בית משפט קמא</w:t>
      </w:r>
      <w:r>
        <w:rPr>
          <w:rtl w:val="true"/>
        </w:rPr>
        <w:t xml:space="preserve">,  </w:t>
      </w:r>
      <w:r>
        <w:rPr>
          <w:rtl w:val="true"/>
        </w:rPr>
        <w:t xml:space="preserve">ביום </w:t>
      </w:r>
      <w:r>
        <w:rPr/>
        <w:t>19.2.2007</w:t>
      </w:r>
      <w:r>
        <w:rPr>
          <w:rtl w:val="true"/>
        </w:rPr>
        <w:t xml:space="preserve">, </w:t>
      </w:r>
      <w:r>
        <w:rPr>
          <w:rtl w:val="true"/>
        </w:rPr>
        <w:t>נגבתה הודעה נוספת של המתלוננת א</w:t>
      </w:r>
      <w:r>
        <w:rPr>
          <w:rtl w:val="true"/>
        </w:rPr>
        <w:t xml:space="preserve">' </w:t>
      </w:r>
      <w:r>
        <w:rPr>
          <w:rtl w:val="true"/>
        </w:rPr>
        <w:t xml:space="preserve">מפרשת הטרמפיסטית ולאחר מועד זה בוצעו מספר פעולות חקירה נוספות ובהן אף חקירתו של המערער עצמו ביום </w:t>
      </w:r>
      <w:r>
        <w:rPr/>
        <w:t>15.3.2007</w:t>
      </w:r>
      <w:r>
        <w:rPr>
          <w:rtl w:val="true"/>
        </w:rPr>
        <w:t xml:space="preserve"> (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1045-1044</w:t>
      </w:r>
      <w:r>
        <w:rPr>
          <w:rtl w:val="true"/>
        </w:rPr>
        <w:t xml:space="preserve"> </w:t>
      </w:r>
      <w:r>
        <w:rPr>
          <w:rtl w:val="true"/>
        </w:rPr>
        <w:t>לפסק הדין קמא</w:t>
      </w:r>
      <w:r>
        <w:rPr>
          <w:rtl w:val="true"/>
        </w:rPr>
        <w:t xml:space="preserve">). </w:t>
      </w:r>
      <w:r>
        <w:rPr>
          <w:rtl w:val="true"/>
        </w:rPr>
        <w:t xml:space="preserve">התביעה הגישה את כתב האישום נגד המערער בחודש דצמבר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בטרם חלפו עשר שנים מיום החקירה האחרון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העבירה מושא האישום בפרשת הטרמפיסטית לא התיישנה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מלין גם על פריקת הטלפון הסלולרי שלו במהלך החקירה</w:t>
      </w:r>
      <w:r>
        <w:rPr>
          <w:rtl w:val="true"/>
        </w:rPr>
        <w:t xml:space="preserve">, </w:t>
      </w:r>
      <w:r>
        <w:rPr>
          <w:rtl w:val="true"/>
        </w:rPr>
        <w:t xml:space="preserve">אך הדבר נעשה מכוח צו חיפוש רחב שניתן על ידי בית משפט במסגרת </w:t>
      </w:r>
      <w:hyperlink r:id="rId9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1">
        <w:r>
          <w:rPr>
            <w:rStyle w:val="Hyperlink"/>
          </w:rPr>
          <w:t>23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9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; </w:t>
      </w:r>
      <w:r>
        <w:rPr>
          <w:rtl w:val="true"/>
        </w:rPr>
        <w:t xml:space="preserve">והמערער אף נתן את הסכמתו לחיפוש </w:t>
      </w:r>
      <w:r>
        <w:rPr>
          <w:rtl w:val="true"/>
        </w:rPr>
        <w:t>(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1051</w:t>
      </w:r>
      <w:r>
        <w:rPr>
          <w:rtl w:val="true"/>
        </w:rPr>
        <w:t xml:space="preserve"> </w:t>
      </w:r>
      <w:r>
        <w:rPr>
          <w:rtl w:val="true"/>
        </w:rPr>
        <w:t>לפסק הדין קמא</w:t>
      </w:r>
      <w:r>
        <w:rPr>
          <w:rtl w:val="true"/>
        </w:rPr>
        <w:t xml:space="preserve">).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פריקת הטלפון הסלולרי של המערער והשימוש שעשתה התביעה בתוצריה לא הפרו שום זכות מזכויותיו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טוען המערער כי שלושת האישומים הראשונים </w:t>
      </w:r>
      <w:r>
        <w:rPr>
          <w:rtl w:val="true"/>
        </w:rPr>
        <w:t>–</w:t>
      </w:r>
      <w:r>
        <w:rPr>
          <w:rtl w:val="true"/>
        </w:rPr>
        <w:t xml:space="preserve"> פרשת האם והבת</w:t>
      </w:r>
      <w:r>
        <w:rPr>
          <w:rtl w:val="true"/>
        </w:rPr>
        <w:t xml:space="preserve">, </w:t>
      </w:r>
      <w:r>
        <w:rPr>
          <w:rtl w:val="true"/>
        </w:rPr>
        <w:t>פרשת העוקץ</w:t>
      </w:r>
      <w:r>
        <w:rPr>
          <w:rtl w:val="true"/>
        </w:rPr>
        <w:t xml:space="preserve">, </w:t>
      </w:r>
      <w:r>
        <w:rPr>
          <w:rtl w:val="true"/>
        </w:rPr>
        <w:t xml:space="preserve">ופרשת הטרמפיסטית </w:t>
      </w:r>
      <w:r>
        <w:rPr>
          <w:rtl w:val="true"/>
        </w:rPr>
        <w:t>–</w:t>
      </w:r>
      <w:r>
        <w:rPr>
          <w:rtl w:val="true"/>
        </w:rPr>
        <w:t xml:space="preserve"> לוקים בחוסר פירוט</w:t>
      </w:r>
      <w:r>
        <w:rPr>
          <w:rtl w:val="true"/>
        </w:rPr>
        <w:t xml:space="preserve">. </w:t>
      </w:r>
      <w:r>
        <w:rPr>
          <w:rtl w:val="true"/>
        </w:rPr>
        <w:t>אישומים אלה ייחסו למערער שלילת כושר התנגדותו של אדם כדי לבצע פשע או עוון או להקל על ביצועם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מבלי לציין את הפשע הספציפי או את העוון הספציפי שהיה בכוונתו לבצע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לטענה זו יש תמיכה באמור ב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791/79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117</w:t>
      </w:r>
      <w:r>
        <w:rPr>
          <w:rtl w:val="true"/>
        </w:rPr>
        <w:t xml:space="preserve">, </w:t>
      </w:r>
      <w:r>
        <w:rPr/>
        <w:t>119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פסק הדין בו נקבע כי כתב אישום אשר מייחס לנאשם קבלת נכסים שהושגו בעוון צריך לפרט את העוון הספציפי שבו מדובר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לאמיתו של דבר</w:t>
      </w:r>
      <w:r>
        <w:rPr>
          <w:rtl w:val="true"/>
        </w:rPr>
        <w:t xml:space="preserve">, </w:t>
      </w:r>
      <w:r>
        <w:rPr>
          <w:rtl w:val="true"/>
        </w:rPr>
        <w:t>הדברים אינם כך</w:t>
      </w:r>
      <w:r>
        <w:rPr>
          <w:rtl w:val="true"/>
        </w:rPr>
        <w:t xml:space="preserve">: </w:t>
      </w:r>
      <w:r>
        <w:rPr>
          <w:rtl w:val="true"/>
        </w:rPr>
        <w:t>לעניינו של ניסוח 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 xml:space="preserve">לא הרי עוון </w:t>
      </w:r>
      <w:r>
        <w:rPr>
          <w:rtl w:val="true"/>
        </w:rPr>
        <w:t>(</w:t>
      </w:r>
      <w:r>
        <w:rPr>
          <w:rtl w:val="true"/>
        </w:rPr>
        <w:t>או פשע</w:t>
      </w:r>
      <w:r>
        <w:rPr>
          <w:rtl w:val="true"/>
        </w:rPr>
        <w:t xml:space="preserve">) </w:t>
      </w:r>
      <w:r>
        <w:rPr>
          <w:rtl w:val="true"/>
        </w:rPr>
        <w:t>אשר כבר בוצע</w:t>
      </w:r>
      <w:r>
        <w:rPr>
          <w:rtl w:val="true"/>
        </w:rPr>
        <w:t xml:space="preserve">, </w:t>
      </w:r>
      <w:r>
        <w:rPr>
          <w:rtl w:val="true"/>
        </w:rPr>
        <w:t>והעבירה המיוחסת לנאשם באה אחריו בציר הזמן</w:t>
      </w:r>
      <w:r>
        <w:rPr>
          <w:rtl w:val="true"/>
        </w:rPr>
        <w:t xml:space="preserve">, </w:t>
      </w:r>
      <w:r>
        <w:rPr>
          <w:rtl w:val="true"/>
        </w:rPr>
        <w:t xml:space="preserve">כהרי עוון </w:t>
      </w:r>
      <w:r>
        <w:rPr>
          <w:rtl w:val="true"/>
        </w:rPr>
        <w:t>(</w:t>
      </w:r>
      <w:r>
        <w:rPr>
          <w:rtl w:val="true"/>
        </w:rPr>
        <w:t>או פשע</w:t>
      </w:r>
      <w:r>
        <w:rPr>
          <w:rtl w:val="true"/>
        </w:rPr>
        <w:t xml:space="preserve">) </w:t>
      </w:r>
      <w:r>
        <w:rPr>
          <w:rtl w:val="true"/>
        </w:rPr>
        <w:t>עתידי שהעבירה הקודמת לו בציר הזמן</w:t>
      </w:r>
      <w:r>
        <w:rPr>
          <w:rtl w:val="true"/>
        </w:rPr>
        <w:t xml:space="preserve">, </w:t>
      </w:r>
      <w:r>
        <w:rPr>
          <w:rtl w:val="true"/>
        </w:rPr>
        <w:t xml:space="preserve">כדוגמת </w:t>
      </w:r>
      <w:r>
        <w:rPr>
          <w:rtl w:val="true"/>
        </w:rPr>
        <w:t>"</w:t>
      </w:r>
      <w:r>
        <w:rPr>
          <w:rtl w:val="true"/>
        </w:rPr>
        <w:t>שלילת כושר התנגדות</w:t>
      </w:r>
      <w:r>
        <w:rPr>
          <w:rtl w:val="true"/>
        </w:rPr>
        <w:t xml:space="preserve">", </w:t>
      </w:r>
      <w:r>
        <w:rPr>
          <w:rtl w:val="true"/>
        </w:rPr>
        <w:t>נועדה לאפשר</w:t>
      </w:r>
      <w:r>
        <w:rPr>
          <w:rtl w:val="true"/>
        </w:rPr>
        <w:t xml:space="preserve">. </w:t>
      </w:r>
      <w:r>
        <w:rPr>
          <w:rtl w:val="true"/>
        </w:rPr>
        <w:t>במקרה האחרון</w:t>
      </w:r>
      <w:r>
        <w:rPr>
          <w:rtl w:val="true"/>
        </w:rPr>
        <w:t xml:space="preserve">, </w:t>
      </w:r>
      <w:r>
        <w:rPr>
          <w:rtl w:val="true"/>
        </w:rPr>
        <w:t xml:space="preserve">התביעה תקיים את חובת הפירוט שלה אם תציין בקווים כלליים את סוג העוון או הפשע שבו מדובר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מאחר שבמבט הצופה את פני העתיד</w:t>
      </w:r>
      <w:r>
        <w:rPr>
          <w:rtl w:val="true"/>
        </w:rPr>
        <w:t xml:space="preserve">, </w:t>
      </w:r>
      <w:r>
        <w:rPr>
          <w:rtl w:val="true"/>
        </w:rPr>
        <w:t>קורה לא אחת שעבריין השולל מקורבנו את כושר ההתנגדות עושה זאת כדי ליצור לעצמו הזדמנות לבצע עבירות שונות ומגוונות בהתאם להחלטה שיקבל רק אחרי שישלול את כושר ההתנגדות מאותו קורבן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ציון סוג העבירה שתוכננה להתבצע בעקבות שלילת כושר ההתנגדות מקורבנה יספיק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 xml:space="preserve">בזכרנו כי דרישת הפירוט אשר נקבעה ביחס לכתבי אישום לא נועדה אלא להבטיח שהנאשם יידע בפני אלו אישומים הוא עומד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ס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594</w:t>
      </w:r>
      <w:r>
        <w:rPr>
          <w:rtl w:val="true"/>
        </w:rPr>
        <w:t xml:space="preserve">, </w:t>
      </w:r>
      <w:r>
        <w:rPr/>
        <w:t>605-607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)).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כתב האישום נוסח באופן שאיפשר למערער להבין כי שלילת כושר ההתנגדות מושא האישום הראשון </w:t>
      </w:r>
      <w:r>
        <w:rPr>
          <w:rtl w:val="true"/>
        </w:rPr>
        <w:t>(</w:t>
      </w:r>
      <w:r>
        <w:rPr>
          <w:rtl w:val="true"/>
        </w:rPr>
        <w:t>פרשת האם והבת</w:t>
      </w:r>
      <w:r>
        <w:rPr>
          <w:rtl w:val="true"/>
        </w:rPr>
        <w:t xml:space="preserve">) </w:t>
      </w:r>
      <w:r>
        <w:rPr>
          <w:rtl w:val="true"/>
        </w:rPr>
        <w:t>נעשתה על ידו</w:t>
      </w:r>
      <w:r>
        <w:rPr>
          <w:rtl w:val="true"/>
        </w:rPr>
        <w:t xml:space="preserve">, </w:t>
      </w:r>
      <w:r>
        <w:rPr>
          <w:rtl w:val="true"/>
        </w:rPr>
        <w:t>לטענת התביעה</w:t>
      </w:r>
      <w:r>
        <w:rPr>
          <w:rtl w:val="true"/>
        </w:rPr>
        <w:t xml:space="preserve">, </w:t>
      </w:r>
      <w:r>
        <w:rPr>
          <w:rtl w:val="true"/>
        </w:rPr>
        <w:t xml:space="preserve">כדי לבצע עבירות מין </w:t>
      </w:r>
      <w:r>
        <w:rPr>
          <w:rtl w:val="true"/>
        </w:rPr>
        <w:t>(</w:t>
      </w:r>
      <w:r>
        <w:rPr>
          <w:rtl w:val="true"/>
        </w:rPr>
        <w:t xml:space="preserve">כאמור בפסקה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לאישום הראשון</w:t>
      </w:r>
      <w:r>
        <w:rPr>
          <w:rtl w:val="true"/>
        </w:rPr>
        <w:t xml:space="preserve">). </w:t>
      </w:r>
      <w:r>
        <w:rPr>
          <w:rtl w:val="true"/>
        </w:rPr>
        <w:t>באשר לפרשת העוקץ מושא האישום השני</w:t>
      </w:r>
      <w:r>
        <w:rPr>
          <w:rtl w:val="true"/>
        </w:rPr>
        <w:t xml:space="preserve">, </w:t>
      </w:r>
      <w:r>
        <w:rPr>
          <w:rtl w:val="true"/>
        </w:rPr>
        <w:t>כתב האישום נוסח באופן שקשר את שלילת כושר ההתנגדות ליצירת נסיבות שתאפשרנה למערער לבצע נגד נפגעת העבירה</w:t>
      </w:r>
      <w:r>
        <w:rPr>
          <w:rtl w:val="true"/>
        </w:rPr>
        <w:t xml:space="preserve">, </w:t>
      </w:r>
      <w:r>
        <w:rPr>
          <w:rtl w:val="true"/>
        </w:rPr>
        <w:t>המתלוננת ש</w:t>
      </w:r>
      <w:r>
        <w:rPr>
          <w:rtl w:val="true"/>
        </w:rPr>
        <w:t xml:space="preserve">', </w:t>
      </w:r>
      <w:r>
        <w:rPr>
          <w:rtl w:val="true"/>
        </w:rPr>
        <w:t>מעשים שכללו נטילת נכסים לשם סחיטה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tl w:val="true"/>
        </w:rPr>
        <w:t xml:space="preserve">, </w:t>
      </w:r>
      <w:r>
        <w:rPr>
          <w:rtl w:val="true"/>
        </w:rPr>
        <w:t xml:space="preserve">וקבלת דבר במרמה </w:t>
      </w:r>
      <w:r>
        <w:rPr>
          <w:rtl w:val="true"/>
        </w:rPr>
        <w:t>(</w:t>
      </w:r>
      <w:r>
        <w:rPr>
          <w:rtl w:val="true"/>
        </w:rPr>
        <w:t xml:space="preserve">כאמור בפסקה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לאישום השני</w:t>
      </w:r>
      <w:r>
        <w:rPr>
          <w:rtl w:val="true"/>
        </w:rPr>
        <w:t xml:space="preserve">). </w:t>
      </w:r>
      <w:r>
        <w:rPr>
          <w:rtl w:val="true"/>
        </w:rPr>
        <w:t xml:space="preserve">באשר לאישום השלישי </w:t>
      </w:r>
      <w:r>
        <w:rPr>
          <w:rtl w:val="true"/>
        </w:rPr>
        <w:t>(</w:t>
      </w:r>
      <w:r>
        <w:rPr>
          <w:rtl w:val="true"/>
        </w:rPr>
        <w:t>פרשת הטרמפיסטית</w:t>
      </w:r>
      <w:r>
        <w:rPr>
          <w:rtl w:val="true"/>
        </w:rPr>
        <w:t xml:space="preserve">), </w:t>
      </w:r>
      <w:r>
        <w:rPr>
          <w:rtl w:val="true"/>
        </w:rPr>
        <w:t>כיוון שהמערער לא הצליח לנצל את מצבה של המתלוננת א</w:t>
      </w:r>
      <w:r>
        <w:rPr>
          <w:rtl w:val="true"/>
        </w:rPr>
        <w:t xml:space="preserve">' </w:t>
      </w:r>
      <w:r>
        <w:rPr>
          <w:rtl w:val="true"/>
        </w:rPr>
        <w:t>אחרי שזו שתתה את המיץ המהול ב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", </w:t>
      </w:r>
      <w:r>
        <w:rPr>
          <w:rtl w:val="true"/>
        </w:rPr>
        <w:t>התביעה לא ציינה את מהותם של הפשע או העוון שהלה תכנן לבצע</w:t>
      </w:r>
      <w:r>
        <w:rPr>
          <w:rtl w:val="true"/>
        </w:rPr>
        <w:t xml:space="preserve">. </w:t>
      </w:r>
      <w:r>
        <w:rPr>
          <w:rtl w:val="true"/>
        </w:rPr>
        <w:t>יחד עם כך</w:t>
      </w:r>
      <w:r>
        <w:rPr>
          <w:rtl w:val="true"/>
        </w:rPr>
        <w:t xml:space="preserve">, </w:t>
      </w:r>
      <w:r>
        <w:rPr>
          <w:rtl w:val="true"/>
        </w:rPr>
        <w:t xml:space="preserve">האמור בפסקה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אשר מתייחס אל 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 </w:t>
      </w:r>
      <w:r>
        <w:rPr>
          <w:rtl w:val="true"/>
        </w:rPr>
        <w:t>כאל אמצעי ששימש בידי המערער</w:t>
      </w:r>
      <w:r>
        <w:rPr>
          <w:rtl w:val="true"/>
        </w:rPr>
        <w:t xml:space="preserve">, </w:t>
      </w:r>
      <w:r>
        <w:rPr>
          <w:rtl w:val="true"/>
        </w:rPr>
        <w:t>העמיד את המערער על כך שהתביעה מייחסת לו יצירת הזדמנות לביצועה של עבירת מין במתלוננת א</w:t>
      </w:r>
      <w:r>
        <w:rPr>
          <w:rtl w:val="true"/>
        </w:rPr>
        <w:t xml:space="preserve">'. </w:t>
      </w:r>
      <w:r>
        <w:rPr>
          <w:rtl w:val="true"/>
        </w:rPr>
        <w:t>במילים פשוטות</w:t>
      </w:r>
      <w:r>
        <w:rPr>
          <w:rtl w:val="true"/>
        </w:rPr>
        <w:t xml:space="preserve">: </w:t>
      </w:r>
      <w:r>
        <w:rPr>
          <w:rtl w:val="true"/>
        </w:rPr>
        <w:t>המערער ידע גם ידע במה הוא מואשם</w:t>
      </w:r>
      <w:r>
        <w:rPr>
          <w:rtl w:val="true"/>
        </w:rPr>
        <w:t xml:space="preserve">, </w:t>
      </w:r>
      <w:r>
        <w:rPr>
          <w:rtl w:val="true"/>
        </w:rPr>
        <w:t>ובזאת נוכל להסתפק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הממצאים החד</w:t>
      </w:r>
      <w:r>
        <w:rPr>
          <w:rtl w:val="true"/>
        </w:rPr>
        <w:t>-</w:t>
      </w:r>
      <w:r>
        <w:rPr>
          <w:rtl w:val="true"/>
        </w:rPr>
        <w:t>משמעיים אשר מוכיחים את אשמתו של המערער בעבירות שהלה ביצע בפרשת העוקץ</w:t>
      </w:r>
      <w:r>
        <w:rPr>
          <w:rtl w:val="true"/>
        </w:rPr>
        <w:t xml:space="preserve">, </w:t>
      </w:r>
      <w:r>
        <w:rPr>
          <w:rtl w:val="true"/>
        </w:rPr>
        <w:t xml:space="preserve">אין צורך שנדון בקבילותה ובמשקלה של הראיה המדעית החדשנית אשר מצביעה על הימצאותם של שרידי 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 </w:t>
      </w:r>
      <w:r>
        <w:rPr>
          <w:rtl w:val="true"/>
        </w:rPr>
        <w:t>בשערותיה של המתלוננת ש</w:t>
      </w:r>
      <w:r>
        <w:rPr>
          <w:rtl w:val="true"/>
        </w:rPr>
        <w:t xml:space="preserve">'.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שימוש בממצאים מדעיים חדשניים במשפטים פליליים מעורר שאלות לא פשוטות הקשורות לבחירה בין שלוש גישות עקרוניות</w:t>
      </w:r>
      <w:r>
        <w:rPr>
          <w:rtl w:val="true"/>
        </w:rPr>
        <w:t xml:space="preserve">: </w:t>
      </w:r>
      <w:r>
        <w:rPr>
          <w:rtl w:val="true"/>
        </w:rPr>
        <w:t>נסמכוּת</w:t>
      </w:r>
      <w:r>
        <w:rPr>
          <w:rtl w:val="true"/>
        </w:rPr>
        <w:t xml:space="preserve">,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ותחרות</w:t>
      </w:r>
      <w:r>
        <w:rPr>
          <w:rtl w:val="true"/>
        </w:rPr>
        <w:t xml:space="preserve">. </w:t>
      </w:r>
      <w:r>
        <w:rPr>
          <w:rtl w:val="true"/>
        </w:rPr>
        <w:t>לפי גישת הנסמכוּת</w:t>
      </w:r>
      <w:r>
        <w:rPr>
          <w:rtl w:val="true"/>
        </w:rPr>
        <w:t xml:space="preserve">, </w:t>
      </w:r>
      <w:r>
        <w:rPr>
          <w:rtl w:val="true"/>
        </w:rPr>
        <w:t>מאחר שבתי המשפט אינם אמורים להתמצא בענייני מדע</w:t>
      </w:r>
      <w:r>
        <w:rPr>
          <w:rtl w:val="true"/>
        </w:rPr>
        <w:t xml:space="preserve">, </w:t>
      </w:r>
      <w:r>
        <w:rPr>
          <w:rtl w:val="true"/>
        </w:rPr>
        <w:t>אין להם אלא לסמוך את ידיהם על ממצאים מדעיים מקובלים שקנו להם אחיזה בקהיליית המדענים הרלבנטית</w:t>
      </w:r>
      <w:r>
        <w:rPr>
          <w:rtl w:val="true"/>
        </w:rPr>
        <w:t xml:space="preserve">. </w:t>
      </w:r>
      <w:r>
        <w:rPr>
          <w:rtl w:val="true"/>
        </w:rPr>
        <w:t>בגדרה של גישת הלימוד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אמור </w:t>
      </w:r>
      <w:r>
        <w:rPr>
          <w:rtl w:val="true"/>
        </w:rPr>
        <w:t>"</w:t>
      </w:r>
      <w:r>
        <w:rPr>
          <w:rtl w:val="true"/>
        </w:rPr>
        <w:t>להפשיל את השרוולים</w:t>
      </w:r>
      <w:r>
        <w:rPr>
          <w:rtl w:val="true"/>
        </w:rPr>
        <w:t xml:space="preserve">", </w:t>
      </w:r>
      <w:r>
        <w:rPr>
          <w:rtl w:val="true"/>
        </w:rPr>
        <w:t>להיכנס בעובי הקורה ולהבין את התהליך המדעי והחישוב ההסתברותי שבאמצעותם הופקה הראיה שבפניו</w:t>
      </w:r>
      <w:r>
        <w:rPr>
          <w:rtl w:val="true"/>
        </w:rPr>
        <w:t xml:space="preserve">. </w:t>
      </w:r>
      <w:r>
        <w:rPr>
          <w:rtl w:val="true"/>
        </w:rPr>
        <w:t>במסגרת גישת התחרות</w:t>
      </w:r>
      <w:r>
        <w:rPr>
          <w:rtl w:val="true"/>
        </w:rPr>
        <w:t xml:space="preserve">, </w:t>
      </w:r>
      <w:r>
        <w:rPr>
          <w:rtl w:val="true"/>
        </w:rPr>
        <w:t>בתי המשפט אמורים לקיים הליך אדברסרי</w:t>
      </w:r>
      <w:r>
        <w:rPr>
          <w:rtl w:val="true"/>
        </w:rPr>
        <w:t xml:space="preserve">, </w:t>
      </w:r>
      <w:r>
        <w:rPr>
          <w:rtl w:val="true"/>
        </w:rPr>
        <w:t>שבמהלכו תישמענה עדויות מומחים המנוגדות זו לזו</w:t>
      </w:r>
      <w:r>
        <w:rPr>
          <w:rtl w:val="true"/>
        </w:rPr>
        <w:t xml:space="preserve">, </w:t>
      </w:r>
      <w:r>
        <w:rPr>
          <w:rtl w:val="true"/>
        </w:rPr>
        <w:t xml:space="preserve">ולקבוע ממצאים עובדתיים על יסוד דבריו של מומחה שעדותו היתה משכנעת יותר מזולתה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cs="Times New Roman" w:ascii="Times New Roman" w:hAnsi="Times New Roman"/>
        </w:rPr>
        <w:t xml:space="preserve">Ronald J. Allen, </w:t>
      </w:r>
      <w:r>
        <w:rPr>
          <w:rFonts w:cs="Times New Roman" w:ascii="Times New Roman" w:hAnsi="Times New Roman"/>
          <w:i/>
          <w:iCs/>
        </w:rPr>
        <w:t>Expertise and the</w:t>
      </w:r>
      <w:r>
        <w:rPr>
          <w:rFonts w:cs="Times New Roman" w:ascii="Times New Roman" w:hAnsi="Times New Roman"/>
        </w:rPr>
        <w:t xml:space="preserve"> Daubert </w:t>
      </w:r>
      <w:r>
        <w:rPr>
          <w:rFonts w:cs="Times New Roman" w:ascii="Times New Roman" w:hAnsi="Times New Roman"/>
          <w:i/>
          <w:iCs/>
        </w:rPr>
        <w:t>Decision</w:t>
      </w:r>
      <w:r>
        <w:rPr>
          <w:rFonts w:cs="Times New Roman" w:ascii="Times New Roman" w:hAnsi="Times New Roman"/>
        </w:rPr>
        <w:t xml:space="preserve">, 84 </w:t>
      </w:r>
      <w:r>
        <w:rPr>
          <w:rFonts w:cs="Times New Roman" w:ascii="Times New Roman" w:hAnsi="Times New Roman"/>
          <w:smallCaps/>
        </w:rPr>
        <w:t>J. Crim. L. &amp; Criminology</w:t>
      </w:r>
      <w:r>
        <w:rPr>
          <w:rFonts w:cs="Times New Roman" w:ascii="Times New Roman" w:hAnsi="Times New Roman"/>
        </w:rPr>
        <w:t xml:space="preserve"> 1157 (1994)</w:t>
      </w:r>
      <w:r>
        <w:rPr>
          <w:rtl w:val="true"/>
        </w:rPr>
        <w:t xml:space="preserve">). </w:t>
      </w:r>
      <w:r>
        <w:rPr>
          <w:rtl w:val="true"/>
        </w:rPr>
        <w:t>לכך מתווסף הקושי הכרוך בהרשעת נאשם על סמך ראיה מדעית חדשנית</w:t>
      </w:r>
      <w:r>
        <w:rPr>
          <w:rtl w:val="true"/>
        </w:rPr>
        <w:t xml:space="preserve">: </w:t>
      </w:r>
      <w:r>
        <w:rPr>
          <w:rtl w:val="true"/>
        </w:rPr>
        <w:t>האם העובדה שמדובר בממצא אשר טרם עבר את כור ההיתוך של קהיליית המדענים ואינו נחשב לבטוח</w:t>
      </w:r>
      <w:r>
        <w:rPr>
          <w:rtl w:val="true"/>
        </w:rPr>
        <w:t xml:space="preserve">, </w:t>
      </w:r>
      <w:r>
        <w:rPr>
          <w:rtl w:val="true"/>
        </w:rPr>
        <w:t>היא כשלעצמה</w:t>
      </w:r>
      <w:r>
        <w:rPr>
          <w:rtl w:val="true"/>
        </w:rPr>
        <w:t xml:space="preserve">, </w:t>
      </w:r>
      <w:r>
        <w:rPr>
          <w:rtl w:val="true"/>
        </w:rPr>
        <w:t>מותירה ספק סביר ממנו זכאי הנאשם ליהנות</w:t>
      </w:r>
      <w:r>
        <w:rPr>
          <w:rtl w:val="true"/>
        </w:rPr>
        <w:t>?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cs="Times New Roman" w:ascii="Times New Roman" w:hAnsi="Times New Roman"/>
          <w:smallCaps/>
        </w:rPr>
        <w:t>Alex Stein, Foundations of Evidence Law</w:t>
      </w:r>
      <w:r>
        <w:rPr>
          <w:rFonts w:cs="Times New Roman" w:ascii="Times New Roman" w:hAnsi="Times New Roman"/>
        </w:rPr>
        <w:t xml:space="preserve"> 196-197 (2005)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מורכבותן של שאלות אלה מסבירה את העדרה של הלכה סדורה בנושא</w:t>
      </w:r>
      <w:r>
        <w:rPr>
          <w:rtl w:val="true"/>
        </w:rPr>
        <w:t xml:space="preserve">. </w:t>
      </w:r>
      <w:r>
        <w:rPr>
          <w:rtl w:val="true"/>
        </w:rPr>
        <w:t xml:space="preserve">כל שבידינו הוא קביעת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מצגורה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.12.2013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בכל הנוגע לקבלת ראיות מדעיות אימצו בתי המשפט בישראל את רוחו של פסק דין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i/>
          <w:iCs/>
        </w:rPr>
        <w:t>Daubert</w:t>
      </w:r>
      <w:r>
        <w:rPr>
          <w:rtl w:val="true"/>
        </w:rPr>
        <w:t xml:space="preserve">", </w:t>
      </w:r>
      <w:r>
        <w:rPr>
          <w:rtl w:val="true"/>
        </w:rPr>
        <w:t>כשכוונתו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למבחן הרב</w:t>
      </w:r>
      <w:r>
        <w:rPr>
          <w:rtl w:val="true"/>
        </w:rPr>
        <w:t>-</w:t>
      </w:r>
      <w:r>
        <w:rPr>
          <w:rtl w:val="true"/>
        </w:rPr>
        <w:t>משתנים אשר נקבע בפסק דינו של בית המשפט העליון של ארצות הברית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Cs w:val="24"/>
        </w:rPr>
        <w:t>Daubert v. Merrell Dow Pharmaceuticals Inc., 509 U.S. 579 (1993)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ואחר כך שוכלל על ידי מעשה חקיקה שתיקן את כלל הראיות הפדרלי </w:t>
      </w:r>
      <w:r>
        <w:rPr>
          <w:rFonts w:cs="Century" w:ascii="Century" w:hAnsi="Century"/>
          <w:sz w:val="22"/>
        </w:rPr>
        <w:t>702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במסגרתו של מבחן זה</w:t>
      </w:r>
      <w:r>
        <w:rPr>
          <w:rtl w:val="true"/>
        </w:rPr>
        <w:t xml:space="preserve">, </w:t>
      </w:r>
      <w:r>
        <w:rPr>
          <w:rtl w:val="true"/>
        </w:rPr>
        <w:t xml:space="preserve">בבואו להחליט על קבילותה של כל ראיה מדעית </w:t>
      </w:r>
      <w:r>
        <w:rPr>
          <w:rtl w:val="true"/>
        </w:rPr>
        <w:t>–</w:t>
      </w:r>
      <w:r>
        <w:rPr>
          <w:rtl w:val="true"/>
        </w:rPr>
        <w:t xml:space="preserve"> ובפרט</w:t>
      </w:r>
      <w:r>
        <w:rPr>
          <w:rtl w:val="true"/>
        </w:rPr>
        <w:t xml:space="preserve">, </w:t>
      </w:r>
      <w:r>
        <w:rPr>
          <w:rtl w:val="true"/>
        </w:rPr>
        <w:t xml:space="preserve">ראיה מדעית חדשנית </w:t>
      </w:r>
      <w:r>
        <w:rPr>
          <w:rtl w:val="true"/>
        </w:rPr>
        <w:t>–</w:t>
      </w:r>
      <w:r>
        <w:rPr>
          <w:rtl w:val="true"/>
        </w:rPr>
        <w:t xml:space="preserve"> חייב בית המשפט לשאול את השאלות הבאות ולענות עליהן</w:t>
      </w:r>
      <w:r>
        <w:rPr>
          <w:rtl w:val="true"/>
        </w:rPr>
        <w:t xml:space="preserve">: </w:t>
      </w:r>
      <w:r>
        <w:rPr>
          <w:rtl w:val="true"/>
        </w:rPr>
        <w:t>האם הידע שבידי המומחה עשוי לסייע לבית המשפט בהערכת ראיות ובקביעת עובדות</w:t>
      </w:r>
      <w:r>
        <w:rPr>
          <w:rtl w:val="true"/>
        </w:rPr>
        <w:t xml:space="preserve">?; </w:t>
      </w:r>
      <w:r>
        <w:rPr>
          <w:rtl w:val="true"/>
        </w:rPr>
        <w:t>מהו הבסיס העובדתי של חוות הדעת והאם היא מבוססת על נתונים עובדתיים מספקים</w:t>
      </w:r>
      <w:r>
        <w:rPr>
          <w:rtl w:val="true"/>
        </w:rPr>
        <w:t xml:space="preserve">?; </w:t>
      </w:r>
      <w:r>
        <w:rPr>
          <w:rtl w:val="true"/>
        </w:rPr>
        <w:t>האם חוות הדעת היא תוצר של עקרונות ומתודולוגיות אמינים</w:t>
      </w:r>
      <w:r>
        <w:rPr>
          <w:rtl w:val="true"/>
        </w:rPr>
        <w:t xml:space="preserve">, </w:t>
      </w:r>
      <w:r>
        <w:rPr>
          <w:rtl w:val="true"/>
        </w:rPr>
        <w:t>ומהו הסיכוי לטעות בהפעלתם</w:t>
      </w:r>
      <w:r>
        <w:rPr>
          <w:rtl w:val="true"/>
        </w:rPr>
        <w:t xml:space="preserve">?; </w:t>
      </w:r>
      <w:r>
        <w:rPr>
          <w:rtl w:val="true"/>
        </w:rPr>
        <w:t>והאם המומחה יישם את העקרונות והמתודולוגיות הללו על עובדות המקרה באופן אמין</w:t>
      </w:r>
      <w:r>
        <w:rPr>
          <w:rtl w:val="true"/>
        </w:rPr>
        <w:t xml:space="preserve">? </w:t>
      </w:r>
      <w:r>
        <w:rPr>
          <w:rtl w:val="true"/>
        </w:rPr>
        <w:t xml:space="preserve">תשובותיו של בית המשפט לשאלות אלו אמורות להנחותו בבואו להכריע בדבר קבילותה ומשקלה של הראיה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 </w:t>
      </w:r>
      <w:r>
        <w:rPr>
          <w:rFonts w:cs="Times New Roman" w:ascii="Times New Roman" w:hAnsi="Times New Roman"/>
          <w:smallCaps/>
          <w:szCs w:val="24"/>
        </w:rPr>
        <w:t>Ronald J. Allen, David Schwartz, Michael Pardo &amp; Alex Stein, An Analytical Approach to Evidence</w:t>
      </w:r>
      <w:r>
        <w:rPr>
          <w:rFonts w:cs="Times New Roman" w:ascii="Times New Roman" w:hAnsi="Times New Roman"/>
          <w:szCs w:val="24"/>
        </w:rPr>
        <w:t xml:space="preserve"> 642-668 (7th ed., 2022)</w:t>
      </w:r>
      <w:r>
        <w:rPr>
          <w:rFonts w:cs="Times New Roman" w:ascii="Times New Roman" w:hAnsi="Times New Roman"/>
          <w:szCs w:val="24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אינני סבור כי המקרה הנוכחי מתאים לקביעתה של הלכה מחייבת בעניינם של ממצאים מדעיים חדשניים וראיות פורנזיות חדשות</w:t>
      </w:r>
      <w:r>
        <w:rPr>
          <w:rtl w:val="true"/>
        </w:rPr>
        <w:t xml:space="preserve">. </w:t>
      </w:r>
      <w:r>
        <w:rPr>
          <w:rtl w:val="true"/>
        </w:rPr>
        <w:t>הלכה בסדר גודל כזה ראוי לקבוע רק כאשר קביעתה נחוצה להכרעה בהליך</w:t>
      </w:r>
      <w:r>
        <w:rPr>
          <w:rtl w:val="true"/>
        </w:rPr>
        <w:t xml:space="preserve">, </w:t>
      </w:r>
      <w:r>
        <w:rPr>
          <w:rtl w:val="true"/>
        </w:rPr>
        <w:t>ומקרה כזה טרם הובא לפתחנו</w:t>
      </w:r>
      <w:r>
        <w:rPr>
          <w:rtl w:val="true"/>
        </w:rPr>
        <w:t xml:space="preserve">. </w:t>
      </w:r>
      <w:r>
        <w:rPr>
          <w:rtl w:val="true"/>
        </w:rPr>
        <w:t>המקרה שלפנינו בוודאי אינו דורש שנקבע הלכה כאמור</w:t>
      </w:r>
      <w:r>
        <w:rPr>
          <w:rtl w:val="true"/>
        </w:rPr>
        <w:t xml:space="preserve">. </w:t>
      </w:r>
      <w:r>
        <w:rPr>
          <w:rtl w:val="true"/>
        </w:rPr>
        <w:t xml:space="preserve">מקרה זה אף אינו דורש שנכריע באופן ספציפי בקבילותה של בדיקת שיער להימצאותם של שרידי 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". </w:t>
      </w:r>
      <w:r>
        <w:rPr>
          <w:rtl w:val="true"/>
        </w:rPr>
        <w:t xml:space="preserve">הנני מציע אפוא לחבריי כי נשאיר את השאלות המורכבות שעניינן ממצאים מדעיים חדשניים </w:t>
      </w:r>
      <w:r>
        <w:rPr>
          <w:rtl w:val="true"/>
        </w:rPr>
        <w:t>–</w:t>
      </w:r>
      <w:r>
        <w:rPr>
          <w:rtl w:val="true"/>
        </w:rPr>
        <w:t xml:space="preserve"> כדוגמת בדיקת שיער להימצאותם של שרידי </w:t>
      </w:r>
      <w:r>
        <w:rPr>
          <w:rtl w:val="true"/>
        </w:rPr>
        <w:t>"</w:t>
      </w:r>
      <w:r>
        <w:rPr>
          <w:rtl w:val="true"/>
        </w:rPr>
        <w:t>סם האונס</w:t>
      </w:r>
      <w:r>
        <w:rPr>
          <w:rtl w:val="true"/>
        </w:rPr>
        <w:t xml:space="preserve">", </w:t>
      </w:r>
      <w:r>
        <w:rPr>
          <w:rtl w:val="true"/>
        </w:rPr>
        <w:t xml:space="preserve">שתוצאותיה התקבלו כראיה על ידי בית משפט קמא </w:t>
      </w:r>
      <w:r>
        <w:rPr>
          <w:rtl w:val="true"/>
        </w:rPr>
        <w:t>–</w:t>
      </w:r>
      <w:r>
        <w:rPr>
          <w:rtl w:val="true"/>
        </w:rPr>
        <w:t xml:space="preserve"> לעת מצוא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בית משפט קמא השית על המערער עונש מקל בהתחשב בחומרת העבירות שהלה ביצע</w:t>
      </w:r>
      <w:r>
        <w:rPr>
          <w:rtl w:val="true"/>
        </w:rPr>
        <w:t xml:space="preserve">. </w:t>
      </w:r>
      <w:r>
        <w:rPr>
          <w:rtl w:val="true"/>
        </w:rPr>
        <w:t>העבירה של שלילת כושר התנגדות היא מן החמורות ב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העונש המרבי הקבוע בצדה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ביצע ארבע עבירות כאלה כששלוש מתוכן </w:t>
      </w:r>
      <w:r>
        <w:rPr>
          <w:rtl w:val="true"/>
        </w:rPr>
        <w:t>–</w:t>
      </w:r>
      <w:r>
        <w:rPr>
          <w:rtl w:val="true"/>
        </w:rPr>
        <w:t xml:space="preserve"> אלה שנעברו בפרשת האם והבת ובפרשת העוקץ </w:t>
      </w:r>
      <w:r>
        <w:rPr>
          <w:rtl w:val="true"/>
        </w:rPr>
        <w:t>–</w:t>
      </w:r>
      <w:r>
        <w:rPr>
          <w:rtl w:val="true"/>
        </w:rPr>
        <w:t xml:space="preserve"> היו ברף גבוה של חומרה</w:t>
      </w:r>
      <w:r>
        <w:rPr>
          <w:rtl w:val="true"/>
        </w:rPr>
        <w:t xml:space="preserve">. </w:t>
      </w:r>
      <w:r>
        <w:rPr>
          <w:rtl w:val="true"/>
        </w:rPr>
        <w:t>המעשה המגונה שהמערער ביצע בבת בפרשת האם והבת</w:t>
      </w:r>
      <w:r>
        <w:rPr>
          <w:rtl w:val="true"/>
        </w:rPr>
        <w:t xml:space="preserve">, </w:t>
      </w:r>
      <w:r>
        <w:rPr>
          <w:rtl w:val="true"/>
        </w:rPr>
        <w:t>הוא לבדו חייב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 xml:space="preserve">הטלת עונש מזערי מצטבר של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לריצוי בפועל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המעשים של סחיטה ומרמה שביצע המערער נגד ש</w:t>
      </w:r>
      <w:r>
        <w:rPr>
          <w:rtl w:val="true"/>
        </w:rPr>
        <w:t xml:space="preserve">' </w:t>
      </w:r>
      <w:r>
        <w:rPr>
          <w:rtl w:val="true"/>
        </w:rPr>
        <w:t>חייבו אף הם הטלת מאסר ממושך לריצוי בכלא כעונש מצטבר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ביצע עבירות מפליגות בחומרתן</w:t>
      </w:r>
      <w:r>
        <w:rPr>
          <w:rtl w:val="true"/>
        </w:rPr>
        <w:t xml:space="preserve">. </w:t>
      </w:r>
      <w:r>
        <w:rPr>
          <w:rtl w:val="true"/>
        </w:rPr>
        <w:t>הוא לא נטל אחריות על מעשיו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הוא מאשים את המתלוננות במתן עדות שקר ומתרץ את הראיות האובייקטיביות</w:t>
      </w:r>
      <w:r>
        <w:rPr>
          <w:rtl w:val="true"/>
        </w:rPr>
        <w:t xml:space="preserve">, </w:t>
      </w:r>
      <w:r>
        <w:rPr>
          <w:rtl w:val="true"/>
        </w:rPr>
        <w:t>אשר מצביעות על אשמתו במיוחס לו</w:t>
      </w:r>
      <w:r>
        <w:rPr>
          <w:rtl w:val="true"/>
        </w:rPr>
        <w:t xml:space="preserve">, </w:t>
      </w:r>
      <w:r>
        <w:rPr>
          <w:rtl w:val="true"/>
        </w:rPr>
        <w:t>בתירוצים שונים ומגוונים שאינם מתקבלים על הדעת ורובם הם בגדר שקר בוטה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אילו נדרשתי אני לקבוע את עונשו של המערער מבראשית</w:t>
      </w:r>
      <w:r>
        <w:rPr>
          <w:rtl w:val="true"/>
        </w:rPr>
        <w:t xml:space="preserve">, </w:t>
      </w:r>
      <w:r>
        <w:rPr>
          <w:rtl w:val="true"/>
        </w:rPr>
        <w:t>כדרכה של ערכאה דיונית</w:t>
      </w:r>
      <w:r>
        <w:rPr>
          <w:rtl w:val="true"/>
        </w:rPr>
        <w:t xml:space="preserve">, </w:t>
      </w:r>
      <w:r>
        <w:rPr>
          <w:rtl w:val="true"/>
        </w:rPr>
        <w:t xml:space="preserve">הייתי משית עליו מאסר לריצוי בפועל לתקופה שעולה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tl w:val="true"/>
        </w:rPr>
        <w:t xml:space="preserve"> על עשר שנים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החמרה בעונש במסגרתו של ערעור מטעם הנאשם איננה אפשרית באין ערעור על קולת העונש מטעם המדינה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).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הנני מציע לחבריי לדחות את ערעורו של המערער על עונשו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מהטעמים שפורטו לעיל</w:t>
      </w:r>
      <w:r>
        <w:rPr>
          <w:rtl w:val="true"/>
        </w:rPr>
        <w:t xml:space="preserve">, </w:t>
      </w:r>
      <w:r>
        <w:rPr>
          <w:rtl w:val="true"/>
        </w:rPr>
        <w:t>הנני מציע לחבריי כי נדחה את ערעורו של המערער על כל חלקיו</w:t>
      </w:r>
      <w:r>
        <w:rPr>
          <w:rtl w:val="true"/>
        </w:rPr>
        <w:t>.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end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cs="FrankRuehl" w:ascii="Arial TUR;Arial" w:hAnsi="Arial TUR;Arial"/>
          <w:color w:val="333333"/>
          <w:spacing w:val="10"/>
          <w:sz w:val="28"/>
          <w:szCs w:val="28"/>
          <w:rtl w:val="true"/>
        </w:rPr>
        <w:br/>
        <w:t xml:space="preserve">                                                                                                    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ט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eastAsia="Arial TUR;Arial" w:cs="Arial TUR;Arial" w:ascii="Arial TUR;Arial" w:hAnsi="Arial TUR;Arial"/>
          <w:color w:val="333333"/>
          <w:spacing w:val="10"/>
          <w:sz w:val="8"/>
          <w:szCs w:val="8"/>
          <w:rtl w:val="true"/>
        </w:rPr>
        <w:t xml:space="preserve"> 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ascii="Arial TUR;Arial" w:hAnsi="Arial TUR;Arial" w:cs="Miriam"/>
          <w:color w:val="333333"/>
          <w:u w:val="single"/>
          <w:rtl w:val="true"/>
        </w:rPr>
        <w:t>השופט</w:t>
      </w:r>
      <w:r>
        <w:rPr>
          <w:rFonts w:ascii="Arial TUR;Arial" w:hAnsi="Arial TUR;Arial" w:eastAsia="Arial TUR;Arial" w:cs="Arial TUR;Arial"/>
          <w:color w:val="333333"/>
          <w:u w:val="single"/>
          <w:rtl w:val="true"/>
        </w:rPr>
        <w:t xml:space="preserve"> </w:t>
      </w:r>
      <w:r>
        <w:rPr>
          <w:rFonts w:ascii="Arial TUR;Arial" w:hAnsi="Arial TUR;Arial" w:cs="Miriam"/>
          <w:color w:val="333333"/>
          <w:u w:val="single"/>
          <w:rtl w:val="true"/>
        </w:rPr>
        <w:t>י</w:t>
      </w:r>
      <w:r>
        <w:rPr>
          <w:rFonts w:cs="Miriam" w:ascii="Arial TUR;Arial" w:hAnsi="Arial TUR;Arial"/>
          <w:color w:val="333333"/>
          <w:u w:val="single"/>
          <w:rtl w:val="true"/>
        </w:rPr>
        <w:t xml:space="preserve">' </w:t>
      </w:r>
      <w:r>
        <w:rPr>
          <w:rFonts w:ascii="Arial TUR;Arial" w:hAnsi="Arial TUR;Arial" w:cs="Miriam"/>
          <w:color w:val="333333"/>
          <w:u w:val="single"/>
          <w:rtl w:val="true"/>
        </w:rPr>
        <w:t>עמית</w:t>
      </w:r>
      <w:r>
        <w:rPr>
          <w:rFonts w:cs="Miriam" w:ascii="Arial TUR;Arial" w:hAnsi="Arial TUR;Arial"/>
          <w:color w:val="333333"/>
          <w:u w:val="single"/>
          <w:rtl w:val="true"/>
        </w:rPr>
        <w:t>: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eastAsia="Arial TUR;Arial" w:cs="Arial TUR;Arial" w:ascii="Arial TUR;Arial" w:hAnsi="Arial TUR;Arial"/>
          <w:color w:val="333333"/>
          <w:spacing w:val="10"/>
          <w:sz w:val="6"/>
          <w:szCs w:val="6"/>
          <w:rtl w:val="true"/>
        </w:rPr>
        <w:t xml:space="preserve"> 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cs="Arial TUR;Arial" w:ascii="Arial TUR;Arial" w:hAnsi="Arial TUR;Arial"/>
          <w:color w:val="333333"/>
          <w:spacing w:val="10"/>
          <w:sz w:val="22"/>
          <w:szCs w:val="22"/>
          <w:rtl w:val="true"/>
        </w:rPr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FrankRuehl"/>
          <w:color w:val="333333"/>
          <w:spacing w:val="10"/>
          <w:sz w:val="28"/>
          <w:szCs w:val="28"/>
        </w:rPr>
      </w:pPr>
      <w:r>
        <w:rPr>
          <w:rFonts w:eastAsia="Arial TUR;Arial" w:cs="Arial TUR;Arial" w:ascii="Arial TUR;Arial" w:hAnsi="Arial TUR;Arial"/>
          <w:color w:val="333333"/>
          <w:spacing w:val="10"/>
          <w:sz w:val="28"/>
          <w:szCs w:val="28"/>
          <w:rtl w:val="true"/>
        </w:rPr>
        <w:t xml:space="preserve">          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 w:ascii="Arial TUR;Arial" w:hAnsi="Arial TUR;Arial"/>
          <w:color w:val="333333"/>
          <w:spacing w:val="10"/>
          <w:sz w:val="28"/>
          <w:szCs w:val="28"/>
          <w:rtl w:val="true"/>
        </w:rPr>
        <w:t>.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cs="Arial TUR;Arial" w:ascii="Arial TUR;Arial" w:hAnsi="Arial TUR;Arial"/>
          <w:color w:val="333333"/>
          <w:spacing w:val="10"/>
          <w:sz w:val="22"/>
          <w:szCs w:val="22"/>
          <w:rtl w:val="true"/>
        </w:rPr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end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eastAsia="Arial TUR;Arial" w:cs="Arial TUR;Arial" w:ascii="Arial TUR;Arial" w:hAnsi="Arial TUR;Arial"/>
          <w:color w:val="333333"/>
          <w:spacing w:val="10"/>
          <w:sz w:val="28"/>
          <w:szCs w:val="28"/>
          <w:rtl w:val="true"/>
        </w:rPr>
        <w:t xml:space="preserve">                                                                                                   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ט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FrankRuehl"/>
          <w:color w:val="333333"/>
          <w:spacing w:val="10"/>
          <w:sz w:val="28"/>
          <w:szCs w:val="28"/>
        </w:rPr>
      </w:pPr>
      <w:r>
        <w:rPr>
          <w:rFonts w:cs="FrankRuehl" w:ascii="Arial TUR;Arial" w:hAnsi="Arial TUR;Arial"/>
          <w:color w:val="333333"/>
          <w:spacing w:val="10"/>
          <w:sz w:val="28"/>
          <w:szCs w:val="28"/>
          <w:rtl w:val="true"/>
        </w:rPr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eastAsia="Arial TUR;Arial" w:cs="Arial TUR;Arial" w:ascii="Arial TUR;Arial" w:hAnsi="Arial TUR;Arial"/>
          <w:color w:val="333333"/>
          <w:spacing w:val="10"/>
          <w:sz w:val="28"/>
          <w:szCs w:val="28"/>
          <w:rtl w:val="true"/>
        </w:rPr>
        <w:t xml:space="preserve"> 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cs="Arial TUR;Arial" w:ascii="Arial TUR;Arial" w:hAnsi="Arial TUR;Arial"/>
          <w:color w:val="333333"/>
          <w:spacing w:val="10"/>
          <w:sz w:val="22"/>
          <w:szCs w:val="22"/>
          <w:rtl w:val="true"/>
        </w:rPr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נ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סולברג</w:t>
      </w:r>
      <w:r>
        <w:rPr>
          <w:rFonts w:cs="Miriam" w:ascii="Arial TUR;Arial" w:hAnsi="Arial TUR;Arial"/>
          <w:color w:val="333333"/>
          <w:u w:val="single"/>
          <w:rtl w:val="true"/>
        </w:rPr>
        <w:t>: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6"/>
          <w:szCs w:val="6"/>
        </w:rPr>
      </w:pPr>
      <w:r>
        <w:rPr>
          <w:rFonts w:cs="Arial TUR;Arial" w:ascii="Arial TUR;Arial" w:hAnsi="Arial TUR;Arial"/>
          <w:color w:val="333333"/>
          <w:spacing w:val="10"/>
          <w:sz w:val="6"/>
          <w:szCs w:val="6"/>
          <w:rtl w:val="true"/>
        </w:rPr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eastAsia="Arial TUR;Arial" w:cs="Arial TUR;Arial" w:ascii="Arial TUR;Arial" w:hAnsi="Arial TUR;Arial"/>
          <w:color w:val="333333"/>
          <w:spacing w:val="10"/>
          <w:sz w:val="6"/>
          <w:szCs w:val="6"/>
          <w:rtl w:val="true"/>
        </w:rPr>
        <w:t xml:space="preserve"> 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eastAsia="Arial TUR;Arial" w:cs="Arial TUR;Arial" w:ascii="Arial TUR;Arial" w:hAnsi="Arial TUR;Arial"/>
          <w:color w:val="333333"/>
          <w:spacing w:val="10"/>
          <w:sz w:val="28"/>
          <w:szCs w:val="28"/>
          <w:rtl w:val="true"/>
        </w:rPr>
        <w:t xml:space="preserve">          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 w:ascii="Arial TUR;Arial" w:hAnsi="Arial TUR;Arial"/>
          <w:color w:val="333333"/>
          <w:spacing w:val="10"/>
          <w:sz w:val="28"/>
          <w:szCs w:val="28"/>
          <w:rtl w:val="true"/>
        </w:rPr>
        <w:t>.</w:t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cs="Arial TUR;Arial" w:ascii="Arial TUR;Arial" w:hAnsi="Arial TUR;Arial"/>
          <w:color w:val="333333"/>
          <w:spacing w:val="10"/>
          <w:sz w:val="22"/>
          <w:szCs w:val="22"/>
          <w:rtl w:val="true"/>
        </w:rPr>
      </w:r>
    </w:p>
    <w:p>
      <w:pPr>
        <w:pStyle w:val="ruller411"/>
        <w:shd w:fill="FFFFFF" w:val="clear"/>
        <w:bidi w:val="1"/>
        <w:spacing w:lineRule="atLeast" w:line="330" w:before="0" w:after="0"/>
        <w:ind w:end="0"/>
        <w:jc w:val="end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eastAsia="Arial TUR;Arial" w:cs="Arial TUR;Arial" w:ascii="Arial TUR;Arial" w:hAnsi="Arial TUR;Arial"/>
          <w:color w:val="333333"/>
          <w:spacing w:val="10"/>
          <w:sz w:val="28"/>
          <w:szCs w:val="28"/>
          <w:rtl w:val="true"/>
        </w:rPr>
        <w:t xml:space="preserve">                                                                                                   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color w:val="333333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333333"/>
          <w:spacing w:val="10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>
          <w:rFonts w:ascii="Arial TUR;Arial" w:hAnsi="Arial TUR;Arial" w:cs="Arial TUR;Arial"/>
          <w:color w:val="333333"/>
          <w:spacing w:val="10"/>
          <w:sz w:val="22"/>
          <w:szCs w:val="22"/>
        </w:rPr>
      </w:pPr>
      <w:r>
        <w:rPr>
          <w:rFonts w:cs="Arial TUR;Arial"/>
          <w:color w:val="333333"/>
          <w:spacing w:val="10"/>
          <w:sz w:val="22"/>
          <w:szCs w:val="22"/>
          <w:rtl w:val="true"/>
        </w:rPr>
      </w:r>
    </w:p>
    <w:p>
      <w:pPr>
        <w:pStyle w:val="Ruller41"/>
        <w:ind w:end="0"/>
        <w:jc w:val="both"/>
        <w:rPr>
          <w:color w:val="333333"/>
          <w:sz w:val="28"/>
          <w:shd w:fill="FFFFFF" w:val="clear"/>
        </w:rPr>
      </w:pPr>
      <w:r>
        <w:rPr>
          <w:color w:val="333333"/>
          <w:sz w:val="28"/>
          <w:shd w:fill="FFFFFF" w:val="clear"/>
          <w:rtl w:val="true"/>
        </w:rPr>
      </w:r>
    </w:p>
    <w:p>
      <w:pPr>
        <w:pStyle w:val="Ruller41"/>
        <w:ind w:end="0"/>
        <w:jc w:val="both"/>
        <w:rPr/>
      </w:pPr>
      <w:r>
        <w:rPr>
          <w:color w:val="333333"/>
          <w:sz w:val="28"/>
          <w:shd w:fill="FFFFFF" w:val="clear"/>
          <w:rtl w:val="true"/>
        </w:rPr>
        <w:tab/>
      </w:r>
      <w:r>
        <w:rPr>
          <w:color w:val="333333"/>
          <w:sz w:val="28"/>
          <w:sz w:val="28"/>
          <w:shd w:fill="FFFFFF" w:val="clear"/>
          <w:rtl w:val="true"/>
        </w:rPr>
        <w:t>הוחלט</w:t>
      </w:r>
      <w:r>
        <w:rPr>
          <w:rFonts w:eastAsia="Arial TUR;Arial" w:cs="Arial TUR;Aria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color w:val="333333"/>
          <w:sz w:val="28"/>
          <w:sz w:val="28"/>
          <w:shd w:fill="FFFFFF" w:val="clear"/>
          <w:rtl w:val="true"/>
        </w:rPr>
        <w:t>כאמור</w:t>
      </w:r>
      <w:r>
        <w:rPr>
          <w:rFonts w:eastAsia="Arial TUR;Arial" w:cs="Arial TUR;Aria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color w:val="333333"/>
          <w:sz w:val="28"/>
          <w:sz w:val="28"/>
          <w:shd w:fill="FFFFFF" w:val="clear"/>
          <w:rtl w:val="true"/>
        </w:rPr>
        <w:t>בפסק</w:t>
      </w:r>
      <w:r>
        <w:rPr>
          <w:rFonts w:eastAsia="Arial TUR;Arial" w:cs="Arial TUR;Aria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color w:val="333333"/>
          <w:sz w:val="28"/>
          <w:sz w:val="28"/>
          <w:shd w:fill="FFFFFF" w:val="clear"/>
          <w:rtl w:val="true"/>
        </w:rPr>
        <w:t>דינו</w:t>
      </w:r>
      <w:r>
        <w:rPr>
          <w:rFonts w:eastAsia="Arial TUR;Arial" w:cs="Arial TUR;Aria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color w:val="333333"/>
          <w:sz w:val="28"/>
          <w:sz w:val="28"/>
          <w:shd w:fill="FFFFFF" w:val="clear"/>
          <w:rtl w:val="true"/>
        </w:rPr>
        <w:t>של</w:t>
      </w:r>
      <w:r>
        <w:rPr>
          <w:rFonts w:eastAsia="Arial TUR;Arial" w:cs="Arial TUR;Aria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color w:val="333333"/>
          <w:sz w:val="28"/>
          <w:sz w:val="28"/>
          <w:shd w:fill="FFFFFF" w:val="clear"/>
          <w:rtl w:val="true"/>
        </w:rPr>
        <w:t>השופט</w:t>
      </w:r>
      <w:r>
        <w:rPr>
          <w:rFonts w:eastAsia="Arial TUR;Arial" w:cs="Arial TUR;Arial"/>
          <w:color w:val="333333"/>
          <w:sz w:val="28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שטיין</w:t>
      </w:r>
      <w:r>
        <w:rPr>
          <w:color w:val="333333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8.3.2022</w:t>
      </w:r>
      <w:r>
        <w:rPr>
          <w:rtl w:val="true"/>
        </w:rPr>
        <w:t xml:space="preserve">). </w:t>
      </w:r>
      <w:bookmarkEnd w:id="13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20061990</w:t>
      </w:r>
      <w:r>
        <w:rPr>
          <w:sz w:val="16"/>
          <w:rtl w:val="true"/>
        </w:rPr>
        <w:t>_</w:t>
      </w:r>
      <w:r>
        <w:rPr>
          <w:sz w:val="16"/>
        </w:rPr>
        <w:t>F18.docx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54678313-6199/20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05"/>
      <w:footerReference w:type="default" r:id="rId10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6199/20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שמואל בן אבו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1674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7" TargetMode="External"/><Relationship Id="rId5" Type="http://schemas.openxmlformats.org/officeDocument/2006/relationships/hyperlink" Target="http://www.nevo.co.il/law/70301/345.a.4" TargetMode="External"/><Relationship Id="rId6" Type="http://schemas.openxmlformats.org/officeDocument/2006/relationships/hyperlink" Target="http://www.nevo.co.il/law/70301/348.a" TargetMode="External"/><Relationship Id="rId7" Type="http://schemas.openxmlformats.org/officeDocument/2006/relationships/hyperlink" Target="http://www.nevo.co.il/law/70301/355.a" TargetMode="External"/><Relationship Id="rId8" Type="http://schemas.openxmlformats.org/officeDocument/2006/relationships/hyperlink" Target="http://www.nevo.co.il/law/70301/383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415" TargetMode="External"/><Relationship Id="rId11" Type="http://schemas.openxmlformats.org/officeDocument/2006/relationships/hyperlink" Target="http://www.nevo.co.il/law/70301/428" TargetMode="External"/><Relationship Id="rId12" Type="http://schemas.openxmlformats.org/officeDocument/2006/relationships/hyperlink" Target="http://www.nevo.co.il/law/70301/430" TargetMode="External"/><Relationship Id="rId13" Type="http://schemas.openxmlformats.org/officeDocument/2006/relationships/hyperlink" Target="http://www.nevo.co.il/law/71631" TargetMode="External"/><Relationship Id="rId14" Type="http://schemas.openxmlformats.org/officeDocument/2006/relationships/hyperlink" Target="http://www.nevo.co.il/law/71631/5" TargetMode="External"/><Relationship Id="rId15" Type="http://schemas.openxmlformats.org/officeDocument/2006/relationships/hyperlink" Target="http://www.nevo.co.il/law/71631/5.3" TargetMode="External"/><Relationship Id="rId16" Type="http://schemas.openxmlformats.org/officeDocument/2006/relationships/hyperlink" Target="http://www.nevo.co.il/law/74345" TargetMode="External"/><Relationship Id="rId17" Type="http://schemas.openxmlformats.org/officeDocument/2006/relationships/hyperlink" Target="http://www.nevo.co.il/law/74345/3.a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law/98569/9" TargetMode="External"/><Relationship Id="rId20" Type="http://schemas.openxmlformats.org/officeDocument/2006/relationships/hyperlink" Target="http://www.nevo.co.il/law/98569/10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4903/9.a.2" TargetMode="External"/><Relationship Id="rId23" Type="http://schemas.openxmlformats.org/officeDocument/2006/relationships/hyperlink" Target="http://www.nevo.co.il/law/74903/9.c.1" TargetMode="External"/><Relationship Id="rId24" Type="http://schemas.openxmlformats.org/officeDocument/2006/relationships/hyperlink" Target="http://www.nevo.co.il/law/74903/60a.g" TargetMode="External"/><Relationship Id="rId25" Type="http://schemas.openxmlformats.org/officeDocument/2006/relationships/hyperlink" Target="http://www.nevo.co.il/law/74903/86" TargetMode="External"/><Relationship Id="rId26" Type="http://schemas.openxmlformats.org/officeDocument/2006/relationships/hyperlink" Target="http://www.nevo.co.il/law/74903/217" TargetMode="External"/><Relationship Id="rId27" Type="http://schemas.openxmlformats.org/officeDocument/2006/relationships/hyperlink" Target="http://www.nevo.co.il/law/74918" TargetMode="External"/><Relationship Id="rId28" Type="http://schemas.openxmlformats.org/officeDocument/2006/relationships/hyperlink" Target="http://www.nevo.co.il/law/74918/23" TargetMode="External"/><Relationship Id="rId29" Type="http://schemas.openxmlformats.org/officeDocument/2006/relationships/hyperlink" Target="http://www.nevo.co.il/law/74918/23a" TargetMode="External"/><Relationship Id="rId30" Type="http://schemas.openxmlformats.org/officeDocument/2006/relationships/hyperlink" Target="http://www.nevo.co.il/case/21716741" TargetMode="External"/><Relationship Id="rId31" Type="http://schemas.openxmlformats.org/officeDocument/2006/relationships/hyperlink" Target="http://www.nevo.co.il/law/70301/327" TargetMode="External"/><Relationship Id="rId32" Type="http://schemas.openxmlformats.org/officeDocument/2006/relationships/hyperlink" Target="http://www.nevo.co.il/law/70301/348.a" TargetMode="External"/><Relationship Id="rId33" Type="http://schemas.openxmlformats.org/officeDocument/2006/relationships/hyperlink" Target="http://www.nevo.co.il/law/70301/345.a.4" TargetMode="External"/><Relationship Id="rId34" Type="http://schemas.openxmlformats.org/officeDocument/2006/relationships/hyperlink" Target="http://www.nevo.co.il/law/70301/415" TargetMode="External"/><Relationship Id="rId35" Type="http://schemas.openxmlformats.org/officeDocument/2006/relationships/hyperlink" Target="http://www.nevo.co.il/law/70301/428" TargetMode="External"/><Relationship Id="rId36" Type="http://schemas.openxmlformats.org/officeDocument/2006/relationships/hyperlink" Target="http://www.nevo.co.il/law/70301/384" TargetMode="External"/><Relationship Id="rId37" Type="http://schemas.openxmlformats.org/officeDocument/2006/relationships/hyperlink" Target="http://www.nevo.co.il/law/70301/383" TargetMode="External"/><Relationship Id="rId38" Type="http://schemas.openxmlformats.org/officeDocument/2006/relationships/hyperlink" Target="http://www.nevo.co.il/law/70301/430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1631/5" TargetMode="External"/><Relationship Id="rId41" Type="http://schemas.openxmlformats.org/officeDocument/2006/relationships/hyperlink" Target="http://www.nevo.co.il/law/71631" TargetMode="External"/><Relationship Id="rId42" Type="http://schemas.openxmlformats.org/officeDocument/2006/relationships/hyperlink" Target="http://www.nevo.co.il/law/74345/3.a" TargetMode="External"/><Relationship Id="rId43" Type="http://schemas.openxmlformats.org/officeDocument/2006/relationships/hyperlink" Target="http://www.nevo.co.il/law/74345" TargetMode="External"/><Relationship Id="rId44" Type="http://schemas.openxmlformats.org/officeDocument/2006/relationships/hyperlink" Target="http://www.nevo.co.il/law/70301/327" TargetMode="External"/><Relationship Id="rId45" Type="http://schemas.openxmlformats.org/officeDocument/2006/relationships/hyperlink" Target="http://www.nevo.co.il/law/70301/348.a" TargetMode="External"/><Relationship Id="rId46" Type="http://schemas.openxmlformats.org/officeDocument/2006/relationships/hyperlink" Target="http://www.nevo.co.il/law/70301/345.a.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27" TargetMode="External"/><Relationship Id="rId49" Type="http://schemas.openxmlformats.org/officeDocument/2006/relationships/hyperlink" Target="http://www.nevo.co.il/law/70301/415" TargetMode="External"/><Relationship Id="rId50" Type="http://schemas.openxmlformats.org/officeDocument/2006/relationships/hyperlink" Target="http://www.nevo.co.il/law/70301/428" TargetMode="External"/><Relationship Id="rId51" Type="http://schemas.openxmlformats.org/officeDocument/2006/relationships/hyperlink" Target="http://www.nevo.co.il/law/70301/384;383" TargetMode="External"/><Relationship Id="rId52" Type="http://schemas.openxmlformats.org/officeDocument/2006/relationships/hyperlink" Target="http://www.nevo.co.il/law/70301/430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1631/5.3" TargetMode="External"/><Relationship Id="rId55" Type="http://schemas.openxmlformats.org/officeDocument/2006/relationships/hyperlink" Target="http://www.nevo.co.il/law/71631" TargetMode="External"/><Relationship Id="rId56" Type="http://schemas.openxmlformats.org/officeDocument/2006/relationships/hyperlink" Target="http://www.nevo.co.il/law/74345/3.a" TargetMode="External"/><Relationship Id="rId57" Type="http://schemas.openxmlformats.org/officeDocument/2006/relationships/hyperlink" Target="http://www.nevo.co.il/law/74345" TargetMode="External"/><Relationship Id="rId58" Type="http://schemas.openxmlformats.org/officeDocument/2006/relationships/hyperlink" Target="http://www.nevo.co.il/law/70301/327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1631/5" TargetMode="External"/><Relationship Id="rId61" Type="http://schemas.openxmlformats.org/officeDocument/2006/relationships/hyperlink" Target="http://www.nevo.co.il/law/71631" TargetMode="External"/><Relationship Id="rId62" Type="http://schemas.openxmlformats.org/officeDocument/2006/relationships/hyperlink" Target="http://www.nevo.co.il/law/98569/9" TargetMode="External"/><Relationship Id="rId63" Type="http://schemas.openxmlformats.org/officeDocument/2006/relationships/hyperlink" Target="http://www.nevo.co.il/law/98569/10" TargetMode="External"/><Relationship Id="rId64" Type="http://schemas.openxmlformats.org/officeDocument/2006/relationships/hyperlink" Target="http://www.nevo.co.il/law/98569" TargetMode="External"/><Relationship Id="rId65" Type="http://schemas.openxmlformats.org/officeDocument/2006/relationships/hyperlink" Target="http://www.nevo.co.il/law/71631/5" TargetMode="External"/><Relationship Id="rId66" Type="http://schemas.openxmlformats.org/officeDocument/2006/relationships/hyperlink" Target="http://www.nevo.co.il/law/71631" TargetMode="External"/><Relationship Id="rId67" Type="http://schemas.openxmlformats.org/officeDocument/2006/relationships/hyperlink" Target="http://www.nevo.co.il/law/70301/327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26396573" TargetMode="External"/><Relationship Id="rId70" Type="http://schemas.openxmlformats.org/officeDocument/2006/relationships/hyperlink" Target="http://www.nevo.co.il/law/98569/9" TargetMode="External"/><Relationship Id="rId71" Type="http://schemas.openxmlformats.org/officeDocument/2006/relationships/hyperlink" Target="http://www.nevo.co.il/law/98569/10" TargetMode="External"/><Relationship Id="rId72" Type="http://schemas.openxmlformats.org/officeDocument/2006/relationships/hyperlink" Target="http://www.nevo.co.il/law/98569" TargetMode="External"/><Relationship Id="rId73" Type="http://schemas.openxmlformats.org/officeDocument/2006/relationships/hyperlink" Target="http://www.nevo.co.il/case/20035616" TargetMode="External"/><Relationship Id="rId74" Type="http://schemas.openxmlformats.org/officeDocument/2006/relationships/hyperlink" Target="http://www.nevo.co.il/case/6100413" TargetMode="External"/><Relationship Id="rId75" Type="http://schemas.openxmlformats.org/officeDocument/2006/relationships/hyperlink" Target="http://www.nevo.co.il/case/5573732" TargetMode="External"/><Relationship Id="rId76" Type="http://schemas.openxmlformats.org/officeDocument/2006/relationships/hyperlink" Target="http://www.nevo.co.il/law/71631/5" TargetMode="External"/><Relationship Id="rId77" Type="http://schemas.openxmlformats.org/officeDocument/2006/relationships/hyperlink" Target="http://www.nevo.co.il/law/71631" TargetMode="External"/><Relationship Id="rId78" Type="http://schemas.openxmlformats.org/officeDocument/2006/relationships/hyperlink" Target="http://www.nevo.co.il/case/20244333" TargetMode="External"/><Relationship Id="rId79" Type="http://schemas.openxmlformats.org/officeDocument/2006/relationships/hyperlink" Target="http://www.nevo.co.il/case/5709779" TargetMode="External"/><Relationship Id="rId80" Type="http://schemas.openxmlformats.org/officeDocument/2006/relationships/hyperlink" Target="http://www.nevo.co.il/case/27292055" TargetMode="External"/><Relationship Id="rId81" Type="http://schemas.openxmlformats.org/officeDocument/2006/relationships/hyperlink" Target="http://www.nevo.co.il/law/74903/86" TargetMode="External"/><Relationship Id="rId82" Type="http://schemas.openxmlformats.org/officeDocument/2006/relationships/hyperlink" Target="http://www.nevo.co.il/law/74903" TargetMode="External"/><Relationship Id="rId83" Type="http://schemas.openxmlformats.org/officeDocument/2006/relationships/hyperlink" Target="http://www.nevo.co.il/law/74903" TargetMode="External"/><Relationship Id="rId84" Type="http://schemas.openxmlformats.org/officeDocument/2006/relationships/hyperlink" Target="http://www.nevo.co.il/case/5729559" TargetMode="External"/><Relationship Id="rId85" Type="http://schemas.openxmlformats.org/officeDocument/2006/relationships/hyperlink" Target="http://www.nevo.co.il/law/74903/60a.g" TargetMode="External"/><Relationship Id="rId86" Type="http://schemas.openxmlformats.org/officeDocument/2006/relationships/hyperlink" Target="http://www.nevo.co.il/law/74903" TargetMode="External"/><Relationship Id="rId87" Type="http://schemas.openxmlformats.org/officeDocument/2006/relationships/hyperlink" Target="http://www.nevo.co.il/law/74903/9.a.2" TargetMode="External"/><Relationship Id="rId88" Type="http://schemas.openxmlformats.org/officeDocument/2006/relationships/hyperlink" Target="http://www.nevo.co.il/law/74903" TargetMode="External"/><Relationship Id="rId89" Type="http://schemas.openxmlformats.org/officeDocument/2006/relationships/hyperlink" Target="http://www.nevo.co.il/law/74903/9.c.1" TargetMode="External"/><Relationship Id="rId90" Type="http://schemas.openxmlformats.org/officeDocument/2006/relationships/hyperlink" Target="http://www.nevo.co.il/law/74918/23" TargetMode="External"/><Relationship Id="rId91" Type="http://schemas.openxmlformats.org/officeDocument/2006/relationships/hyperlink" Target="http://www.nevo.co.il/law/74918/23a" TargetMode="External"/><Relationship Id="rId92" Type="http://schemas.openxmlformats.org/officeDocument/2006/relationships/hyperlink" Target="http://www.nevo.co.il/law/74918" TargetMode="External"/><Relationship Id="rId93" Type="http://schemas.openxmlformats.org/officeDocument/2006/relationships/hyperlink" Target="http://www.nevo.co.il/law/70301/327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case/17931624" TargetMode="External"/><Relationship Id="rId96" Type="http://schemas.openxmlformats.org/officeDocument/2006/relationships/hyperlink" Target="http://www.nevo.co.il/case/6230925" TargetMode="External"/><Relationship Id="rId97" Type="http://schemas.openxmlformats.org/officeDocument/2006/relationships/hyperlink" Target="http://www.nevo.co.il/case/5694508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0301/355.a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4903/217" TargetMode="External"/><Relationship Id="rId102" Type="http://schemas.openxmlformats.org/officeDocument/2006/relationships/hyperlink" Target="http://www.nevo.co.il/law/74903" TargetMode="External"/><Relationship Id="rId103" Type="http://schemas.openxmlformats.org/officeDocument/2006/relationships/hyperlink" Target="https://supreme.court.gov.il/" TargetMode="External"/><Relationship Id="rId104" Type="http://schemas.openxmlformats.org/officeDocument/2006/relationships/hyperlink" Target="http://www.nevo.co.il/advertisements/nevo-100.doc" TargetMode="External"/><Relationship Id="rId105" Type="http://schemas.openxmlformats.org/officeDocument/2006/relationships/header" Target="header1.xml"/><Relationship Id="rId106" Type="http://schemas.openxmlformats.org/officeDocument/2006/relationships/footer" Target="footer1.xml"/><Relationship Id="rId107" Type="http://schemas.openxmlformats.org/officeDocument/2006/relationships/numbering" Target="numbering.xml"/><Relationship Id="rId108" Type="http://schemas.openxmlformats.org/officeDocument/2006/relationships/fontTable" Target="fontTable.xml"/><Relationship Id="rId109" Type="http://schemas.openxmlformats.org/officeDocument/2006/relationships/settings" Target="settings.xml"/><Relationship Id="rId1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2022-03-21T09:35:00Z</dcterms:created>
  <dc:creator>h4</dc:creator>
  <dc:description/>
  <cp:keywords/>
  <dc:language>en-IL</dc:language>
  <cp:lastModifiedBy>hofit</cp:lastModifiedBy>
  <cp:lastPrinted>2022-03-09T15:15:00Z</cp:lastPrinted>
  <dcterms:modified xsi:type="dcterms:W3CDTF">2022-03-21T09:35:00Z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שמואל בן אבו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21716741:2;26396573;20035616;6100413;5573732;20244333;5709779;27292055;5729559;17931624;6230925;5694508</vt:lpwstr>
  </property>
  <property fmtid="{D5CDD505-2E9C-101B-9397-08002B2CF9AE}" pid="9" name="CITY">
    <vt:lpwstr/>
  </property>
  <property fmtid="{D5CDD505-2E9C-101B-9397-08002B2CF9AE}" pid="10" name="DATE">
    <vt:lpwstr>20220308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סולברג;א' שטיין</vt:lpwstr>
  </property>
  <property fmtid="{D5CDD505-2E9C-101B-9397-08002B2CF9AE}" pid="14" name="LAWLISTTMP1">
    <vt:lpwstr>70301/327:6;348.a:2;345.a.4:2;415:2;428:2;384:2;383:2;430:2;355.a</vt:lpwstr>
  </property>
  <property fmtid="{D5CDD505-2E9C-101B-9397-08002B2CF9AE}" pid="15" name="LAWLISTTMP2">
    <vt:lpwstr>71631/005:4;005.3</vt:lpwstr>
  </property>
  <property fmtid="{D5CDD505-2E9C-101B-9397-08002B2CF9AE}" pid="16" name="LAWLISTTMP3">
    <vt:lpwstr>74345/003.a:2</vt:lpwstr>
  </property>
  <property fmtid="{D5CDD505-2E9C-101B-9397-08002B2CF9AE}" pid="17" name="LAWLISTTMP4">
    <vt:lpwstr>98569/009:2;010:2</vt:lpwstr>
  </property>
  <property fmtid="{D5CDD505-2E9C-101B-9397-08002B2CF9AE}" pid="18" name="LAWLISTTMP5">
    <vt:lpwstr>74903/086;060a.g;009.a.2;009.c.1;217</vt:lpwstr>
  </property>
  <property fmtid="{D5CDD505-2E9C-101B-9397-08002B2CF9AE}" pid="19" name="LAWLISTTMP6">
    <vt:lpwstr>74918/023;023a</vt:lpwstr>
  </property>
  <property fmtid="{D5CDD505-2E9C-101B-9397-08002B2CF9AE}" pid="20" name="LAWYER">
    <vt:lpwstr>הילה גורני;מיכל קליין;קרן ממן;אלעד בלעיש;יגאל בלפור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ראיות</vt:lpwstr>
  </property>
  <property fmtid="{D5CDD505-2E9C-101B-9397-08002B2CF9AE}" pid="32" name="NOSE110">
    <vt:lpwstr/>
  </property>
  <property fmtid="{D5CDD505-2E9C-101B-9397-08002B2CF9AE}" pid="33" name="NOSE12">
    <vt:lpwstr>ראיות</vt:lpwstr>
  </property>
  <property fmtid="{D5CDD505-2E9C-101B-9397-08002B2CF9AE}" pid="34" name="NOSE13">
    <vt:lpwstr>ראיות</vt:lpwstr>
  </property>
  <property fmtid="{D5CDD505-2E9C-101B-9397-08002B2CF9AE}" pid="35" name="NOSE14">
    <vt:lpwstr>דיון פלילי</vt:lpwstr>
  </property>
  <property fmtid="{D5CDD505-2E9C-101B-9397-08002B2CF9AE}" pid="36" name="NOSE15">
    <vt:lpwstr>דיון פלילי</vt:lpwstr>
  </property>
  <property fmtid="{D5CDD505-2E9C-101B-9397-08002B2CF9AE}" pid="37" name="NOSE16">
    <vt:lpwstr>עונשין</vt:lpwstr>
  </property>
  <property fmtid="{D5CDD505-2E9C-101B-9397-08002B2CF9AE}" pid="38" name="NOSE17">
    <vt:lpwstr>עונשין</vt:lpwstr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89;89;89;18;18;77;77</vt:lpwstr>
  </property>
  <property fmtid="{D5CDD505-2E9C-101B-9397-08002B2CF9AE}" pid="42" name="NOSE21">
    <vt:lpwstr>מהימנות</vt:lpwstr>
  </property>
  <property fmtid="{D5CDD505-2E9C-101B-9397-08002B2CF9AE}" pid="43" name="NOSE210">
    <vt:lpwstr/>
  </property>
  <property fmtid="{D5CDD505-2E9C-101B-9397-08002B2CF9AE}" pid="44" name="NOSE22">
    <vt:lpwstr>עדות</vt:lpwstr>
  </property>
  <property fmtid="{D5CDD505-2E9C-101B-9397-08002B2CF9AE}" pid="45" name="NOSE23">
    <vt:lpwstr>עדות</vt:lpwstr>
  </property>
  <property fmtid="{D5CDD505-2E9C-101B-9397-08002B2CF9AE}" pid="46" name="NOSE24">
    <vt:lpwstr>כתב-אישום</vt:lpwstr>
  </property>
  <property fmtid="{D5CDD505-2E9C-101B-9397-08002B2CF9AE}" pid="47" name="NOSE25">
    <vt:lpwstr>חקירה במשטרה</vt:lpwstr>
  </property>
  <property fmtid="{D5CDD505-2E9C-101B-9397-08002B2CF9AE}" pid="48" name="NOSE26">
    <vt:lpwstr>ענישה</vt:lpwstr>
  </property>
  <property fmtid="{D5CDD505-2E9C-101B-9397-08002B2CF9AE}" pid="49" name="NOSE27">
    <vt:lpwstr>ענישה</vt:lpwstr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1635;1654;1654;482;475;1446;1446</vt:lpwstr>
  </property>
  <property fmtid="{D5CDD505-2E9C-101B-9397-08002B2CF9AE}" pid="53" name="NOSE31">
    <vt:lpwstr>התערבות ערכאת ערעור</vt:lpwstr>
  </property>
  <property fmtid="{D5CDD505-2E9C-101B-9397-08002B2CF9AE}" pid="54" name="NOSE310">
    <vt:lpwstr/>
  </property>
  <property fmtid="{D5CDD505-2E9C-101B-9397-08002B2CF9AE}" pid="55" name="NOSE32">
    <vt:lpwstr>מעשים דומים</vt:lpwstr>
  </property>
  <property fmtid="{D5CDD505-2E9C-101B-9397-08002B2CF9AE}" pid="56" name="NOSE33">
    <vt:lpwstr>שיטה</vt:lpwstr>
  </property>
  <property fmtid="{D5CDD505-2E9C-101B-9397-08002B2CF9AE}" pid="57" name="NOSE34">
    <vt:lpwstr>ניסוחו</vt:lpwstr>
  </property>
  <property fmtid="{D5CDD505-2E9C-101B-9397-08002B2CF9AE}" pid="58" name="NOSE35">
    <vt:lpwstr>מחדלי חקירה</vt:lpwstr>
  </property>
  <property fmtid="{D5CDD505-2E9C-101B-9397-08002B2CF9AE}" pid="59" name="NOSE36">
    <vt:lpwstr>מדיניות ענישה: עבירות מין</vt:lpwstr>
  </property>
  <property fmtid="{D5CDD505-2E9C-101B-9397-08002B2CF9AE}" pid="60" name="NOSE37">
    <vt:lpwstr>מדיניות ענישה: עבירות מרמה</vt:lpwstr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10199;13889;10421;3725;3672;8988;15166</vt:lpwstr>
  </property>
  <property fmtid="{D5CDD505-2E9C-101B-9397-08002B2CF9AE}" pid="64" name="PADIDATE">
    <vt:lpwstr>20220310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6199</vt:lpwstr>
  </property>
  <property fmtid="{D5CDD505-2E9C-101B-9397-08002B2CF9AE}" pid="70" name="PROCYEAR">
    <vt:lpwstr>20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410120220308</vt:lpwstr>
  </property>
  <property fmtid="{D5CDD505-2E9C-101B-9397-08002B2CF9AE}" pid="74" name="TYPE_N_DATE">
    <vt:lpwstr>41020220308</vt:lpwstr>
  </property>
  <property fmtid="{D5CDD505-2E9C-101B-9397-08002B2CF9AE}" pid="75" name="VOLUME">
    <vt:lpwstr/>
  </property>
  <property fmtid="{D5CDD505-2E9C-101B-9397-08002B2CF9AE}" pid="76" name="WORDNUMPAGES">
    <vt:lpwstr>28</vt:lpwstr>
  </property>
</Properties>
</file>