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6258/18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9"/>
        <w:gridCol w:w="5134"/>
      </w:tblGrid>
      <w:tr>
        <w:trPr/>
        <w:tc>
          <w:tcPr>
            <w:tcW w:w="3229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3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ויאצ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סלב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קפקוב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3"/>
        <w:gridCol w:w="5130"/>
      </w:tblGrid>
      <w:tr>
        <w:trPr/>
        <w:tc>
          <w:tcPr>
            <w:tcW w:w="32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ות</w:t>
            </w:r>
            <w:r>
              <w:rPr>
                <w:rtl w:val="true"/>
              </w:rPr>
              <w:t>:</w:t>
            </w:r>
          </w:p>
        </w:tc>
        <w:tc>
          <w:tcPr>
            <w:tcW w:w="51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323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פלונית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בתיק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043813-08-17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17.07.2018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10.01.2019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בוריס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שרמן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המשיבות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ציבלין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bookmarkStart w:id="5" w:name="LawTable"/>
      <w:bookmarkEnd w:id="5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246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368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ו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ו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368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6" w:name="LawTable_End"/>
      <w:bookmarkEnd w:id="6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כתבי עת</w:t>
      </w:r>
      <w:hyperlink r:id="rId9">
        <w:r>
          <w:rPr>
            <w:rFonts w:cs="FrankRuehl" w:ascii="FrankRuehl" w:hAnsi="FrankRuehl"/>
            <w:spacing w:val="0"/>
            <w:sz w:val="24"/>
            <w:szCs w:val="24"/>
            <w:rtl w:val="true"/>
          </w:rPr>
          <w:t>: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10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דורון מנשה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;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יחיאל ש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'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קפלן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, 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רחמים בשיפוט ובענישה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",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עיוני משפט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 xml:space="preserve">לב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2011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583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7" w:name="Links_Kitvei_End"/>
      <w:bookmarkStart w:id="8" w:name="Links_Kitvei_End"/>
      <w:bookmarkEnd w:id="8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9" w:name="ABSTRACT_START"/>
      <w:bookmarkEnd w:id="9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המחוקק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זקן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שמבטאים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81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להניא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מלמסור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70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פשוטות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זקן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קשישים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ותקיפת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זקן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מוגן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שהתנהל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10,000</w:t>
      </w:r>
      <w:r>
        <w:rPr>
          <w:rFonts w:cs="FrankRuehl"/>
          <w:sz w:val="24"/>
          <w:szCs w:val="26"/>
          <w:rtl w:val="true"/>
        </w:rPr>
        <w:t xml:space="preserve"> ₪.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המבוגר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>,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למעשה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המחוקק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זקן</w:t>
      </w:r>
      <w:r>
        <w:rPr>
          <w:rFonts w:cs="FrankRuehl"/>
          <w:sz w:val="24"/>
          <w:szCs w:val="26"/>
          <w:rtl w:val="true"/>
        </w:rPr>
        <w:t xml:space="preserve">, </w:t>
      </w:r>
      <w:hyperlink r:id="rId11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ובסעיף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368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ו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ד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שיירשמו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כולו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בסכסוך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ספונטני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שמבטאים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81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להניא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מלמסור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בתקיפת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זקן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והתנהגותו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הנוכחי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התאפיינה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מעצורים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70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פשוטות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מופרז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והסכום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בעינו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Ruller31"/>
        <w:spacing w:lineRule="auto" w:line="240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0" w:name="ABSTRACT_END"/>
      <w:bookmarkStart w:id="11" w:name="ABSTRACT_END"/>
      <w:bookmarkEnd w:id="11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17.7.2018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43813-08-17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Fonts w:cs="David" w:ascii="Times New Roman" w:hAnsi="Times New Roman"/>
          <w:spacing w:val="0"/>
          <w:szCs w:val="24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התגוררו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מוגן</w:t>
      </w:r>
      <w:r>
        <w:rPr>
          <w:rtl w:val="true"/>
        </w:rPr>
        <w:t xml:space="preserve">, </w:t>
      </w:r>
      <w:r>
        <w:rPr>
          <w:rtl w:val="true"/>
        </w:rPr>
        <w:t>והמתלוננת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השירותים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כשתחתוניה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מופשלים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ראשה</w:t>
      </w:r>
      <w:r>
        <w:rPr>
          <w:rtl w:val="true"/>
        </w:rPr>
        <w:t xml:space="preserve">, </w:t>
      </w:r>
      <w:r>
        <w:rPr>
          <w:rtl w:val="true"/>
        </w:rPr>
        <w:t>הכה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וחנק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טלויזיה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וגידף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ותקיפת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368</w:t>
        </w:r>
        <w:r>
          <w:rPr>
            <w:rStyle w:val="Hyperlink"/>
            <w:color w:val="0000FF"/>
            <w:u w:val="single"/>
            <w:rtl w:val="true"/>
          </w:rPr>
          <w:t>ו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Fonts w:cs="Times New Roman" w:ascii="Times New Roman" w:hAnsi="Times New Roman"/>
          <w:rtl w:val="true"/>
        </w:rPr>
        <w:t>)</w:t>
      </w:r>
      <w:r>
        <w:rPr>
          <w:rtl w:val="true"/>
        </w:rPr>
        <w:t xml:space="preserve"> [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היא לפי סעיף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קטן </w:t>
      </w:r>
      <w:hyperlink r:id="rId16"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חבלה של ממש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או לפי </w:t>
      </w:r>
      <w:r>
        <w:rPr>
          <w:rStyle w:val="default"/>
          <w:rFonts w:ascii="Century" w:hAnsi="Century" w:cs="Century"/>
          <w:rtl w:val="true"/>
        </w:rPr>
        <w:t>סעיף</w:t>
      </w:r>
      <w:r>
        <w:rPr>
          <w:rStyle w:val="default"/>
          <w:rFonts w:cs="Century" w:ascii="Century" w:hAnsi="Century"/>
          <w:rtl w:val="true"/>
        </w:rPr>
        <w:t>-</w:t>
      </w:r>
      <w:r>
        <w:rPr>
          <w:rStyle w:val="default"/>
          <w:rFonts w:ascii="Century" w:hAnsi="Century" w:cs="Century"/>
          <w:rtl w:val="true"/>
        </w:rPr>
        <w:t xml:space="preserve">קטן </w:t>
      </w:r>
      <w:hyperlink r:id="rId17"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Style w:val="default"/>
          <w:rFonts w:cs="Century" w:ascii="Century" w:hAnsi="Century"/>
          <w:rtl w:val="true"/>
        </w:rPr>
        <w:t xml:space="preserve"> (</w:t>
      </w:r>
      <w:r>
        <w:rPr>
          <w:rStyle w:val="default"/>
          <w:rFonts w:ascii="Century" w:hAnsi="Century" w:cs="Century"/>
          <w:rtl w:val="true"/>
        </w:rPr>
        <w:t>חבלה חמורה</w:t>
      </w:r>
      <w:r>
        <w:rPr>
          <w:rStyle w:val="default"/>
          <w:rFonts w:cs="Century" w:ascii="Century" w:hAnsi="Century"/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ההנחה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Fonts w:ascii="Century" w:hAnsi="Century" w:cs="Century"/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tl w:val="true"/>
        </w:rPr>
        <w:t>-</w:t>
      </w:r>
      <w:r>
        <w:rPr>
          <w:rtl w:val="true"/>
        </w:rPr>
        <w:t>קטן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].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התאפיינה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באלמנטים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"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קשישה</w:t>
      </w:r>
      <w:r>
        <w:rPr>
          <w:rtl w:val="true"/>
        </w:rPr>
        <w:t xml:space="preserve">. </w:t>
      </w:r>
      <w:r>
        <w:rPr>
          <w:rtl w:val="true"/>
        </w:rPr>
        <w:t>צויין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ותלויה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>ובמקרה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: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מתוכנן</w:t>
      </w:r>
      <w:r>
        <w:rPr>
          <w:rtl w:val="true"/>
        </w:rPr>
        <w:t xml:space="preserve">, </w:t>
      </w:r>
      <w:r>
        <w:rPr>
          <w:rtl w:val="true"/>
        </w:rPr>
        <w:t>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ונפשית</w:t>
      </w:r>
      <w:r>
        <w:rPr>
          <w:rtl w:val="true"/>
        </w:rPr>
        <w:t xml:space="preserve">, </w:t>
      </w:r>
      <w:r>
        <w:rPr>
          <w:rtl w:val="true"/>
        </w:rPr>
        <w:t>והרקע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הוזמנה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tl w:val="true"/>
        </w:rPr>
        <w:t xml:space="preserve">, </w:t>
      </w:r>
      <w:r>
        <w:rPr>
          <w:rtl w:val="true"/>
        </w:rPr>
        <w:t>נסב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בזדון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הרתיע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מלנהוג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לקולה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מירבי</w:t>
      </w:r>
      <w:r>
        <w:rPr>
          <w:rtl w:val="true"/>
        </w:rPr>
        <w:t xml:space="preserve">" </w:t>
      </w:r>
      <w:r>
        <w:rPr>
          <w:rtl w:val="true"/>
        </w:rPr>
        <w:t>לגילו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הפקדת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ושהותו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);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; </w:t>
      </w:r>
      <w:r>
        <w:rPr>
          <w:rtl w:val="true"/>
        </w:rPr>
        <w:t>ופיצוי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Style w:val="default"/>
          <w:rFonts w:cs="Century" w:ascii="Century" w:hAnsi="Century"/>
        </w:rPr>
        <w:t>3</w:t>
      </w:r>
      <w:r>
        <w:rPr>
          <w:rStyle w:val="default"/>
          <w:rFonts w:cs="Century" w:ascii="Century" w:hAnsi="Century"/>
          <w:rtl w:val="true"/>
        </w:rPr>
        <w:t>.</w:t>
      </w:r>
      <w:r>
        <w:rPr>
          <w:rStyle w:val="default"/>
          <w:rFonts w:cs="Century" w:ascii="Century" w:hAnsi="Century"/>
          <w:rtl w:val="true"/>
        </w:rPr>
        <w:tab/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.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, </w:t>
      </w:r>
      <w:r>
        <w:rPr>
          <w:rtl w:val="true"/>
        </w:rPr>
        <w:t>מתקהה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tl w:val="true"/>
        </w:rPr>
        <w:t xml:space="preserve">. </w:t>
      </w:r>
      <w:r>
        <w:rPr>
          <w:rtl w:val="true"/>
        </w:rPr>
        <w:t>צויין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התבקשנו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והתנצל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Style w:val="default"/>
          <w:rFonts w:cs="Century" w:ascii="Century" w:hAnsi="Century"/>
          <w:rtl w:val="true"/>
        </w:rPr>
        <w:tab/>
      </w:r>
      <w:r>
        <w:rPr>
          <w:rStyle w:val="default"/>
          <w:rFonts w:ascii="Century" w:hAnsi="Century" w:cs="Century"/>
          <w:rtl w:val="true"/>
        </w:rPr>
        <w:t>לצד הערעור הוגשה בקשה לעיכוב ביצוע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ובהחלטה מיום </w:t>
      </w:r>
      <w:r>
        <w:rPr>
          <w:rStyle w:val="default"/>
          <w:rFonts w:cs="Century" w:ascii="Century" w:hAnsi="Century"/>
        </w:rPr>
        <w:t>13.9.2018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הורה השופט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קרא</w:t>
      </w:r>
      <w:r>
        <w:rPr>
          <w:rStyle w:val="default"/>
          <w:rFonts w:ascii="Century" w:hAnsi="Century" w:cs="Century"/>
          <w:rtl w:val="true"/>
        </w:rPr>
        <w:t xml:space="preserve"> על עיכוב עונש המאסר שהושת על המערער עד להכרעה בערעור</w:t>
      </w:r>
      <w:r>
        <w:rPr>
          <w:rStyle w:val="default"/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ששמענו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לגיטימי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דורון מנשה ויחיאל ש</w:t>
      </w:r>
      <w:r>
        <w:rPr>
          <w:rFonts w:cs="Century" w:ascii="Century" w:hAnsi="Century"/>
          <w:rtl w:val="true"/>
        </w:rPr>
        <w:t xml:space="preserve">' </w:t>
      </w:r>
      <w:hyperlink r:id="rId1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קפלן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רחמים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בשיפוט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ובענישה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cs="Century"/>
          <w:rtl w:val="true"/>
        </w:rPr>
        <w:t xml:space="preserve"> לב </w:t>
      </w:r>
      <w:r>
        <w:rPr>
          <w:rFonts w:cs="Century" w:ascii="Century" w:hAnsi="Century"/>
        </w:rPr>
        <w:t>583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2011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כן ראו דניאל סטטמן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המעמד המוסרי והמשפטי של רחמים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mercy</w:t>
      </w:r>
      <w:r>
        <w:rPr>
          <w:rFonts w:cs="Century" w:ascii="Century" w:hAnsi="Century"/>
          <w:rtl w:val="true"/>
        </w:rPr>
        <w:t xml:space="preserve">)"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בפלילים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בתורת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האחריות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הפלילית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אלי לדרמן עורך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2001</w:t>
      </w:r>
      <w:r>
        <w:rPr>
          <w:rFonts w:cs="Century" w:ascii="Century" w:hAnsi="Century"/>
          <w:rtl w:val="true"/>
        </w:rPr>
        <w:t xml:space="preserve">)). 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נזכיר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Fonts w:ascii="Century" w:hAnsi="Century" w:cs="Century"/>
          <w:rtl w:val="true"/>
        </w:rPr>
        <w:t>יוחדת לעבירות של תקיפת זקן</w:t>
      </w:r>
      <w:r>
        <w:rPr>
          <w:rFonts w:cs="Century" w:ascii="Century" w:hAnsi="Century"/>
          <w:rtl w:val="true"/>
        </w:rPr>
        <w:t xml:space="preserve">, </w:t>
      </w:r>
      <w:hyperlink r:id="rId1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ובסעיף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368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נקבע</w:t>
      </w:r>
      <w:r>
        <w:rPr>
          <w:rFonts w:cs="Century" w:ascii="Century" w:hAnsi="Century"/>
          <w:rtl w:val="true"/>
        </w:rPr>
        <w:t>: "</w:t>
      </w:r>
      <w:r>
        <w:rPr>
          <w:rStyle w:val="default"/>
          <w:rFonts w:ascii="Century" w:hAnsi="Century" w:cs="Century"/>
          <w:rtl w:val="true"/>
        </w:rPr>
        <w:t>הורשע אדם בעבירה לפי סעיף זה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יוטל עליו עונש מאסר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שלא יהיה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בהעדר טעמים מיוחדים שיירשמו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כולו על</w:t>
      </w:r>
      <w:r>
        <w:rPr>
          <w:rStyle w:val="default"/>
          <w:rFonts w:cs="Century" w:ascii="Century" w:hAnsi="Century"/>
          <w:rtl w:val="true"/>
        </w:rPr>
        <w:t>-</w:t>
      </w:r>
      <w:r>
        <w:rPr>
          <w:rStyle w:val="default"/>
          <w:rFonts w:ascii="Century" w:hAnsi="Century" w:cs="Century"/>
          <w:rtl w:val="true"/>
        </w:rPr>
        <w:t>תנאי</w:t>
      </w:r>
      <w:r>
        <w:rPr>
          <w:rStyle w:val="default"/>
          <w:rFonts w:cs="Century" w:ascii="Century" w:hAnsi="Century"/>
          <w:rtl w:val="true"/>
        </w:rPr>
        <w:t xml:space="preserve">". </w:t>
      </w:r>
      <w:r>
        <w:rPr>
          <w:rStyle w:val="default"/>
          <w:rFonts w:ascii="Century" w:hAnsi="Century" w:cs="Century"/>
          <w:rtl w:val="true"/>
        </w:rPr>
        <w:t>יתר על כן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בענייננו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שמבטאים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כבת</w:t>
      </w:r>
      <w:r>
        <w:rPr>
          <w:rFonts w:eastAsia="Arial TUR" w:cs="Arial TUR"/>
          <w:rtl w:val="true"/>
        </w:rPr>
        <w:t xml:space="preserve"> </w:t>
      </w:r>
      <w:r>
        <w:rPr/>
        <w:t>81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בתקיפת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46567-02-17</w:t>
        </w:r>
      </w:hyperlink>
      <w:r>
        <w:rPr>
          <w:rtl w:val="true"/>
        </w:rPr>
        <w:t xml:space="preserve">),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והתנהגותו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התאפיינה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מעצורים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</w:rPr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Arial TUR" w:cs="Arial TUR"/>
          <w:rtl w:val="true"/>
        </w:rPr>
        <w:t xml:space="preserve"> 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פשוטות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</w:t>
      </w:r>
      <w:r>
        <w:rPr>
          <w:rtl w:val="true"/>
        </w:rPr>
        <w:t xml:space="preserve">). </w:t>
      </w:r>
      <w:r>
        <w:rPr>
          <w:rStyle w:val="default"/>
          <w:rFonts w:ascii="Century" w:hAnsi="Century" w:cs="Century"/>
          <w:rtl w:val="true"/>
        </w:rPr>
        <w:t>מונח בפנינו גם תסקיר עדכני מטעם שירות המבחן למבוגרים</w:t>
      </w:r>
      <w:r>
        <w:rPr>
          <w:rStyle w:val="default"/>
          <w:rFonts w:cs="Century" w:ascii="Century" w:hAnsi="Century"/>
          <w:rtl w:val="true"/>
        </w:rPr>
        <w:t xml:space="preserve">. </w:t>
      </w:r>
      <w:r>
        <w:rPr>
          <w:rStyle w:val="default"/>
          <w:rFonts w:ascii="Century" w:hAnsi="Century" w:cs="Century"/>
          <w:rtl w:val="true"/>
        </w:rPr>
        <w:t>על אף הטענה כי בעבר המערער ביקש את סליחתה של המתלוננת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שירות המבחן התרשם כי הוא </w:t>
      </w:r>
      <w:r>
        <w:rPr>
          <w:rStyle w:val="default"/>
          <w:rFonts w:cs="Century" w:ascii="Century" w:hAnsi="Century"/>
          <w:rtl w:val="true"/>
        </w:rPr>
        <w:t>"</w:t>
      </w:r>
      <w:r>
        <w:rPr>
          <w:rStyle w:val="default"/>
          <w:rFonts w:ascii="Century" w:hAnsi="Century" w:cs="Century"/>
          <w:rtl w:val="true"/>
        </w:rPr>
        <w:t>אינו מכיר בפגיעה שהסב למתלוננת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למצוקתה ולסבלה</w:t>
      </w:r>
      <w:r>
        <w:rPr>
          <w:rStyle w:val="default"/>
          <w:rFonts w:cs="Century" w:ascii="Century" w:hAnsi="Century"/>
          <w:rtl w:val="true"/>
        </w:rPr>
        <w:t xml:space="preserve">", </w:t>
      </w:r>
      <w:r>
        <w:rPr>
          <w:rStyle w:val="default"/>
          <w:rFonts w:ascii="Century" w:hAnsi="Century" w:cs="Century"/>
          <w:rtl w:val="true"/>
        </w:rPr>
        <w:t>ועל רקע נסיבותיו האישיות הוחלט להימנע מהמלצה טיפולית</w:t>
      </w:r>
      <w:r>
        <w:rPr>
          <w:rStyle w:val="default"/>
          <w:rFonts w:cs="Century" w:ascii="Century" w:hAnsi="Century"/>
          <w:rtl w:val="true"/>
        </w:rPr>
        <w:t>.</w:t>
      </w:r>
      <w:r>
        <w:rPr>
          <w:rStyle w:val="default"/>
          <w:rtl w:val="true"/>
        </w:rPr>
        <w:t xml:space="preserve"> </w:t>
      </w:r>
    </w:p>
    <w:p>
      <w:pPr>
        <w:pStyle w:val="Ruller41"/>
        <w:ind w:end="0"/>
        <w:jc w:val="both"/>
        <w:rPr>
          <w:rStyle w:val="default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</w:rPr>
      </w:pPr>
      <w:r>
        <w:rPr>
          <w:rStyle w:val="default"/>
          <w:rtl w:val="true"/>
        </w:rPr>
        <w:tab/>
      </w:r>
      <w:r>
        <w:rPr>
          <w:rStyle w:val="default"/>
          <w:rtl w:val="true"/>
        </w:rPr>
        <w:t>בנסיבות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אף</w:t>
      </w:r>
      <w:r>
        <w:rPr>
          <w:rStyle w:val="default"/>
          <w:rFonts w:eastAsia="Arial TUR" w:cs="Arial TUR"/>
          <w:rtl w:val="true"/>
        </w:rPr>
        <w:t xml:space="preserve"> </w:t>
      </w:r>
      <w:r>
        <w:rPr>
          <w:rStyle w:val="default"/>
          <w:rtl w:val="true"/>
        </w:rPr>
        <w:t>הפיצוי</w:t>
      </w:r>
      <w:r>
        <w:rPr>
          <w:rStyle w:val="default"/>
          <w:rFonts w:eastAsia="Arial TUR" w:cs="Arial TUR"/>
          <w:rtl w:val="true"/>
        </w:rPr>
        <w:t xml:space="preserve"> </w:t>
      </w:r>
      <w:r>
        <w:rPr>
          <w:rStyle w:val="default"/>
          <w:rtl w:val="true"/>
        </w:rPr>
        <w:t>שנפסק</w:t>
      </w:r>
      <w:r>
        <w:rPr>
          <w:rStyle w:val="default"/>
          <w:rFonts w:eastAsia="Arial TUR" w:cs="Arial TUR"/>
          <w:rtl w:val="true"/>
        </w:rPr>
        <w:t xml:space="preserve"> </w:t>
      </w:r>
      <w:r>
        <w:rPr>
          <w:rStyle w:val="default"/>
          <w:rtl w:val="true"/>
        </w:rPr>
        <w:t>לזכות</w:t>
      </w:r>
      <w:r>
        <w:rPr>
          <w:rStyle w:val="default"/>
          <w:rFonts w:eastAsia="Arial TUR" w:cs="Arial TUR"/>
          <w:rtl w:val="true"/>
        </w:rPr>
        <w:t xml:space="preserve"> </w:t>
      </w:r>
      <w:r>
        <w:rPr>
          <w:rStyle w:val="default"/>
          <w:rtl w:val="true"/>
        </w:rPr>
        <w:t>המתלוננת</w:t>
      </w:r>
      <w:r>
        <w:rPr>
          <w:rStyle w:val="default"/>
          <w:rFonts w:eastAsia="Arial TUR" w:cs="Arial TUR"/>
          <w:rtl w:val="true"/>
        </w:rPr>
        <w:t xml:space="preserve"> </w:t>
      </w:r>
      <w:r>
        <w:rPr>
          <w:rStyle w:val="default"/>
          <w:rtl w:val="true"/>
        </w:rPr>
        <w:t>אינו</w:t>
      </w:r>
      <w:r>
        <w:rPr>
          <w:rStyle w:val="default"/>
          <w:rFonts w:eastAsia="Arial TUR" w:cs="Arial TUR"/>
          <w:rtl w:val="true"/>
        </w:rPr>
        <w:t xml:space="preserve"> </w:t>
      </w:r>
      <w:r>
        <w:rPr>
          <w:rStyle w:val="default"/>
          <w:rtl w:val="true"/>
        </w:rPr>
        <w:t>מופרז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והסכום</w:t>
      </w:r>
      <w:r>
        <w:rPr>
          <w:rStyle w:val="default"/>
          <w:rFonts w:eastAsia="Arial TUR" w:cs="Arial TUR"/>
          <w:rtl w:val="true"/>
        </w:rPr>
        <w:t xml:space="preserve"> </w:t>
      </w:r>
      <w:r>
        <w:rPr>
          <w:rStyle w:val="default"/>
          <w:rtl w:val="true"/>
        </w:rPr>
        <w:t>שנקבע</w:t>
      </w:r>
      <w:r>
        <w:rPr>
          <w:rStyle w:val="default"/>
          <w:rFonts w:eastAsia="Arial TUR" w:cs="Arial TUR"/>
          <w:rtl w:val="true"/>
        </w:rPr>
        <w:t xml:space="preserve"> </w:t>
      </w:r>
      <w:r>
        <w:rPr>
          <w:rStyle w:val="default"/>
          <w:rtl w:val="true"/>
        </w:rPr>
        <w:t>יעמוד</w:t>
      </w:r>
      <w:r>
        <w:rPr>
          <w:rStyle w:val="default"/>
          <w:rFonts w:eastAsia="Arial TUR" w:cs="Arial TUR"/>
          <w:rtl w:val="true"/>
        </w:rPr>
        <w:t xml:space="preserve"> </w:t>
      </w:r>
      <w:r>
        <w:rPr>
          <w:rStyle w:val="default"/>
          <w:rtl w:val="true"/>
        </w:rPr>
        <w:t>בעינו</w:t>
      </w:r>
      <w:r>
        <w:rPr>
          <w:rStyle w:val="default"/>
          <w:rtl w:val="true"/>
        </w:rPr>
        <w:t>.</w:t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Style w:val="default"/>
          <w:rFonts w:cs="Century" w:ascii="Century" w:hAnsi="Century"/>
        </w:rPr>
        <w:t>5</w:t>
      </w:r>
      <w:r>
        <w:rPr>
          <w:rStyle w:val="default"/>
          <w:rFonts w:cs="Century" w:ascii="Century" w:hAnsi="Century"/>
          <w:rtl w:val="true"/>
        </w:rPr>
        <w:t>.</w:t>
      </w:r>
      <w:r>
        <w:rPr>
          <w:rStyle w:val="default"/>
          <w:rFonts w:cs="Century" w:ascii="Century" w:hAnsi="Century"/>
          <w:rtl w:val="true"/>
        </w:rPr>
        <w:tab/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>:</w:t>
      </w:r>
      <w:r>
        <w:rPr>
          <w:rStyle w:val="default"/>
          <w:rFonts w:cs="Century" w:ascii="Century" w:hAnsi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 xml:space="preserve">העונש שהושת על המערער אינו חורג מרף הענישה הנוהג </w:t>
      </w: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ראו והשוו</w:t>
      </w:r>
      <w:r>
        <w:rPr>
          <w:rStyle w:val="default"/>
          <w:rFonts w:cs="Century" w:ascii="Century" w:hAnsi="Century"/>
          <w:rtl w:val="true"/>
        </w:rPr>
        <w:t xml:space="preserve">: </w:t>
      </w:r>
      <w:hyperlink r:id="rId2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3163/17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19.6.2017</w:t>
      </w:r>
      <w:r>
        <w:rPr>
          <w:rFonts w:cs="Century" w:ascii="Century" w:hAnsi="Century"/>
          <w:rtl w:val="true"/>
        </w:rPr>
        <w:t xml:space="preserve">); </w:t>
      </w:r>
      <w:hyperlink r:id="rId2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5558/15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דמרי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cs="David" w:ascii="Times New Roman" w:hAnsi="Times New Roman"/>
          <w:spacing w:val="0"/>
          <w:szCs w:val="24"/>
          <w:rtl w:val="true"/>
        </w:rPr>
        <w:t>[</w:t>
      </w:r>
      <w:r>
        <w:rPr>
          <w:rStyle w:val="default"/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Style w:val="default"/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Style w:val="default"/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Style w:val="default"/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cs="Century" w:ascii="Century" w:hAnsi="Century"/>
        </w:rPr>
        <w:t>24.11.2015</w:t>
      </w:r>
      <w:r>
        <w:rPr>
          <w:rStyle w:val="default"/>
          <w:rFonts w:cs="Century" w:ascii="Century" w:hAnsi="Century"/>
          <w:rtl w:val="true"/>
        </w:rPr>
        <w:t xml:space="preserve">); </w:t>
      </w:r>
      <w:hyperlink r:id="rId23">
        <w:bookmarkStart w:id="18" w:name="Text1"/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6790/12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גולד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bookmarkEnd w:id="18"/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20.9.2012</w:t>
      </w:r>
      <w:r>
        <w:rPr>
          <w:rFonts w:cs="Century" w:ascii="Century" w:hAnsi="Century"/>
          <w:rtl w:val="true"/>
        </w:rPr>
        <w:t xml:space="preserve">)), </w:t>
      </w:r>
      <w:r>
        <w:rPr>
          <w:rFonts w:ascii="Century" w:hAnsi="Century" w:cs="Century"/>
          <w:rtl w:val="true"/>
        </w:rPr>
        <w:t>ולא מצאנו עילה אחרת להתערב בגזר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לפיכך הערעור נדחה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spacing w:lineRule="exact" w:line="280" w:before="100" w:after="0"/>
        <w:ind w:end="0"/>
        <w:jc w:val="both"/>
        <w:textAlignment w:val="auto"/>
        <w:rPr>
          <w:rStyle w:val="default"/>
          <w:sz w:val="22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Style w:val="default"/>
          <w:rFonts w:cs="Century" w:ascii="Century" w:hAnsi="Century"/>
          <w:rtl w:val="true"/>
        </w:rPr>
        <w:tab/>
      </w:r>
      <w:r>
        <w:rPr>
          <w:rStyle w:val="default"/>
          <w:rFonts w:cs="Century" w:ascii="Century" w:hAnsi="Century"/>
          <w:rtl w:val="true"/>
        </w:rPr>
        <w:t xml:space="preserve"> </w:t>
      </w:r>
      <w:r>
        <w:rPr>
          <w:rtl w:val="true"/>
        </w:rPr>
        <w:t xml:space="preserve">המערער </w:t>
      </w:r>
      <w:r>
        <w:rPr>
          <w:rtl w:val="true"/>
        </w:rPr>
        <w:t>יתייצב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שאת בעונש ה</w:t>
      </w:r>
      <w:r>
        <w:rPr>
          <w:rtl w:val="true"/>
        </w:rPr>
        <w:t>מאסר</w:t>
      </w:r>
      <w:r>
        <w:rPr>
          <w:rtl w:val="true"/>
        </w:rPr>
        <w:t xml:space="preserve"> בפועל שהוטל עליו</w:t>
      </w:r>
      <w:r>
        <w:rPr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17.2.2019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ימ</w:t>
      </w:r>
      <w:r>
        <w:rPr>
          <w:rtl w:val="true"/>
        </w:rPr>
        <w:t>"</w:t>
      </w:r>
      <w:r>
        <w:rPr>
          <w:rtl w:val="true"/>
        </w:rPr>
        <w:t>ר קישון</w:t>
      </w:r>
      <w:r>
        <w:rPr>
          <w:rtl w:val="true"/>
        </w:rPr>
        <w:t xml:space="preserve">, </w:t>
      </w:r>
      <w:r>
        <w:rPr>
          <w:rtl w:val="true"/>
        </w:rPr>
        <w:t>או על פי החלטת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כשברשותו תעודת זהות או דרכון</w:t>
      </w:r>
      <w:r>
        <w:rPr>
          <w:rtl w:val="true"/>
        </w:rPr>
        <w:t xml:space="preserve">. </w:t>
      </w:r>
      <w:r>
        <w:rPr>
          <w:rtl w:val="true"/>
        </w:rPr>
        <w:t>על ה</w:t>
      </w:r>
      <w:r>
        <w:rPr>
          <w:rtl w:val="true"/>
        </w:rPr>
        <w:t>מערער</w:t>
      </w:r>
      <w:r>
        <w:rPr>
          <w:rtl w:val="true"/>
        </w:rPr>
        <w:t xml:space="preserve">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/>
        <w:t>08-9787336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24.1.2019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18062580</w:t>
      </w:r>
      <w:r>
        <w:rPr>
          <w:sz w:val="16"/>
          <w:rtl w:val="true"/>
        </w:rPr>
        <w:t>_</w:t>
      </w:r>
      <w:r>
        <w:rPr>
          <w:sz w:val="16"/>
        </w:rPr>
        <w:t>E06.docx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  <w:r>
        <w:rPr>
          <w:sz w:val="16"/>
          <w:sz w:val="16"/>
          <w:rtl w:val="true"/>
        </w:rPr>
        <w:t>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4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54678313-6258/18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6258/18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ויאצ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סלב קפקוב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default">
    <w:name w:val="default"/>
    <w:qFormat/>
    <w:rPr/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93161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46.b" TargetMode="External"/><Relationship Id="rId5" Type="http://schemas.openxmlformats.org/officeDocument/2006/relationships/hyperlink" Target="http://www.nevo.co.il/law/70301/368f" TargetMode="External"/><Relationship Id="rId6" Type="http://schemas.openxmlformats.org/officeDocument/2006/relationships/hyperlink" Target="http://www.nevo.co.il/law/70301/368f.a" TargetMode="External"/><Relationship Id="rId7" Type="http://schemas.openxmlformats.org/officeDocument/2006/relationships/hyperlink" Target="http://www.nevo.co.il/law/70301/368f.b" TargetMode="External"/><Relationship Id="rId8" Type="http://schemas.openxmlformats.org/officeDocument/2006/relationships/hyperlink" Target="http://www.nevo.co.il/law/70301/368f.d" TargetMode="External"/><Relationship Id="rId9" Type="http://schemas.openxmlformats.org/officeDocument/2006/relationships/hyperlink" Target="http://www.nevo.co.il/safrut/book/13659" TargetMode="External"/><Relationship Id="rId10" Type="http://schemas.openxmlformats.org/officeDocument/2006/relationships/hyperlink" Target="http://www.nevo.co.il/safrut/book/13659" TargetMode="External"/><Relationship Id="rId11" Type="http://schemas.openxmlformats.org/officeDocument/2006/relationships/hyperlink" Target="http://www.nevo.co.il/law/70301/368f.d" TargetMode="External"/><Relationship Id="rId12" Type="http://schemas.openxmlformats.org/officeDocument/2006/relationships/hyperlink" Target="http://www.nevo.co.il/case/22931617" TargetMode="External"/><Relationship Id="rId13" Type="http://schemas.openxmlformats.org/officeDocument/2006/relationships/hyperlink" Target="http://www.nevo.co.il/law/70301/246.b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68f" TargetMode="External"/><Relationship Id="rId16" Type="http://schemas.openxmlformats.org/officeDocument/2006/relationships/hyperlink" Target="http://www.nevo.co.il/law/70301/368f.a" TargetMode="External"/><Relationship Id="rId17" Type="http://schemas.openxmlformats.org/officeDocument/2006/relationships/hyperlink" Target="http://www.nevo.co.il/law/70301/368f.b" TargetMode="External"/><Relationship Id="rId18" Type="http://schemas.openxmlformats.org/officeDocument/2006/relationships/hyperlink" Target="http://www.nevo.co.il/safrut/book/13659" TargetMode="External"/><Relationship Id="rId19" Type="http://schemas.openxmlformats.org/officeDocument/2006/relationships/hyperlink" Target="http://www.nevo.co.il/law/70301/368f.d" TargetMode="External"/><Relationship Id="rId20" Type="http://schemas.openxmlformats.org/officeDocument/2006/relationships/hyperlink" Target="http://www.nevo.co.il/case/22264092" TargetMode="External"/><Relationship Id="rId21" Type="http://schemas.openxmlformats.org/officeDocument/2006/relationships/hyperlink" Target="http://www.nevo.co.il/case/22529007" TargetMode="External"/><Relationship Id="rId22" Type="http://schemas.openxmlformats.org/officeDocument/2006/relationships/hyperlink" Target="http://www.nevo.co.il/case/20536104" TargetMode="External"/><Relationship Id="rId23" Type="http://schemas.openxmlformats.org/officeDocument/2006/relationships/hyperlink" Target="http://www.nevo.co.il/case/5596853" TargetMode="External"/><Relationship Id="rId24" Type="http://schemas.openxmlformats.org/officeDocument/2006/relationships/hyperlink" Target="http://supreme.court.gov.il/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2019-02-06T12:14:00Z</dcterms:created>
  <dc:creator>h3</dc:creator>
  <dc:description/>
  <cp:keywords/>
  <dc:language>en-IL</dc:language>
  <cp:lastModifiedBy>hofit</cp:lastModifiedBy>
  <cp:lastPrinted>2019-01-24T09:32:00Z</cp:lastPrinted>
  <dcterms:modified xsi:type="dcterms:W3CDTF">2019-02-06T12:14:00Z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ויאצ'סלב קפקוב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13659</vt:lpwstr>
  </property>
  <property fmtid="{D5CDD505-2E9C-101B-9397-08002B2CF9AE}" pid="9" name="CASESLISTTMP1">
    <vt:lpwstr>22931617:2;22264092;22529007;20536104;5596853</vt:lpwstr>
  </property>
  <property fmtid="{D5CDD505-2E9C-101B-9397-08002B2CF9AE}" pid="10" name="CITY">
    <vt:lpwstr/>
  </property>
  <property fmtid="{D5CDD505-2E9C-101B-9397-08002B2CF9AE}" pid="11" name="DATE">
    <vt:lpwstr>20190124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י' עמית;ע' גרוסקופף;ח' מלצר</vt:lpwstr>
  </property>
  <property fmtid="{D5CDD505-2E9C-101B-9397-08002B2CF9AE}" pid="15" name="LAWLISTTMP1">
    <vt:lpwstr>70301/368f.d;246.b;368f;368f.a;368f.b</vt:lpwstr>
  </property>
  <property fmtid="{D5CDD505-2E9C-101B-9397-08002B2CF9AE}" pid="16" name="LAWYER">
    <vt:lpwstr>מריה ציבלין;בוריס שרמן;ברכה וייס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ID">
    <vt:lpwstr>77;77;77</vt:lpwstr>
  </property>
  <property fmtid="{D5CDD505-2E9C-101B-9397-08002B2CF9AE}" pid="31" name="NOSE21">
    <vt:lpwstr>ענישה</vt:lpwstr>
  </property>
  <property fmtid="{D5CDD505-2E9C-101B-9397-08002B2CF9AE}" pid="32" name="NOSE22">
    <vt:lpwstr>ענישה</vt:lpwstr>
  </property>
  <property fmtid="{D5CDD505-2E9C-101B-9397-08002B2CF9AE}" pid="33" name="NOSE23">
    <vt:lpwstr>ענישה</vt:lpwstr>
  </property>
  <property fmtid="{D5CDD505-2E9C-101B-9397-08002B2CF9AE}" pid="34" name="NOSE2ID">
    <vt:lpwstr>1446;1446;1446</vt:lpwstr>
  </property>
  <property fmtid="{D5CDD505-2E9C-101B-9397-08002B2CF9AE}" pid="35" name="NOSE31">
    <vt:lpwstr>תקיפת זקן</vt:lpwstr>
  </property>
  <property fmtid="{D5CDD505-2E9C-101B-9397-08002B2CF9AE}" pid="36" name="NOSE32">
    <vt:lpwstr>מדיניות ענישה: עבירות נגד קשישים</vt:lpwstr>
  </property>
  <property fmtid="{D5CDD505-2E9C-101B-9397-08002B2CF9AE}" pid="37" name="NOSE33">
    <vt:lpwstr>שיקולי ענישה</vt:lpwstr>
  </property>
  <property fmtid="{D5CDD505-2E9C-101B-9397-08002B2CF9AE}" pid="38" name="NOSE3ID">
    <vt:lpwstr>;14903;15506</vt:lpwstr>
  </property>
  <property fmtid="{D5CDD505-2E9C-101B-9397-08002B2CF9AE}" pid="39" name="PADIDATE">
    <vt:lpwstr>20190127</vt:lpwstr>
  </property>
  <property fmtid="{D5CDD505-2E9C-101B-9397-08002B2CF9AE}" pid="40" name="PADIMAIL">
    <vt:lpwstr>YES</vt:lpwstr>
  </property>
  <property fmtid="{D5CDD505-2E9C-101B-9397-08002B2CF9AE}" pid="41" name="PAGE">
    <vt:lpwstr/>
  </property>
  <property fmtid="{D5CDD505-2E9C-101B-9397-08002B2CF9AE}" pid="42" name="PART">
    <vt:lpwstr/>
  </property>
  <property fmtid="{D5CDD505-2E9C-101B-9397-08002B2CF9AE}" pid="43" name="PROCESS">
    <vt:lpwstr>עפ</vt:lpwstr>
  </property>
  <property fmtid="{D5CDD505-2E9C-101B-9397-08002B2CF9AE}" pid="44" name="PROCNUM">
    <vt:lpwstr>6258</vt:lpwstr>
  </property>
  <property fmtid="{D5CDD505-2E9C-101B-9397-08002B2CF9AE}" pid="45" name="PROCYEAR">
    <vt:lpwstr>18</vt:lpwstr>
  </property>
  <property fmtid="{D5CDD505-2E9C-101B-9397-08002B2CF9AE}" pid="46" name="PSAKDIN">
    <vt:lpwstr>פסק-דין</vt:lpwstr>
  </property>
  <property fmtid="{D5CDD505-2E9C-101B-9397-08002B2CF9AE}" pid="47" name="TYPE">
    <vt:lpwstr>1</vt:lpwstr>
  </property>
  <property fmtid="{D5CDD505-2E9C-101B-9397-08002B2CF9AE}" pid="48" name="TYPE_ABS_DATE">
    <vt:lpwstr>410120190124</vt:lpwstr>
  </property>
  <property fmtid="{D5CDD505-2E9C-101B-9397-08002B2CF9AE}" pid="49" name="TYPE_N_DATE">
    <vt:lpwstr>41020190124</vt:lpwstr>
  </property>
  <property fmtid="{D5CDD505-2E9C-101B-9397-08002B2CF9AE}" pid="50" name="VOLUME">
    <vt:lpwstr/>
  </property>
  <property fmtid="{D5CDD505-2E9C-101B-9397-08002B2CF9AE}" pid="51" name="WORDNUMPAGES">
    <vt:lpwstr>5</vt:lpwstr>
  </property>
</Properties>
</file>