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342" w:hRule="atLeast"/>
        </w:trPr>
        <w:tc>
          <w:tcPr>
            <w:tcW w:w="8364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6277/20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קנאו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היילי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מרשק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12376-10-18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6.8.2020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249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340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1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380</w:t>
        </w:r>
      </w:hyperlink>
    </w:p>
    <w:p>
      <w:pPr>
        <w:pStyle w:val="Ruller31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נדחה ערעור על הרשעת המערער בביצוע עבירות של תקיפה הגורמת חבלה של ממש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נשיאת נשק ותחמושת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ירי מנשק חם באזור מגורים והטרדת עד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בהעדר מקום להתערב בממצאי עובדה ומהימנות שקבעה הערכאה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כן נדחה הערעור על עונש המאסר בפועל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ועונשים נלווים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תוך עמידה על חומרת מעשי המערער והצורך בענישה מרתיעה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פסק דין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אשר הרשיע את המערער בביצוע עבירות של תקיפה הגורמת חבלה של ממש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נשיאת נשק ותחמושת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ירי מנשק חם באזור מגורים והטרדת עד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וגזר עליו עונש מאסר בפועל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וכן עונשים מותנים ותשלום פיצוי למתלונן בסך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מכוון נגד ההרשעה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ולחלופין נגד חומרת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מזוז ובהסכמת הנשיאה חיות והשופט סולברג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על הכרעת הדין מכוון בעיקר נגד ממצאי עובדה ומהימנות שקבע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העדיף את גרסת המתלונן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שנתמכה בראיות נוספות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פני גרסת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זה מדרכה של ערכאת הערעור להתערב בקביעות שבעובדה ובממצאי מהימנות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במקרים חריגים בהם קביעות הערכאה הדיונית אינן סבירות בעליל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נפלה בהן טעות מהותית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הברורה על פני הדברים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כאשר מדובר בהכרעה המבוססת על ראיות חפציות או על שיקולים שבהיגיון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שבהם אין לערכאה הדיונית יתרון על פני ערכאת הערעור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אין הצדקה להתערב בקביעות העובדה ובממצאי המהימנות שבפסק דינו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הכרעת הדין מבוססת היטב בחומר הראיות ומנומקת כדבעי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הכרעת הדין ניתנה בין היתר על יסוד התרשמותו הבלתי אמצעית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מהעדויות השונות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טענות המערער נבחנו ונדונו ביסודיות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בהן כדי לקעקע את מהימנות המתלונן או להפחית מהרושם הבלתי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אמין שהותיר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הרשעת המערער בדין יסודה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מקום להתערבות בהכרעת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עניינו של המערער אינו נמנה על המקרים החריגים המצדיקים התערבות בגזר הדין של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העונש שהוטל על המערער אינו קל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שמעשי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אשר שם לו למטרה להטיל מורא על המתלונן שמא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יעז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למסור עדות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נגד אחיו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ולבוא עמו בחשבון על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השלכות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עדותו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חמורים ומחייבים תגובה עונשית הולמת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מדובר במסכת עבריינית אלימה וחמורה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המערער מבקש להעביר מסר אלים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שתחילתו באיומים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והמשכו בתקיפה אכזרית וירי בריוני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וכאשר ברקע האירועים שתי תקיפות קודמות של המתלונן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 אחיו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ותקיפה חמורה נוספת אותה חווה המתלונן בסמוך לאחר מתן עדותו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במשפטו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 אח אחר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אלה בדין הוחמר עונשו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חומרה בעבירה של הטרדת עדים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שיש בה כדי לקעקע את יסודות הסדר החברתי הטמון בקיומו של ההליך הפלילי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שבגינה יש להחמיר בענישה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על הצורך להיאבק בתופעה של שימוש באלימות כדרך לפתרון סכסוכים ומחלוקות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ועל מחויבותו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להילחם בתופעה זו בדרך של הטלת עונשים מרתיעים ומשמעותיים שישקפו מסר מרתיע לעבריינים ולחברה כולה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shd w:fill="FFFFFF" w:val="clear"/>
          <w:rtl w:val="true"/>
        </w:rPr>
        <w:t xml:space="preserve">כן עמדה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הפסיקה על הסכנות לפרט ולחברה הכרוכות בעבירות בנשק בכלל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ובשימוש בנשק חם לפתרון סכסוכים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חומרה מיוחדת מיוחסת למקרים בהם השימוש בנשק חם נעשה בסביבת בית מגורים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התופעה של החזקת נשק שלא כדין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וכל שכן השימוש 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מהווים איום על שלום הציבור ותשתית למגוון רחב של 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ומחייבת הירתמות גם של בתי המשפט על ידי ענישה מחמירה ומרתיעה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כל האמור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לדחות את טענת המערער כי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שגה בקביעת מתחם העונש ההולם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בקביעת עונשו בגדרי המתחם שקבע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מעשי המערער מחייבים ענישה ההולמת את חומרת המעשים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ואשר יהא בה גם משום הרתעת הרבים מפני ביצוע עבירות דומות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numPr>
          <w:ilvl w:val="0"/>
          <w:numId w:val="9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ערעור על </w:t>
      </w:r>
      <w:r>
        <w:rPr>
          <w:rFonts w:ascii="Century" w:hAnsi="Century" w:cs="Century"/>
          <w:rtl w:val="true"/>
        </w:rPr>
        <w:t>פסק דינו</w:t>
      </w:r>
      <w:r>
        <w:rPr>
          <w:rFonts w:ascii="Century" w:hAnsi="Century" w:cs="Century"/>
          <w:rtl w:val="true"/>
        </w:rPr>
        <w:t xml:space="preserve"> של בית המשפט המחוזי </w:t>
      </w:r>
      <w:r>
        <w:rPr>
          <w:rFonts w:ascii="Century" w:hAnsi="Century" w:cs="Century"/>
          <w:rtl w:val="true"/>
        </w:rPr>
        <w:t>מרכז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12376-10-18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אשר ב</w:t>
      </w:r>
      <w:r>
        <w:rPr>
          <w:rFonts w:ascii="Century" w:hAnsi="Century" w:cs="Century"/>
          <w:rtl w:val="true"/>
        </w:rPr>
        <w:t xml:space="preserve">יום </w:t>
      </w:r>
      <w:r>
        <w:rPr>
          <w:rFonts w:cs="Century" w:ascii="Century" w:hAnsi="Century"/>
        </w:rPr>
        <w:t>19.3.2020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הרשיע </w:t>
      </w:r>
      <w:r>
        <w:rPr>
          <w:rFonts w:ascii="Century" w:hAnsi="Century" w:cs="Century"/>
          <w:rtl w:val="true"/>
        </w:rPr>
        <w:t xml:space="preserve">את המערער בביצוע עבירות של </w:t>
      </w:r>
      <w:r>
        <w:rPr>
          <w:rFonts w:ascii="Century" w:hAnsi="Century" w:cs="Century"/>
          <w:rtl w:val="true"/>
        </w:rPr>
        <w:t>תקיפה הגורמת חבלה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נשיאת נשק ותחמושת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ירי מנשק חם באזור מגורים והטרדת 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6.8.2020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גזר את עונשו 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עונש מאסר בפועל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עונשי</w:t>
      </w:r>
      <w:r>
        <w:rPr>
          <w:rFonts w:ascii="Century" w:hAnsi="Century" w:cs="Century"/>
          <w:rtl w:val="true"/>
        </w:rPr>
        <w:t>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מותנים</w:t>
      </w:r>
      <w:r>
        <w:rPr>
          <w:rFonts w:ascii="Century" w:hAnsi="Century" w:cs="Century"/>
          <w:rtl w:val="true"/>
        </w:rPr>
        <w:t xml:space="preserve"> ותשלום פיצוי למתלונן</w:t>
      </w:r>
      <w:r>
        <w:rPr>
          <w:rFonts w:ascii="Century" w:hAnsi="Century" w:cs="Century"/>
          <w:rtl w:val="true"/>
        </w:rPr>
        <w:t xml:space="preserve"> בסך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9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כרקע לאירועים המתוארים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המתלונן הותקף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אחיו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ליאור היילי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ליאור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ושניים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בשתי הזדמנויות בשלהי שנת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נגד ליאור והשניים האחרים הוגש בחודש נובמבר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והמתלונן נרשם כעד תביעה בתיק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19.9.2017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הוצג לפני בית משפט השלום בנתניה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לאחריו הודה ליאור בכתב אישום מתוקן והורשע במיוחס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13.11.2017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נגזר דינו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9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עובדות כתב האישום המתוקן שהוגש נגד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בסביבות חודש אפריל 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 למאשימה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קודם להסדר הטיעון בעניינו של אחיו ליאור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פגש המערער את המתלונן בשכונת חפציבה בנתניה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השכונה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ואיים עליו כי אם אחיו ליאור ייכנס לכלא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ייפגע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rPr>
          <w:rFonts w:ascii="Century" w:hAnsi="Century" w:cs="Century"/>
        </w:rPr>
      </w:pPr>
      <w:r>
        <w:rPr>
          <w:rFonts w:cs="Century" w:ascii="Century" w:hAnsi="Century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22.9.2018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שהמתלונן שהה בחורשה בשכונה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לשם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והמתלונן אמר לו שלום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הגיב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ממתי בעצם צריך את השלום שלך</w:t>
      </w:r>
      <w:r>
        <w:rPr>
          <w:rFonts w:cs="Century" w:ascii="Century" w:hAnsi="Century"/>
          <w:rtl w:val="true"/>
        </w:rPr>
        <w:t xml:space="preserve">?". </w:t>
      </w:r>
      <w:r>
        <w:rPr>
          <w:rFonts w:ascii="Century" w:hAnsi="Century" w:cs="Century"/>
          <w:rtl w:val="true"/>
        </w:rPr>
        <w:t>המתלונן לא ענה וקם מהכיסא עליו ישב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 התקרב אליו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חבט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הפיל אותו לקרקע ובעט בחזהו כאשר הוא על הקרקע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מהחבטות נגרמה למתלונן חבלה בשפתו התחתונה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מיד בסמוך לכך הגיע ליאור למקום וניסה לפגוע גם הוא במתלונן באמצעות סלע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המתלונן קם מהקרקע וברח לביתו אשר נמצא בבניין מגורים סמוך לחורשה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הבניין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כעבור מספר דקות הגיע המערער רכוב על קטנוע לחניית הבניין כשהוא נושא בידו אקדח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ירד מהקטנוע כשהאקדח בידו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התקרב לפתח הבניין וירה ירייה אחת באוויר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חזר אל הקטנוע ועזב את המקום כשהוא נושא עמו את האקדח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התקיפה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 המעשים האמורים יוחסו למערער עבירות של תקיפה הגורמת חבלה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נשיאת נשק ותחמושת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</w:t>
      </w:r>
      <w:r>
        <w:rPr>
          <w:rFonts w:cs="Century" w:ascii="Century" w:hAnsi="Century"/>
          <w:rtl w:val="true"/>
        </w:rPr>
        <w:t xml:space="preserve">+ </w:t>
      </w:r>
      <w:r>
        <w:rPr>
          <w:rFonts w:ascii="Century" w:hAnsi="Century" w:cs="Century"/>
          <w:rtl w:val="true"/>
        </w:rPr>
        <w:t>סיפא 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ירי מנשק חם באזור מגורים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340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והטרדת 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249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9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בתגובתו לאישום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כפר המערער באישום שעניינו הטרדת עד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לאירוע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אישר שהיה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הכחיש שתקף את המתלונן ומסר שהייתה ביניהם תגרה הדדית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הכחיש המערער את אירוע הירי וטען שלא היו דברים מעולם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eastAsia="Calibri" w:cs="Miriam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1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 xml:space="preserve">ביום </w:t>
      </w:r>
      <w:r>
        <w:rPr>
          <w:rFonts w:eastAsia="Calibri" w:cs="Century" w:ascii="Century" w:hAnsi="Century"/>
          <w:sz w:val="22"/>
        </w:rPr>
        <w:t>19.3.2020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הורשע כאמור המערער בעבירות שיוחסו לו בכתב האישום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המתוקן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כפי שיפורט להלן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הרשעת</w:t>
      </w:r>
      <w:r>
        <w:rPr>
          <w:rFonts w:ascii="Century" w:hAnsi="Century" w:eastAsia="Calibri" w:cs="Century"/>
          <w:sz w:val="22"/>
          <w:sz w:val="22"/>
          <w:rtl w:val="true"/>
        </w:rPr>
        <w:t>ו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התבססה על עדותו של המתלונן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אשר נמצאה מהימנה ועקבית</w:t>
      </w:r>
      <w:r>
        <w:rPr>
          <w:rFonts w:eastAsia="Calibri" w:cs="Century" w:ascii="Century" w:hAnsi="Century"/>
          <w:sz w:val="22"/>
          <w:rtl w:val="true"/>
        </w:rPr>
        <w:t>,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ו</w:t>
      </w:r>
      <w:r>
        <w:rPr>
          <w:rFonts w:ascii="Century" w:hAnsi="Century" w:eastAsia="Calibri" w:cs="Century"/>
          <w:sz w:val="22"/>
          <w:sz w:val="22"/>
          <w:rtl w:val="true"/>
        </w:rPr>
        <w:t>נתמכה בראיות מחזקות</w:t>
      </w:r>
      <w:r>
        <w:rPr>
          <w:rFonts w:eastAsia="Calibri" w:cs="Century" w:ascii="Century" w:hAnsi="Century"/>
          <w:sz w:val="22"/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eastAsia="Calibri" w:cs="FrankRuehl;Times New Roman"/>
          <w:spacing w:val="10"/>
          <w:sz w:val="22"/>
          <w:szCs w:val="28"/>
        </w:rPr>
      </w:pPr>
      <w:r>
        <w:rPr>
          <w:rFonts w:eastAsia="Calibri" w:cs="FrankRuehl;Times New Roman" w:ascii="Arial TUR;Arial" w:hAnsi="Arial TUR;Arial"/>
          <w:spacing w:val="10"/>
          <w:sz w:val="22"/>
          <w:szCs w:val="28"/>
        </w:rPr>
      </w:r>
    </w:p>
    <w:p>
      <w:pPr>
        <w:pStyle w:val="Ruller41"/>
        <w:numPr>
          <w:ilvl w:val="0"/>
          <w:numId w:val="10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tl w:val="true"/>
        </w:rPr>
        <w:t>בעדותו בפני בית משפט קמא תיאר המתלונן את הרקע לדברים</w:t>
      </w:r>
      <w:r>
        <w:rPr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וסיפר בין היתר על אירוע האלימות במהלכו הותקף על</w:t>
      </w:r>
      <w:r>
        <w:rPr>
          <w:rFonts w:eastAsia="Calibri" w:cs="Century" w:ascii="Century" w:hAnsi="Century"/>
          <w:sz w:val="22"/>
          <w:rtl w:val="true"/>
        </w:rPr>
        <w:t>-</w:t>
      </w:r>
      <w:r>
        <w:rPr>
          <w:rFonts w:ascii="Century" w:hAnsi="Century" w:eastAsia="Calibri" w:cs="Century"/>
          <w:sz w:val="22"/>
          <w:sz w:val="22"/>
          <w:rtl w:val="true"/>
        </w:rPr>
        <w:t>ידי אחיו של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ליאור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ושניים נוספים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וכיצד בעיצומו של ההליך המשפטי בנוגע לאותו אירוע איים עליו המערער מספר פעמים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על</w:t>
      </w:r>
      <w:r>
        <w:rPr>
          <w:rFonts w:eastAsia="Calibri" w:cs="Century" w:ascii="Century" w:hAnsi="Century"/>
          <w:sz w:val="22"/>
          <w:rtl w:val="true"/>
        </w:rPr>
        <w:t>-</w:t>
      </w:r>
      <w:r>
        <w:rPr>
          <w:rFonts w:ascii="Century" w:hAnsi="Century" w:eastAsia="Calibri" w:cs="Century"/>
          <w:sz w:val="22"/>
          <w:sz w:val="22"/>
          <w:rtl w:val="true"/>
        </w:rPr>
        <w:t>פי עדותו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האיומים כולם התרחשו בעת שהיה המתלונן נתון בגבס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האירוע אשר תואר בכתב האישום התרחש לדבריו כאשר היה בניחום אבלים לאחר שאביו של חברו אושר אלמו נפטר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המערער הופיע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ישב בכיסא שלידו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שם את הידיים על הברכיים בתנועה מאיימת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סובב את המצית ואמר</w:t>
      </w:r>
      <w:r>
        <w:rPr>
          <w:rFonts w:eastAsia="Calibri" w:cs="Century" w:ascii="Century" w:hAnsi="Century"/>
          <w:sz w:val="22"/>
          <w:rtl w:val="true"/>
        </w:rPr>
        <w:t>: "</w:t>
      </w:r>
      <w:r>
        <w:rPr>
          <w:rFonts w:ascii="Century" w:hAnsi="Century" w:eastAsia="Calibri" w:cs="Century"/>
          <w:sz w:val="22"/>
          <w:sz w:val="22"/>
          <w:rtl w:val="true"/>
        </w:rPr>
        <w:t>אם אחד מהם ייכנס לבית סוהר</w:t>
      </w:r>
      <w:r>
        <w:rPr>
          <w:rFonts w:eastAsia="Calibri" w:cs="Century" w:ascii="Century" w:hAnsi="Century"/>
          <w:sz w:val="22"/>
          <w:rtl w:val="true"/>
        </w:rPr>
        <w:t xml:space="preserve">... </w:t>
      </w:r>
      <w:r>
        <w:rPr>
          <w:rFonts w:ascii="Century" w:hAnsi="Century" w:eastAsia="Calibri" w:cs="Century"/>
          <w:sz w:val="22"/>
          <w:sz w:val="22"/>
          <w:rtl w:val="true"/>
        </w:rPr>
        <w:t>אני אזיין ואשחט את אמא שלך ואתה תטופל אצלי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הסביר כי משמעות הדברים הייתה כי יחזור בו מהתלונה כדי שהמערער לא יפגע בו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תיאר כי פחד להתלונן על האיומים במשטרה על</w:t>
      </w:r>
      <w:r>
        <w:rPr>
          <w:rFonts w:eastAsia="Calibri" w:cs="Century" w:ascii="Century" w:hAnsi="Century"/>
          <w:sz w:val="22"/>
          <w:rtl w:val="true"/>
        </w:rPr>
        <w:t>-</w:t>
      </w:r>
      <w:r>
        <w:rPr>
          <w:rFonts w:ascii="Century" w:hAnsi="Century" w:eastAsia="Calibri" w:cs="Century"/>
          <w:sz w:val="22"/>
          <w:sz w:val="22"/>
          <w:rtl w:val="true"/>
        </w:rPr>
        <w:t>מנת שלא לגרום להסלמה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וכן נוכח העובדה שהמערער הוא אדם מסוכן מאוד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שרבים בשכונה חוששים ממנו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עם זאת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הוא סיפר לפסיכיאטרית שטיפלה בו באותה תקופה אודות האיומים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ועל כך שהוא מפוחד ומוטרד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לא מצליח לישון ומצוי בדיכאון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אשר לתקיפה בחורשה והירי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המתלונן העיד על מהלך האירוע כפי שתואר בכתב האישום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ומסר כי החליט שלא לענות למערער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וזאת נוכח איומיו בעבר וחששו ממנו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סיפר כי קם ורצה ללכת אך בשלב זה המערער היכה אותו עם אגרופו בשפה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בעט ברגליו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הוריד אותו לרצפה ובעט בו כמה פעמים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ליאור הגיע והצטרף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והשניים בעטו בו בחזהו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בצלעות ובכל גופו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החל לרוץ לכיוון ביתו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הסתובב וראה שהמערער ואחיו זורקים אבנים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תיאר שראה את המערער רץ לכיוון האופנוע שאיתו הגיע לחורשה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העיד כי נכנס לבניין מבוהל ורועד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והגיע לדלת ביתו מתנשף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חש חוסר אונים ולא ידע מה לעשות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סיפר כי הביט בחלון לבדוק אם המערער ואחיו הגיעו לבניין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התקשר למשטרה ומסר שהמערער ואחיו ליאור תקפו אותו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וביקש שיגיעו כמה שיותר מהר כי הוא חושש מהם מאוד נוכח העבר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לאחר מכן התקשר המתלונן לאחיו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שאמר לו להירגע ולנעול את הבית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תוך כדי השיחה עם אחיו שמע המתלונן אופנוע וראה מהחלון שהמערער הגיע רכוב על אופנוע בצבע שחור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וקצת לבן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>מכיוון החורשה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ללא קסדה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לבוש באותם בגדים שלבש בחורשה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בחולצת טריקו שחורה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מסר שראה את המערער נכנס לתוך החניה ועוצר בסמוך לרכב מאזדה לבן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והוסיף כי ברגע שהמערער ירד מהאופנוע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הוא הסתיר את ראשו מאחורי הקיר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וכששב להביט מחוץ לחלון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ראה את המערער יורה באוויר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הבהיר כי המערער ירה ירייה אחת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נשמע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בום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>מפחיד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והוא קפא במקום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בהמשך הגיעו שוטרים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להם סיפר את שאירע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והשוטרים ירדו למטה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באשר לנשק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המתלונן אישר כי הצליח לראות את הנשק מקומה רביעית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וכי הוא היה בצבע שחור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בצורת אקדח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אך הוא אינו יודע באיזה נשק מדובר</w:t>
      </w:r>
      <w:r>
        <w:rPr>
          <w:rFonts w:eastAsia="Calibri"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בחקירתו הנגדית סיפר המתלונן על הבחורים שישבו בחורשה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שגדלו איתו בשכונה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ועמד וחזר על כך שאינו מוסר שמות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אך אין לו כל סיבה להמציא אירועי תקיפה וירי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המתלונן הסביר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הוא אמנם חושש מהמערער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אך מהאחרים שהיו באירוע אינו מפחד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אך מכבד את בקשתם ששמם ללא ייחשף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שכן גם הם חוששים מהמערער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המתלונן עומת עם אמירתו למוקד </w:t>
      </w:r>
      <w:r>
        <w:rPr>
          <w:rFonts w:eastAsia="Calibri" w:cs="Century" w:ascii="Century" w:hAnsi="Century"/>
          <w:sz w:val="22"/>
        </w:rPr>
        <w:t>100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כי היו סכינים באירוע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והמתלונן השיב כי לא היו סכינים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והדברים נאמרו בטעות ומתוך לחץ בעקבות אירוע התקיפה הקודם כלפיו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בו נדקר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8"/>
        </w:numPr>
        <w:spacing w:before="0" w:after="240"/>
        <w:ind w:hanging="0" w:start="0" w:end="0"/>
        <w:jc w:val="both"/>
        <w:rPr/>
      </w:pPr>
      <w:r>
        <w:rPr>
          <w:rtl w:val="true"/>
        </w:rPr>
        <w:t xml:space="preserve">עדותו של המתלונן נמצאה על ידי בית משפט קמא כעדות </w:t>
      </w:r>
      <w:r>
        <w:rPr>
          <w:rtl w:val="true"/>
        </w:rPr>
        <w:t>מהימנה ואותנטית</w:t>
      </w:r>
      <w:r>
        <w:rPr>
          <w:rtl w:val="true"/>
        </w:rPr>
        <w:t xml:space="preserve">. </w:t>
      </w:r>
      <w:r>
        <w:rPr>
          <w:rtl w:val="true"/>
        </w:rPr>
        <w:t>נקבע כי המתלונן תיאר בכנות את פחדו מהמערער</w:t>
      </w:r>
      <w:r>
        <w:rPr>
          <w:rtl w:val="true"/>
        </w:rPr>
        <w:t xml:space="preserve">, </w:t>
      </w:r>
      <w:r>
        <w:rPr>
          <w:rtl w:val="true"/>
        </w:rPr>
        <w:t>והיה עקבי בגרסתו גם בחקירה הנגדית</w:t>
      </w:r>
      <w:r>
        <w:rPr>
          <w:rtl w:val="true"/>
        </w:rPr>
        <w:t xml:space="preserve">, </w:t>
      </w:r>
      <w:r>
        <w:rPr>
          <w:rtl w:val="true"/>
        </w:rPr>
        <w:t>בה אישר כי השתהה במהלך שנה וחצי ולא דיווח על האיום על רקע חששו מהמערער</w:t>
      </w:r>
      <w:r>
        <w:rPr>
          <w:rtl w:val="true"/>
        </w:rPr>
        <w:t xml:space="preserve">, </w:t>
      </w:r>
      <w:r>
        <w:rPr>
          <w:rtl w:val="true"/>
        </w:rPr>
        <w:t>שלגישתו גם מסוגל להרוג אותו</w:t>
      </w:r>
      <w:r>
        <w:rPr>
          <w:rtl w:val="true"/>
        </w:rPr>
        <w:t xml:space="preserve">. </w:t>
      </w:r>
      <w:r>
        <w:rPr>
          <w:rtl w:val="true"/>
        </w:rPr>
        <w:t>בהתייחס לטענה מרכזית של ההגנה לפיה אין לתת במתלונן אמון</w:t>
      </w:r>
      <w:r>
        <w:rPr>
          <w:rtl w:val="true"/>
        </w:rPr>
        <w:t xml:space="preserve">, </w:t>
      </w:r>
      <w:r>
        <w:rPr>
          <w:rtl w:val="true"/>
        </w:rPr>
        <w:t>בין השאר בשל מצבו הנפשי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tl w:val="true"/>
        </w:rPr>
        <w:t>כל טענות ההגנה בהקשר זה נותרו בגדר השמצות בלבד</w:t>
      </w:r>
      <w:r>
        <w:rPr>
          <w:rtl w:val="true"/>
        </w:rPr>
        <w:t xml:space="preserve">". </w:t>
      </w:r>
      <w:r>
        <w:rPr>
          <w:rtl w:val="true"/>
        </w:rPr>
        <w:t>צוין כי המתלונן השיב בכנות</w:t>
      </w:r>
      <w:r>
        <w:rPr>
          <w:rtl w:val="true"/>
        </w:rPr>
        <w:t xml:space="preserve">, </w:t>
      </w:r>
      <w:r>
        <w:rPr>
          <w:rtl w:val="true"/>
        </w:rPr>
        <w:t>עוד במהלך החקירה הראשית</w:t>
      </w:r>
      <w:r>
        <w:rPr>
          <w:rtl w:val="true"/>
        </w:rPr>
        <w:t xml:space="preserve">, </w:t>
      </w:r>
      <w:r>
        <w:rPr>
          <w:rtl w:val="true"/>
        </w:rPr>
        <w:t>כי לפני אירוע התקיפה הקודם שביצע אחיו של המערער</w:t>
      </w:r>
      <w:r>
        <w:rPr>
          <w:rtl w:val="true"/>
        </w:rPr>
        <w:t xml:space="preserve">, </w:t>
      </w:r>
      <w:r>
        <w:rPr>
          <w:rtl w:val="true"/>
        </w:rPr>
        <w:t>הוא היה בטיפול ספוראדי</w:t>
      </w:r>
      <w:r>
        <w:rPr>
          <w:rtl w:val="true"/>
        </w:rPr>
        <w:t xml:space="preserve">, </w:t>
      </w:r>
      <w:r>
        <w:rPr>
          <w:rtl w:val="true"/>
        </w:rPr>
        <w:t>אולם בעקבות התקיפה הקודמת</w:t>
      </w:r>
      <w:r>
        <w:rPr>
          <w:rtl w:val="true"/>
        </w:rPr>
        <w:t xml:space="preserve">, </w:t>
      </w:r>
      <w:r>
        <w:rPr>
          <w:rtl w:val="true"/>
        </w:rPr>
        <w:t>ולאחר שנדקר</w:t>
      </w:r>
      <w:r>
        <w:rPr>
          <w:rtl w:val="true"/>
        </w:rPr>
        <w:t xml:space="preserve">, </w:t>
      </w:r>
      <w:r>
        <w:rPr>
          <w:rtl w:val="true"/>
        </w:rPr>
        <w:t>הטראומה שעבר הביאה אותו לטיפול פסיכיאטרי</w:t>
      </w:r>
      <w:r>
        <w:rPr>
          <w:rtl w:val="true"/>
        </w:rPr>
        <w:t xml:space="preserve">, </w:t>
      </w:r>
      <w:r>
        <w:rPr>
          <w:rtl w:val="true"/>
        </w:rPr>
        <w:t>ועל רקע האירוע הנוכחי עם המערער</w:t>
      </w:r>
      <w:r>
        <w:rPr>
          <w:rtl w:val="true"/>
        </w:rPr>
        <w:t xml:space="preserve">, </w:t>
      </w:r>
      <w:r>
        <w:rPr>
          <w:rtl w:val="true"/>
        </w:rPr>
        <w:t>הצורך שלו בטיפול גבר עוד יותר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הוא </w:t>
      </w:r>
      <w:r>
        <w:rPr>
          <w:rtl w:val="true"/>
        </w:rPr>
        <w:t>"</w:t>
      </w:r>
      <w:r>
        <w:rPr>
          <w:rtl w:val="true"/>
        </w:rPr>
        <w:t>דוחה מכל וכל את טענת ההגנה כי המתלונן הוא אדם שהוכח שהוא חולה בנפשו</w:t>
      </w:r>
      <w:r>
        <w:rPr>
          <w:rtl w:val="true"/>
        </w:rPr>
        <w:t xml:space="preserve">, </w:t>
      </w:r>
      <w:r>
        <w:rPr>
          <w:rtl w:val="true"/>
        </w:rPr>
        <w:t>כאשר לא הובאה כל ראייה לכך</w:t>
      </w:r>
      <w:r>
        <w:rPr>
          <w:rtl w:val="true"/>
        </w:rPr>
        <w:t xml:space="preserve">". </w:t>
      </w:r>
      <w:r>
        <w:rPr>
          <w:rtl w:val="true"/>
        </w:rPr>
        <w:t>אשר לקשייו הנפשיים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בהכרעת הדין כי </w:t>
      </w:r>
      <w:r>
        <w:rPr>
          <w:rtl w:val="true"/>
        </w:rPr>
        <w:t>-</w:t>
      </w:r>
    </w:p>
    <w:p>
      <w:pPr>
        <w:pStyle w:val="Ruller42"/>
        <w:numPr>
          <w:ilvl w:val="0"/>
          <w:numId w:val="0"/>
        </w:numPr>
        <w:spacing w:lineRule="auto" w:line="276" w:before="0" w:after="120"/>
        <w:ind w:hanging="0" w:start="1134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נתונים אלו לא נעלמו מעיניי</w:t>
      </w:r>
      <w:r>
        <w:rPr>
          <w:rtl w:val="true"/>
        </w:rPr>
        <w:t xml:space="preserve">, </w:t>
      </w:r>
      <w:r>
        <w:rPr>
          <w:rtl w:val="true"/>
        </w:rPr>
        <w:t>ובכל זאת איני מתקשה לקבוע כי המתלונן הותיר רושם של אדם מהימן</w:t>
      </w:r>
      <w:r>
        <w:rPr>
          <w:rtl w:val="true"/>
        </w:rPr>
        <w:t xml:space="preserve">, </w:t>
      </w:r>
      <w:r>
        <w:rPr>
          <w:rtl w:val="true"/>
        </w:rPr>
        <w:t>אשר מסר באופן אותנטי ולפרטי פרטים אירועים אותם חווה</w:t>
      </w:r>
      <w:r>
        <w:rPr>
          <w:rtl w:val="true"/>
        </w:rPr>
        <w:t xml:space="preserve">, </w:t>
      </w:r>
      <w:r>
        <w:rPr>
          <w:rtl w:val="true"/>
        </w:rPr>
        <w:t>נזהר בפרטים ולא העצים את אירועי האלימות או הירי</w:t>
      </w:r>
      <w:r>
        <w:rPr>
          <w:rtl w:val="true"/>
        </w:rPr>
        <w:t xml:space="preserve">, </w:t>
      </w:r>
      <w:r>
        <w:rPr>
          <w:rtl w:val="true"/>
        </w:rPr>
        <w:t>תיאורו היה מעוגן הקשר זמן ומהול אף בתחושות אותן הרגיש בעת האירועים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בית המשפט הוסיף וקבע כי לא התרשם מאדם מניפולטיבי או שקרן אשר מסתבך לעתים קרובות בקטטות</w:t>
      </w:r>
      <w:r>
        <w:rPr>
          <w:rtl w:val="true"/>
        </w:rPr>
        <w:t xml:space="preserve">, </w:t>
      </w:r>
      <w:r>
        <w:rPr>
          <w:rtl w:val="true"/>
        </w:rPr>
        <w:t>כפי שנטען על</w:t>
      </w:r>
      <w:r>
        <w:rPr>
          <w:rtl w:val="true"/>
        </w:rPr>
        <w:t>-</w:t>
      </w:r>
      <w:r>
        <w:rPr>
          <w:rtl w:val="true"/>
        </w:rPr>
        <w:t>ידי ההגנה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"</w:t>
      </w:r>
      <w:r>
        <w:rPr>
          <w:rtl w:val="true"/>
        </w:rPr>
        <w:t xml:space="preserve">מאדם שמוצא עצמו קורבן באופן שיטתי להתנכלויות אלימות מצד הנאשם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וקרובי משפחתו</w:t>
      </w:r>
      <w:r>
        <w:rPr>
          <w:rtl w:val="true"/>
        </w:rPr>
        <w:t xml:space="preserve">, </w:t>
      </w:r>
      <w:r>
        <w:rPr>
          <w:rtl w:val="true"/>
        </w:rPr>
        <w:t>אשר גרמו לו לטראומה והחריפו את מצבו הנפשי שהוא אכן שברירי</w:t>
      </w:r>
      <w:r>
        <w:rPr>
          <w:rtl w:val="true"/>
        </w:rPr>
        <w:t xml:space="preserve">". </w:t>
      </w:r>
      <w:r>
        <w:rPr>
          <w:rtl w:val="true"/>
        </w:rPr>
        <w:t>הוער</w:t>
      </w:r>
      <w:r>
        <w:rPr>
          <w:rtl w:val="true"/>
        </w:rPr>
        <w:t xml:space="preserve">, </w:t>
      </w:r>
      <w:r>
        <w:rPr>
          <w:rtl w:val="true"/>
        </w:rPr>
        <w:t>כי ההגנה לא הצליחה לשכנע שלמתלונן יש אינטרס להעליל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והובהר </w:t>
      </w:r>
      <w:r>
        <w:rPr>
          <w:rtl w:val="true"/>
        </w:rPr>
        <w:t>–</w:t>
      </w:r>
      <w:r>
        <w:rPr>
          <w:rtl w:val="true"/>
        </w:rPr>
        <w:t xml:space="preserve"> לאור חששו של המתלונן מפני המערער </w:t>
      </w:r>
      <w:r>
        <w:rPr>
          <w:rtl w:val="true"/>
        </w:rPr>
        <w:t xml:space="preserve">- </w:t>
      </w:r>
      <w:r>
        <w:rPr>
          <w:rtl w:val="true"/>
        </w:rPr>
        <w:t>אשר תואר על</w:t>
      </w:r>
      <w:r>
        <w:rPr>
          <w:rtl w:val="true"/>
        </w:rPr>
        <w:t>-</w:t>
      </w:r>
      <w:r>
        <w:rPr>
          <w:rtl w:val="true"/>
        </w:rPr>
        <w:t xml:space="preserve">ידי כל עדי התביעה ובהם החוקרים שתיעדו את הפחד האמור בצמתים שונים </w:t>
      </w:r>
      <w:r>
        <w:rPr>
          <w:rtl w:val="true"/>
        </w:rPr>
        <w:t>- "</w:t>
      </w:r>
      <w:r>
        <w:rPr>
          <w:rtl w:val="true"/>
        </w:rPr>
        <w:t>הסבירות שיעליל עליו היא אפסית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חיזוקים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spacing w:before="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נקבע כי עדותו של המתלונן אינה עומדת לבדה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נתמכת בשורה של חיזוקים חיצוניים המבססים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ובהם</w:t>
      </w:r>
      <w:r>
        <w:rPr>
          <w:rFonts w:cs="Century" w:ascii="Century" w:hAnsi="Century"/>
          <w:sz w:val="22"/>
          <w:rtl w:val="true"/>
        </w:rPr>
        <w:t xml:space="preserve">:  </w:t>
      </w:r>
    </w:p>
    <w:p>
      <w:pPr>
        <w:pStyle w:val="ListParagraph"/>
        <w:numPr>
          <w:ilvl w:val="0"/>
          <w:numId w:val="7"/>
        </w:numPr>
        <w:overflowPunct w:val="false"/>
        <w:autoSpaceDE w:val="false"/>
        <w:bidi w:val="1"/>
        <w:spacing w:before="0" w:after="240"/>
        <w:ind w:hanging="357" w:start="714" w:end="0"/>
        <w:contextualSpacing w:val="false"/>
        <w:jc w:val="both"/>
        <w:textAlignment w:val="baseline"/>
        <w:rPr>
          <w:rFonts w:ascii="Garamond" w:hAnsi="Garamond" w:cs="Garamond"/>
          <w:spacing w:val="10"/>
          <w:sz w:val="24"/>
          <w:szCs w:val="28"/>
        </w:rPr>
      </w:pPr>
      <w:r>
        <w:rPr>
          <w:rFonts w:ascii="Century" w:hAnsi="Century" w:cs="Miriam"/>
          <w:b/>
          <w:b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למוקד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</w:rPr>
        <w:t>100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  -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לאחר אירוע התקיפה בחורשה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ולפני אירוע הירי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בה דיווח על שני האחים שתקפו אותו עם הידיים ועם סלעים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וסיפר שדקרו אותו בעבר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כאמור המתלונן גם מסר שאיימו עליו בסכין בחורשה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אולם בעדותו הסביר כי כשהביט לאחור ראה את המערער ניגש לקטנוע ושיער שייתכן והגיע עם סכין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אולם הדברים נאמרו מתוך לחץ משנדקר בעבר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.</w:t>
      </w:r>
    </w:p>
    <w:p>
      <w:pPr>
        <w:pStyle w:val="ListParagraph"/>
        <w:numPr>
          <w:ilvl w:val="0"/>
          <w:numId w:val="7"/>
        </w:numPr>
        <w:overflowPunct w:val="false"/>
        <w:autoSpaceDE w:val="false"/>
        <w:bidi w:val="1"/>
        <w:spacing w:before="0" w:after="240"/>
        <w:ind w:hanging="357" w:start="714" w:end="0"/>
        <w:contextualSpacing w:val="false"/>
        <w:jc w:val="both"/>
        <w:textAlignment w:val="baseline"/>
        <w:rPr>
          <w:rFonts w:ascii="Garamond" w:hAnsi="Garamond" w:cs="Garamond"/>
          <w:spacing w:val="10"/>
          <w:sz w:val="24"/>
          <w:szCs w:val="28"/>
        </w:rPr>
      </w:pPr>
      <w:r>
        <w:rPr>
          <w:rFonts w:ascii="Century" w:hAnsi="Century" w:cs="Miriam"/>
          <w:b/>
          <w:b/>
          <w:szCs w:val="24"/>
          <w:rtl w:val="true"/>
        </w:rPr>
        <w:t>השיחה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הטלפונית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האח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אשר תיאר בעדותו כי המתלונן נשמע לחוץ והיסטרי וסיפר לו שהמערער ואחיו תקפו אותו בחורשה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ותוך כדי השיחה תיאר לו המתלונן כי הוא מבחין דרך החלון במערער שהגיע רכוב על אופנוע ומבצע ירי לאוויר עם אקדח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האח אישר כי לא שמע את הירי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אך הבהיר כי התמקד בעיקר במילים של המתלונן שדיבר מהר ולא העניק חשיבות למה שקרה ברקע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האח הותיר בבית משפט קמא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רושם של אדם רציני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זהיר ורהוט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הוא תיאר את ששמע מאחיו באופן אותנטי ואמין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ListParagraph"/>
        <w:numPr>
          <w:ilvl w:val="0"/>
          <w:numId w:val="7"/>
        </w:numPr>
        <w:overflowPunct w:val="false"/>
        <w:autoSpaceDE w:val="false"/>
        <w:bidi w:val="1"/>
        <w:spacing w:before="0" w:after="240"/>
        <w:ind w:hanging="357" w:start="714" w:end="0"/>
        <w:contextualSpacing w:val="false"/>
        <w:jc w:val="both"/>
        <w:textAlignment w:val="baseline"/>
        <w:rPr>
          <w:rFonts w:ascii="Garamond" w:hAnsi="Garamond" w:cs="Garamond"/>
          <w:spacing w:val="10"/>
          <w:sz w:val="24"/>
          <w:szCs w:val="28"/>
        </w:rPr>
      </w:pP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שוטרי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הסיור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שהגיעו לזירה ומצאו </w:t>
      </w:r>
      <w:r>
        <w:rPr>
          <w:rFonts w:ascii="Century" w:hAnsi="Century" w:cs="Miriam"/>
          <w:b/>
          <w:b/>
          <w:szCs w:val="24"/>
          <w:rtl w:val="true"/>
        </w:rPr>
        <w:t>תרמיל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וקליע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בחניית הבניין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שני השוטרים שהגיעו ירדו עם המתלונן למטה למקום אליו הצביע המתלונן מהחלון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החלו לערוך סריקות ואכן איתרו בחצר למטה תרמיל וכדור </w:t>
      </w:r>
      <w:r>
        <w:rPr>
          <w:rFonts w:cs="Garamond" w:ascii="Garamond" w:hAnsi="Garamond"/>
          <w:spacing w:val="10"/>
          <w:sz w:val="24"/>
          <w:szCs w:val="28"/>
        </w:rPr>
        <w:t>9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מ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מ זרוקים בחניה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מעדות חוקר ומזכרים שערך עולה כי בדק את כל המערכות המשטרתיות בדבר קיומו של אירוע ירי או פיצוץ באזור הזירה בין הימים </w:t>
      </w:r>
      <w:r>
        <w:rPr>
          <w:rFonts w:cs="Garamond" w:ascii="Garamond" w:hAnsi="Garamond"/>
          <w:spacing w:val="10"/>
          <w:sz w:val="24"/>
          <w:szCs w:val="28"/>
        </w:rPr>
        <w:t>1.9.2018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ועד </w:t>
      </w:r>
      <w:r>
        <w:rPr>
          <w:rFonts w:cs="Garamond" w:ascii="Garamond" w:hAnsi="Garamond"/>
          <w:spacing w:val="10"/>
          <w:sz w:val="24"/>
          <w:szCs w:val="28"/>
        </w:rPr>
        <w:t>22.9.2018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ומצא כי לא היה אירוע קודם בתקופה שנבדקה אשר יכול היה להסביר את הימצאותם במקום של התרמיל והקליע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overflowPunct w:val="false"/>
        <w:autoSpaceDE w:val="false"/>
        <w:bidi w:val="1"/>
        <w:spacing w:before="0" w:after="240"/>
        <w:ind w:hanging="357" w:start="714" w:end="0"/>
        <w:contextualSpacing w:val="false"/>
        <w:jc w:val="both"/>
        <w:textAlignment w:val="baseline"/>
        <w:rPr>
          <w:rFonts w:ascii="Garamond" w:hAnsi="Garamond" w:cs="Garamond"/>
          <w:spacing w:val="10"/>
          <w:sz w:val="24"/>
          <w:szCs w:val="28"/>
        </w:rPr>
      </w:pPr>
      <w:r>
        <w:rPr>
          <w:rFonts w:ascii="Century" w:hAnsi="Century" w:cs="Miriam"/>
          <w:b/>
          <w:b/>
          <w:szCs w:val="24"/>
          <w:rtl w:val="true"/>
        </w:rPr>
        <w:t>התאמה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לנשק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קרלו</w:t>
      </w:r>
      <w:r>
        <w:rPr>
          <w:rFonts w:cs="Miriam" w:ascii="Century" w:hAnsi="Century"/>
          <w:b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zCs w:val="24"/>
          <w:rtl w:val="true"/>
        </w:rPr>
        <w:t>ותפיסתו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ביום </w:t>
      </w:r>
      <w:r>
        <w:rPr>
          <w:rFonts w:cs="Garamond" w:ascii="Garamond" w:hAnsi="Garamond"/>
          <w:spacing w:val="10"/>
          <w:sz w:val="24"/>
          <w:szCs w:val="28"/>
        </w:rPr>
        <w:t>23.10.2018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במהלך פעילות בילוש מודיעין בנתניה נתפס תת מקלע מסוג קרלו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ולאחר שזה נתפס התקבלה חוות דעת לפיה מדובר בתת מקלע מאולתר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ונמצאה התאמה בינו לבין התרמיל מאירוע הירי אותו תיאר המתלונן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וכן לאירוע ירי נוסף מיום </w:t>
      </w:r>
      <w:r>
        <w:rPr>
          <w:rFonts w:cs="Garamond" w:ascii="Garamond" w:hAnsi="Garamond"/>
          <w:spacing w:val="10"/>
          <w:sz w:val="24"/>
          <w:szCs w:val="28"/>
        </w:rPr>
        <w:t>17.6.2018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שארע בנתניה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הנשק נתפס ברכב שבסמוך אליו היה אדם בשם בנטה מלקה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אך המאשימה הצהירה כי </w:t>
      </w:r>
      <w:r>
        <w:rPr>
          <w:rFonts w:ascii="Century" w:hAnsi="Century" w:cs="Miriam"/>
          <w:b/>
          <w:b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הוגש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מהחשודים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לאותו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ראיות</w:t>
      </w:r>
      <w:r>
        <w:rPr>
          <w:rFonts w:cs="Miriam" w:ascii="Century" w:hAnsi="Century"/>
          <w:b/>
          <w:szCs w:val="24"/>
          <w:rtl w:val="true"/>
        </w:rPr>
        <w:t>.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בית המשפט קבע כי עיון בתמונות הנשק המצולם מעלה כי מדובר ב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קרלו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קצר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והתיאור לפיו מקומה רביעית נראה כאילו מדובר באקדח שחור אינו מופרך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ובכל מקרה אינו מפחית ממשקל עדותו של המתלונן כפי שביקשה ההגנה לטעון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כן נקבע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בהתחשב בכך שלפי העדויות בנטה מלקה והמערער כלל אינם דומים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וזיהויו של המתלונן את המערער היה ודאי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כי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עצם הימצאות הנשק בסמוך לבנטה מלקה אין בו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כלשעצמו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להעלות קושי בקביעה העולה ממכלול הראיות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לפיה המערער הוא שירה מהנשק כאמור בכתב האישום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7"/>
        </w:numPr>
        <w:overflowPunct w:val="false"/>
        <w:autoSpaceDE w:val="false"/>
        <w:bidi w:val="1"/>
        <w:spacing w:before="0" w:after="240"/>
        <w:ind w:hanging="357" w:start="714" w:end="0"/>
        <w:contextualSpacing w:val="false"/>
        <w:jc w:val="both"/>
        <w:textAlignment w:val="baseline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קיומן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חבלות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מתועדות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חוקרת העידה כי בזמן גביית עדותו של המתלונן בתחנה ביום האירוע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הוא התלונן על כאב בצלעות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מעבר לעובדה שהיה מפוחד ולחוץ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היא צילמה את המתלונן ואת החבלות על שפתו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לבסוף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פונה המתלונן לבית חולים באמבולנס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מהתיעוד הרפואי מבית החולים עולה כי בנוסף לחבלה בשפה התחתונה נצפתה רגישות בצלעות ולא ניתן לשלול שם שבר</w:t>
      </w:r>
      <w:r>
        <w:rPr>
          <w:rFonts w:cs="Century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7"/>
        </w:numPr>
        <w:overflowPunct w:val="false"/>
        <w:autoSpaceDE w:val="false"/>
        <w:bidi w:val="1"/>
        <w:spacing w:before="0" w:after="240"/>
        <w:ind w:hanging="357" w:start="714" w:end="0"/>
        <w:contextualSpacing w:val="false"/>
        <w:jc w:val="both"/>
        <w:textAlignment w:val="baseline"/>
        <w:rPr>
          <w:rFonts w:ascii="Garamond" w:hAnsi="Garamond" w:cs="Garamond"/>
          <w:spacing w:val="10"/>
          <w:sz w:val="24"/>
          <w:szCs w:val="28"/>
        </w:rPr>
      </w:pPr>
      <w:r>
        <w:rPr>
          <w:rFonts w:ascii="Century" w:hAnsi="Century" w:cs="Miriam"/>
          <w:b/>
          <w:b/>
          <w:szCs w:val="24"/>
          <w:rtl w:val="true"/>
        </w:rPr>
        <w:t>השחזור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בביתו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המתלונן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בשחזור שנערך ביום </w:t>
      </w:r>
      <w:r>
        <w:rPr>
          <w:rFonts w:cs="Garamond" w:ascii="Garamond" w:hAnsi="Garamond"/>
          <w:spacing w:val="10"/>
          <w:sz w:val="24"/>
          <w:szCs w:val="28"/>
        </w:rPr>
        <w:t>3.10.2018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חזר המתלונן בעקביות על כל פרטי המקרה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בית המשפט דחה את טענת ההגנה לפיה המתלונן נראה מבולבל בשחזור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וקבע כי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המתלונן הוא שהצביע על המקומות הרלבנטיים בלי לומר כיוונים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והוא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החוקר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רק חזר על דבריו תוך הבהרה של הכיוונים עליהם הצביע המתלונן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בהמשך לכך הוזכר גם עימות מצולם שנערך בין המערער לבין המתלונן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במהלכו הטיח בו האחרון את אירוע התקיפה וכי הוא איים עליו מספר פעמים לפני כן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לרבות בשבעה של אביו של אושר אלמו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המתלונן חזר על כך שהוא פוחד מהמערער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והוסיף כי כולם חוששים מהמערער ולכן איש אינו מוכן להעיד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המערער מצדו הכחיש בעימות כל מעורבות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ולגבי התקיפה בחורשה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טען כי כלל לא היה במקום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overflowPunct w:val="false"/>
        <w:autoSpaceDE w:val="false"/>
        <w:bidi w:val="1"/>
        <w:spacing w:before="0" w:after="0"/>
        <w:ind w:hanging="357" w:start="714" w:end="0"/>
        <w:contextualSpacing w:val="false"/>
        <w:jc w:val="both"/>
        <w:textAlignment w:val="baseline"/>
        <w:rPr>
          <w:rFonts w:ascii="Garamond" w:hAnsi="Garamond" w:cs="Garamond"/>
          <w:spacing w:val="10"/>
          <w:sz w:val="24"/>
          <w:szCs w:val="28"/>
        </w:rPr>
      </w:pPr>
      <w:r>
        <w:rPr>
          <w:rFonts w:ascii="Century" w:hAnsi="Century" w:cs="Miriam"/>
          <w:b/>
          <w:b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ascii="Century" w:hAnsi="Century" w:cs="Miriam"/>
          <w:b/>
          <w:b/>
          <w:szCs w:val="24"/>
          <w:rtl w:val="true"/>
        </w:rPr>
        <w:t>ימו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המתלונן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שתיארה כי ביום שבת בצהריים בשעה ארבע בערך הייתה בבית השכנה הישאמו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, "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היה בום חזק חזק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הבית נראה זז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אחרי זה שקט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לא יצאנו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לא חשבתי בגלל הילד שלי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האם הבהירה כי שמעה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בום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אחד וכי גם השכנה שמעה אותו אך זו איננה מעוניינת לדבר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 xml:space="preserve">בית המשפט התרשם 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Garamond"/>
          <w:spacing w:val="6"/>
          <w:sz w:val="24"/>
          <w:sz w:val="24"/>
          <w:szCs w:val="28"/>
          <w:rtl w:val="true"/>
        </w:rPr>
        <w:t>מאישה פשוטה</w:t>
      </w:r>
      <w:r>
        <w:rPr>
          <w:rFonts w:cs="Garamond" w:ascii="Garamond" w:hAnsi="Garamond"/>
          <w:spacing w:val="6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6"/>
          <w:sz w:val="24"/>
          <w:sz w:val="24"/>
          <w:szCs w:val="28"/>
          <w:rtl w:val="true"/>
        </w:rPr>
        <w:t>נטולת תחכום</w:t>
      </w:r>
      <w:r>
        <w:rPr>
          <w:rFonts w:cs="Garamond" w:ascii="Garamond" w:hAnsi="Garamond"/>
          <w:spacing w:val="6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6"/>
          <w:sz w:val="24"/>
          <w:sz w:val="24"/>
          <w:szCs w:val="28"/>
          <w:rtl w:val="true"/>
        </w:rPr>
        <w:t>שלא המציאה את סיפור המעשה</w:t>
      </w:r>
      <w:r>
        <w:rPr>
          <w:rFonts w:cs="Garamond" w:ascii="Garamond" w:hAnsi="Garamond"/>
          <w:spacing w:val="6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6"/>
          <w:sz w:val="24"/>
          <w:sz w:val="24"/>
          <w:szCs w:val="28"/>
          <w:rtl w:val="true"/>
        </w:rPr>
        <w:t xml:space="preserve">אלא תיארה אירוע מותאם בזמן במהלכו שמעה </w:t>
      </w:r>
      <w:r>
        <w:rPr>
          <w:rFonts w:cs="Garamond" w:ascii="Garamond" w:hAnsi="Garamond"/>
          <w:spacing w:val="6"/>
          <w:sz w:val="24"/>
          <w:szCs w:val="28"/>
          <w:rtl w:val="true"/>
        </w:rPr>
        <w:t>'</w:t>
      </w:r>
      <w:r>
        <w:rPr>
          <w:rFonts w:ascii="Garamond" w:hAnsi="Garamond" w:cs="Garamond"/>
          <w:spacing w:val="6"/>
          <w:sz w:val="24"/>
          <w:sz w:val="24"/>
          <w:szCs w:val="28"/>
          <w:rtl w:val="true"/>
        </w:rPr>
        <w:t>בום</w:t>
      </w:r>
      <w:r>
        <w:rPr>
          <w:rFonts w:cs="Garamond" w:ascii="Garamond" w:hAnsi="Garamond"/>
          <w:spacing w:val="6"/>
          <w:sz w:val="24"/>
          <w:szCs w:val="28"/>
          <w:rtl w:val="true"/>
        </w:rPr>
        <w:t xml:space="preserve">' </w:t>
      </w:r>
      <w:r>
        <w:rPr>
          <w:rFonts w:ascii="Garamond" w:hAnsi="Garamond" w:cs="Garamond"/>
          <w:spacing w:val="6"/>
          <w:sz w:val="24"/>
          <w:sz w:val="24"/>
          <w:szCs w:val="28"/>
          <w:rtl w:val="true"/>
        </w:rPr>
        <w:t>אחד</w:t>
      </w:r>
      <w:r>
        <w:rPr>
          <w:rFonts w:cs="Garamond" w:ascii="Garamond" w:hAnsi="Garamond"/>
          <w:spacing w:val="6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6"/>
          <w:sz w:val="24"/>
          <w:sz w:val="24"/>
          <w:szCs w:val="28"/>
          <w:rtl w:val="true"/>
        </w:rPr>
        <w:t>ולא הגזימה מעבר לכך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שונים הם פני הדברים לגבי האב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כך נקבע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אשר עדותו הייתה מבולבלת והיה קשה להבין את דבריו</w:t>
      </w:r>
      <w:r>
        <w:rPr>
          <w:rFonts w:cs="Garamond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Garamond"/>
          <w:spacing w:val="10"/>
          <w:sz w:val="24"/>
          <w:sz w:val="24"/>
          <w:szCs w:val="28"/>
          <w:rtl w:val="true"/>
        </w:rPr>
        <w:t>ואין לתת לעדותו כל משקל</w:t>
      </w:r>
      <w:r>
        <w:rPr>
          <w:rFonts w:cs="Garamond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Garamond"/>
          <w:spacing w:val="10"/>
          <w:sz w:val="24"/>
          <w:szCs w:val="28"/>
        </w:rPr>
      </w:pPr>
      <w:r>
        <w:rPr>
          <w:rFonts w:cs="Garamond" w:ascii="Garamond" w:hAnsi="Garamond"/>
          <w:spacing w:val="10"/>
          <w:sz w:val="24"/>
          <w:szCs w:val="28"/>
          <w:rtl w:val="true"/>
        </w:rPr>
      </w:r>
    </w:p>
    <w:p>
      <w:pPr>
        <w:pStyle w:val="Ruller42"/>
        <w:numPr>
          <w:ilvl w:val="0"/>
          <w:numId w:val="8"/>
        </w:numPr>
        <w:overflowPunct w:val="false"/>
        <w:autoSpaceDE w:val="false"/>
        <w:ind w:hanging="0" w:start="0" w:end="0"/>
        <w:jc w:val="both"/>
        <w:textAlignment w:val="baseline"/>
        <w:rPr/>
      </w:pPr>
      <w:r>
        <w:rPr>
          <w:rtl w:val="true"/>
        </w:rPr>
        <w:t>בית משפט קמא התייחס לטענות ההגנה בדבר מחדלי חקירה</w:t>
      </w:r>
      <w:r>
        <w:rPr>
          <w:rtl w:val="true"/>
        </w:rPr>
        <w:t xml:space="preserve">, </w:t>
      </w:r>
      <w:r>
        <w:rPr>
          <w:rtl w:val="true"/>
        </w:rPr>
        <w:t>ודחה אותן</w:t>
      </w:r>
      <w:r>
        <w:rPr>
          <w:rtl w:val="true"/>
        </w:rPr>
        <w:t xml:space="preserve">. </w:t>
      </w:r>
      <w:r>
        <w:rPr>
          <w:rtl w:val="true"/>
        </w:rPr>
        <w:t>אשר לטענה כי הורי המתלונן הם היחידים מכל השכנים שתושאלו בשכונה</w:t>
      </w:r>
      <w:r>
        <w:rPr>
          <w:rtl w:val="true"/>
        </w:rPr>
        <w:t xml:space="preserve">, </w:t>
      </w:r>
      <w:r>
        <w:rPr>
          <w:rtl w:val="true"/>
        </w:rPr>
        <w:t>נקבע כי ייתכן שהיה מקום לגבות עדויות מהשכנים עוד ביום האירוע באשר לאירוע הירי</w:t>
      </w:r>
      <w:r>
        <w:rPr>
          <w:rtl w:val="true"/>
        </w:rPr>
        <w:t xml:space="preserve">, </w:t>
      </w:r>
      <w:r>
        <w:rPr>
          <w:rtl w:val="true"/>
        </w:rPr>
        <w:t>אולם אין מדובר במחדל חקירתי היורד לשורשו של עניין ושיש בו כדי להחליש את ראיות התביעה בענייננו</w:t>
      </w:r>
      <w:r>
        <w:rPr>
          <w:rtl w:val="true"/>
        </w:rPr>
        <w:t xml:space="preserve">. </w:t>
      </w:r>
      <w:r>
        <w:rPr>
          <w:rtl w:val="true"/>
        </w:rPr>
        <w:t>צוין גם כי פעולה זו לא נזנחה לחלוטין</w:t>
      </w:r>
      <w:r>
        <w:rPr>
          <w:rtl w:val="true"/>
        </w:rPr>
        <w:t xml:space="preserve">, </w:t>
      </w:r>
      <w:r>
        <w:rPr>
          <w:rtl w:val="true"/>
        </w:rPr>
        <w:t xml:space="preserve">שכן ביום </w:t>
      </w:r>
      <w:r>
        <w:rPr/>
        <w:t>3.10.2018</w:t>
      </w:r>
      <w:r>
        <w:rPr>
          <w:rtl w:val="true"/>
        </w:rPr>
        <w:t xml:space="preserve">, </w:t>
      </w:r>
      <w:r>
        <w:rPr>
          <w:rtl w:val="true"/>
        </w:rPr>
        <w:t>כשהגיעו השוטרים לבית המתלונן לשחזור</w:t>
      </w:r>
      <w:r>
        <w:rPr>
          <w:rtl w:val="true"/>
        </w:rPr>
        <w:t xml:space="preserve">, </w:t>
      </w:r>
      <w:r>
        <w:rPr>
          <w:rtl w:val="true"/>
        </w:rPr>
        <w:t>הם סרקו את הבניין על מנת לאתר עדי שמיעה או ראייה לאירוע</w:t>
      </w:r>
      <w:r>
        <w:rPr>
          <w:rtl w:val="true"/>
        </w:rPr>
        <w:t xml:space="preserve">. </w:t>
      </w:r>
      <w:r>
        <w:rPr>
          <w:rtl w:val="true"/>
        </w:rPr>
        <w:t>אלא שבחלק מהדירות לא היה מענה</w:t>
      </w:r>
      <w:r>
        <w:rPr>
          <w:rtl w:val="true"/>
        </w:rPr>
        <w:t xml:space="preserve">, </w:t>
      </w:r>
      <w:r>
        <w:rPr>
          <w:rtl w:val="true"/>
        </w:rPr>
        <w:t>ובאלו שהיה מענה</w:t>
      </w:r>
      <w:r>
        <w:rPr>
          <w:rtl w:val="true"/>
        </w:rPr>
        <w:t xml:space="preserve">, </w:t>
      </w:r>
      <w:r>
        <w:rPr>
          <w:rtl w:val="true"/>
        </w:rPr>
        <w:t>נמסר כי לא ראו או שמעו דבר</w:t>
      </w:r>
      <w:r>
        <w:rPr>
          <w:rtl w:val="true"/>
        </w:rPr>
        <w:t xml:space="preserve">. </w:t>
      </w:r>
      <w:r>
        <w:rPr>
          <w:rtl w:val="true"/>
        </w:rPr>
        <w:t>כך גם כשניגשו לשכנה הישאמו</w:t>
      </w:r>
      <w:r>
        <w:rPr>
          <w:rtl w:val="true"/>
        </w:rPr>
        <w:t xml:space="preserve">. </w:t>
      </w:r>
      <w:r>
        <w:rPr>
          <w:rtl w:val="true"/>
        </w:rPr>
        <w:t>צוין כי גישה זו של השכנה מתיישבת עם עדותו של אחד החוקרים שהעיד מניסיונו כחוקר בתחנה כי מנקודת מבט של המשטרה קיים חוסר שיתוף פעולה מצד תושבי השכונה</w:t>
      </w:r>
      <w:r>
        <w:rPr>
          <w:rtl w:val="true"/>
        </w:rPr>
        <w:t xml:space="preserve">, </w:t>
      </w:r>
      <w:r>
        <w:rPr>
          <w:rtl w:val="true"/>
        </w:rPr>
        <w:t>לרבות קורבנות וחשודים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0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overflowPunct w:val="false"/>
        <w:autoSpaceDE w:val="false"/>
        <w:ind w:hanging="0" w:start="0" w:end="0"/>
        <w:jc w:val="both"/>
        <w:textAlignment w:val="baseline"/>
        <w:rPr/>
      </w:pPr>
      <w:r>
        <w:rPr>
          <w:rtl w:val="true"/>
        </w:rPr>
        <w:t>בניגוד לאמור בהודעותיו במשטרה</w:t>
      </w:r>
      <w:r>
        <w:rPr>
          <w:rtl w:val="true"/>
        </w:rPr>
        <w:t xml:space="preserve">, </w:t>
      </w:r>
      <w:r>
        <w:rPr>
          <w:rtl w:val="true"/>
        </w:rPr>
        <w:t>ובדומה לגרסה המאוחרת שמסר במענה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העיד </w:t>
      </w:r>
      <w:r>
        <w:rPr>
          <w:rtl w:val="true"/>
        </w:rPr>
        <w:t>המערער כי</w:t>
      </w:r>
      <w:r>
        <w:rPr>
          <w:rtl w:val="true"/>
        </w:rPr>
        <w:t xml:space="preserve"> כן הגיע לפארק הסמוך לבניין בו מתגורר המתלונן</w:t>
      </w:r>
      <w:r>
        <w:rPr>
          <w:rtl w:val="true"/>
        </w:rPr>
        <w:t xml:space="preserve">, </w:t>
      </w:r>
      <w:r>
        <w:rPr>
          <w:rtl w:val="true"/>
        </w:rPr>
        <w:t>שם ישבו מספר חברים שהוא מכיר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 טען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בירך את כולם ב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tl w:val="true"/>
        </w:rPr>
        <w:t xml:space="preserve">", </w:t>
      </w:r>
      <w:r>
        <w:rPr>
          <w:rtl w:val="true"/>
        </w:rPr>
        <w:t>ולמתלונן</w:t>
      </w:r>
      <w:r>
        <w:rPr>
          <w:rtl w:val="true"/>
        </w:rPr>
        <w:t xml:space="preserve">, </w:t>
      </w:r>
      <w:r>
        <w:rPr>
          <w:rtl w:val="true"/>
        </w:rPr>
        <w:t>אשר לטענתו לא ענה 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אמר שהשלום</w:t>
      </w:r>
      <w:r>
        <w:rPr>
          <w:rtl w:val="true"/>
        </w:rPr>
        <w:t xml:space="preserve"> שלו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 שווה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המערער הוסיף כי בזמן שאמר שלום לאנשים נוספים</w:t>
      </w:r>
      <w:r>
        <w:rPr>
          <w:rtl w:val="true"/>
        </w:rPr>
        <w:t xml:space="preserve">, </w:t>
      </w:r>
      <w:r>
        <w:rPr>
          <w:rtl w:val="true"/>
        </w:rPr>
        <w:t>המתלונן חנק אותו והסתער עליו במכות לכיוון הפנים והעין</w:t>
      </w:r>
      <w:r>
        <w:rPr>
          <w:rtl w:val="true"/>
        </w:rPr>
        <w:t xml:space="preserve">. </w:t>
      </w:r>
      <w:r>
        <w:rPr>
          <w:rtl w:val="true"/>
        </w:rPr>
        <w:t>השניים התעמתו אחד עם השני</w:t>
      </w:r>
      <w:r>
        <w:rPr>
          <w:rtl w:val="true"/>
        </w:rPr>
        <w:t xml:space="preserve">, </w:t>
      </w:r>
      <w:r>
        <w:rPr>
          <w:rtl w:val="true"/>
        </w:rPr>
        <w:t>הפרידו ביניהם</w:t>
      </w:r>
      <w:r>
        <w:rPr>
          <w:rtl w:val="true"/>
        </w:rPr>
        <w:t xml:space="preserve">, </w:t>
      </w:r>
      <w:r>
        <w:rPr>
          <w:rtl w:val="true"/>
        </w:rPr>
        <w:t>וכל אחד הלך לכיוון שלו</w:t>
      </w:r>
      <w:r>
        <w:rPr>
          <w:rtl w:val="true"/>
        </w:rPr>
        <w:t xml:space="preserve">. </w:t>
      </w:r>
      <w:r>
        <w:rPr>
          <w:rtl w:val="true"/>
        </w:rPr>
        <w:t>הוא סבר שהאירוע יסתיים בכך</w:t>
      </w:r>
      <w:r>
        <w:rPr>
          <w:rtl w:val="true"/>
        </w:rPr>
        <w:t xml:space="preserve">, </w:t>
      </w:r>
      <w:r>
        <w:rPr>
          <w:rtl w:val="true"/>
        </w:rPr>
        <w:t>ולכן לא הגיש תלונה כנגד המתלונן</w:t>
      </w:r>
      <w:r>
        <w:rPr>
          <w:rtl w:val="true"/>
        </w:rPr>
        <w:t xml:space="preserve">. </w:t>
      </w:r>
      <w:r>
        <w:rPr>
          <w:rtl w:val="true"/>
        </w:rPr>
        <w:t>במשך מספר ימים ידע שהמשטרה מחפשת אותו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ולפני שהגיע לתחנה התייעץ עם עורך דינו</w:t>
      </w:r>
      <w:r>
        <w:rPr>
          <w:rtl w:val="true"/>
        </w:rPr>
        <w:t xml:space="preserve">, </w:t>
      </w:r>
      <w:r>
        <w:rPr>
          <w:rtl w:val="true"/>
        </w:rPr>
        <w:t>אשר אמר לו שהוא לא יכול להגיע ושישמור על זכות השתיקה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>-</w:t>
      </w:r>
      <w:r>
        <w:rPr>
          <w:rtl w:val="true"/>
        </w:rPr>
        <w:t xml:space="preserve">דינו לא הגיע </w:t>
      </w:r>
      <w:r>
        <w:rPr/>
        <w:t>5-4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הוא שמר על זכות השתיקה</w:t>
      </w:r>
      <w:r>
        <w:rPr>
          <w:rtl w:val="true"/>
        </w:rPr>
        <w:t xml:space="preserve">, </w:t>
      </w:r>
      <w:r>
        <w:rPr>
          <w:rtl w:val="true"/>
        </w:rPr>
        <w:t xml:space="preserve">ובדיעבד סבור </w:t>
      </w:r>
      <w:r>
        <w:rPr>
          <w:rtl w:val="true"/>
        </w:rPr>
        <w:t>שגרם</w:t>
      </w:r>
      <w:r>
        <w:rPr>
          <w:rtl w:val="true"/>
        </w:rPr>
        <w:t xml:space="preserve"> לעצמו נזק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overflowPunct w:val="false"/>
        <w:autoSpaceDE w:val="false"/>
        <w:ind w:hanging="0" w:start="0" w:end="0"/>
        <w:jc w:val="both"/>
        <w:textAlignment w:val="baseline"/>
        <w:rPr/>
      </w:pPr>
      <w:r>
        <w:rPr>
          <w:rtl w:val="true"/>
        </w:rPr>
        <w:t>בית המשפט קבע כי לפרשת ההגנה שני מאפיינים עיקריים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כי גרסת המערער עומדת בפער ניכר למה שמסר במהלך החקירה במשטרה</w:t>
      </w:r>
      <w:r>
        <w:rPr>
          <w:rtl w:val="true"/>
        </w:rPr>
        <w:t xml:space="preserve">, </w:t>
      </w:r>
      <w:r>
        <w:rPr>
          <w:rtl w:val="true"/>
        </w:rPr>
        <w:t>בפעמים בהן לא שתק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 עדי ההגנה העלו תמונה עובדתית שלא נמסרה כלל במהלך החקירה</w:t>
      </w:r>
      <w:r>
        <w:rPr>
          <w:rtl w:val="true"/>
        </w:rPr>
        <w:t xml:space="preserve">, </w:t>
      </w:r>
      <w:r>
        <w:rPr>
          <w:rtl w:val="true"/>
        </w:rPr>
        <w:t>ועדי התביעה הרלבנטיים לא עומתו איתה במהלך חקירתם הנגדית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overflowPunct w:val="false"/>
        <w:autoSpaceDE w:val="false"/>
        <w:ind w:hanging="0" w:start="0" w:end="0"/>
        <w:jc w:val="both"/>
        <w:textAlignment w:val="baseline"/>
        <w:rPr/>
      </w:pPr>
      <w:r>
        <w:rPr>
          <w:rtl w:val="true"/>
        </w:rPr>
        <w:t>אשר לגרסאות המשתנות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ראשית הובהר כי זה התייצב במשטרה ונעצר ביום </w:t>
      </w:r>
      <w:r>
        <w:rPr/>
        <w:t>30.9.2018</w:t>
      </w:r>
      <w:r>
        <w:rPr>
          <w:rtl w:val="true"/>
        </w:rPr>
        <w:t xml:space="preserve">, </w:t>
      </w:r>
      <w:r>
        <w:rPr>
          <w:rtl w:val="true"/>
        </w:rPr>
        <w:t>שמונה ימים לאחר האירוע</w:t>
      </w:r>
      <w:r>
        <w:rPr>
          <w:rtl w:val="true"/>
        </w:rPr>
        <w:t xml:space="preserve">, </w:t>
      </w:r>
      <w:r>
        <w:rPr>
          <w:rtl w:val="true"/>
        </w:rPr>
        <w:t>וכי בין לבין נעשו שלל ניסיונות לאתר אותו במספר כתובות של בני משפחה ואף הושארו הזמנות עבורו לסור למשטרה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overflowPunct w:val="false"/>
        <w:autoSpaceDE w:val="false"/>
        <w:ind w:hanging="0" w:start="0" w:end="0"/>
        <w:jc w:val="both"/>
        <w:textAlignment w:val="baseline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overflowPunct w:val="false"/>
        <w:autoSpaceDE w:val="false"/>
        <w:ind w:firstLine="357" w:start="0" w:end="0"/>
        <w:jc w:val="both"/>
        <w:textAlignment w:val="baseline"/>
        <w:rPr/>
      </w:pPr>
      <w:r>
        <w:rPr>
          <w:rFonts w:ascii="Century" w:hAnsi="Century" w:cs="Century"/>
          <w:sz w:val="22"/>
          <w:sz w:val="22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8"/>
          <w:sz w:val="28"/>
          <w:szCs w:val="24"/>
          <w:rtl w:val="true"/>
        </w:rPr>
        <w:t>בחקירותיו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8"/>
          <w:sz w:val="28"/>
          <w:szCs w:val="24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בעימות</w:t>
      </w:r>
      <w:r>
        <w:rPr>
          <w:rtl w:val="true"/>
        </w:rPr>
        <w:t xml:space="preserve"> שנערך בינו לבין המתלונן</w:t>
      </w:r>
      <w:r>
        <w:rPr>
          <w:rtl w:val="true"/>
        </w:rPr>
        <w:t xml:space="preserve">, </w:t>
      </w:r>
      <w:r>
        <w:rPr>
          <w:rtl w:val="true"/>
        </w:rPr>
        <w:t>הכחיש המערער את מעורבותו בכל האירועים המתוארים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תוך שהוא טוען בנוגע לתקיפה בחורשה שכלל לא היה במקום</w:t>
      </w:r>
      <w:r>
        <w:rPr>
          <w:rtl w:val="true"/>
        </w:rPr>
        <w:t xml:space="preserve">, </w:t>
      </w:r>
      <w:r>
        <w:rPr>
          <w:rtl w:val="true"/>
        </w:rPr>
        <w:t xml:space="preserve">הרי </w:t>
      </w:r>
      <w:r>
        <w:rPr>
          <w:rFonts w:ascii="Century" w:hAnsi="Century" w:cs="Miriam"/>
          <w:b/>
          <w:b/>
          <w:spacing w:val="0"/>
          <w:sz w:val="28"/>
          <w:sz w:val="28"/>
          <w:szCs w:val="24"/>
          <w:rtl w:val="true"/>
        </w:rPr>
        <w:t>במענה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8"/>
          <w:sz w:val="28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 xml:space="preserve"> מסר גרסה שונה</w:t>
      </w:r>
      <w:r>
        <w:rPr>
          <w:rtl w:val="true"/>
        </w:rPr>
        <w:t xml:space="preserve">. </w:t>
      </w:r>
      <w:r>
        <w:rPr>
          <w:rtl w:val="true"/>
        </w:rPr>
        <w:t>לגבי אירוע התקיפה</w:t>
      </w:r>
      <w:r>
        <w:rPr>
          <w:rtl w:val="true"/>
        </w:rPr>
        <w:t xml:space="preserve">, </w:t>
      </w:r>
      <w:r>
        <w:rPr>
          <w:rtl w:val="true"/>
        </w:rPr>
        <w:t>הוא הודה שהיה במקום</w:t>
      </w:r>
      <w:r>
        <w:rPr>
          <w:rtl w:val="true"/>
        </w:rPr>
        <w:t xml:space="preserve">, </w:t>
      </w:r>
      <w:r>
        <w:rPr>
          <w:rtl w:val="true"/>
        </w:rPr>
        <w:t>אך הכחיש שתקף את המתלונן וטען כי הייתה קטטה הדדית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שינוי נוסף חל </w:t>
      </w:r>
      <w:r>
        <w:rPr>
          <w:rFonts w:ascii="Century" w:hAnsi="Century" w:cs="Miriam"/>
          <w:b/>
          <w:b/>
          <w:spacing w:val="0"/>
          <w:sz w:val="28"/>
          <w:sz w:val="28"/>
          <w:szCs w:val="24"/>
          <w:rtl w:val="true"/>
        </w:rPr>
        <w:t>בעדותו</w:t>
      </w:r>
      <w:r>
        <w:rPr>
          <w:rFonts w:ascii="Century" w:hAnsi="Century" w:eastAsia="Century" w:cs="Century"/>
          <w:b/>
          <w:b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 המערער בבית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tl w:val="true"/>
        </w:rPr>
        <w:t xml:space="preserve"> טען לראשונה כי המתלונן הוא שתקף אותו ראשון בחורשה</w:t>
      </w:r>
      <w:r>
        <w:rPr>
          <w:rtl w:val="true"/>
        </w:rPr>
        <w:t xml:space="preserve">, </w:t>
      </w:r>
      <w:r>
        <w:rPr>
          <w:rtl w:val="true"/>
        </w:rPr>
        <w:t>היכה אותו באגרוף וחנק אותו</w:t>
      </w:r>
      <w:r>
        <w:rPr>
          <w:rtl w:val="true"/>
        </w:rPr>
        <w:t xml:space="preserve">, </w:t>
      </w:r>
      <w:r>
        <w:rPr>
          <w:rtl w:val="true"/>
        </w:rPr>
        <w:t xml:space="preserve">וכי את שאר הפרטים המתלונן </w:t>
      </w:r>
      <w:r>
        <w:rPr>
          <w:rtl w:val="true"/>
        </w:rPr>
        <w:t>"</w:t>
      </w:r>
      <w:r>
        <w:rPr>
          <w:rtl w:val="true"/>
        </w:rPr>
        <w:t>המציא</w:t>
      </w:r>
      <w:r>
        <w:rPr>
          <w:rtl w:val="true"/>
        </w:rPr>
        <w:t xml:space="preserve">". </w:t>
      </w:r>
      <w:r>
        <w:rPr>
          <w:rtl w:val="true"/>
        </w:rPr>
        <w:t>המערער שב והסביר כי בחר לשתוק עד שיתייעץ עם עורך דין</w:t>
      </w:r>
      <w:r>
        <w:rPr>
          <w:rtl w:val="true"/>
        </w:rPr>
        <w:t xml:space="preserve">, </w:t>
      </w:r>
      <w:r>
        <w:rPr>
          <w:rtl w:val="true"/>
        </w:rPr>
        <w:t>וכשעומת עם העובדה שהיה מיוצג במהלך הארכות המעצר שלו</w:t>
      </w:r>
      <w:r>
        <w:rPr>
          <w:rtl w:val="true"/>
        </w:rPr>
        <w:t xml:space="preserve">, </w:t>
      </w:r>
      <w:r>
        <w:rPr>
          <w:rtl w:val="true"/>
        </w:rPr>
        <w:t>השיב כי לא שוחח עם הסנגוריות שייצגו אותו</w:t>
      </w:r>
      <w:r>
        <w:rPr>
          <w:rtl w:val="true"/>
        </w:rPr>
        <w:t xml:space="preserve">. </w:t>
      </w:r>
      <w:r>
        <w:rPr>
          <w:rtl w:val="true"/>
        </w:rPr>
        <w:t>המערער עומת עם העובדה כי הגיע לתחנת המשטרה עם שקית ובה בגדים</w:t>
      </w:r>
      <w:r>
        <w:rPr>
          <w:rtl w:val="true"/>
        </w:rPr>
        <w:t xml:space="preserve">, </w:t>
      </w:r>
      <w:r>
        <w:rPr>
          <w:rtl w:val="true"/>
        </w:rPr>
        <w:t>שכן היה בבריחה וידע שיעצרו אותו</w:t>
      </w:r>
      <w:r>
        <w:rPr>
          <w:rtl w:val="true"/>
        </w:rPr>
        <w:t xml:space="preserve">, </w:t>
      </w:r>
      <w:r>
        <w:rPr>
          <w:rtl w:val="true"/>
        </w:rPr>
        <w:t>אך הכחיש שהיה בבריחה</w:t>
      </w:r>
      <w:r>
        <w:rPr>
          <w:rtl w:val="true"/>
        </w:rPr>
        <w:t xml:space="preserve">, </w:t>
      </w:r>
      <w:r>
        <w:rPr>
          <w:rtl w:val="true"/>
        </w:rPr>
        <w:t>וטען שלא היה בקשר עם בני משפחתו ואף לא עם אחיו ליאור</w:t>
      </w:r>
      <w:r>
        <w:rPr>
          <w:rtl w:val="true"/>
        </w:rPr>
        <w:t xml:space="preserve">. </w:t>
      </w:r>
      <w:r>
        <w:rPr>
          <w:rtl w:val="true"/>
        </w:rPr>
        <w:t>בשלב זה העיד המערער כי לא מסר בחקירה שמות של עדים שכן מדובר בחברים של המתלונן ואין ברשותו טלפונים שלהם</w:t>
      </w:r>
      <w:r>
        <w:rPr>
          <w:rtl w:val="true"/>
        </w:rPr>
        <w:t xml:space="preserve">. </w:t>
      </w:r>
      <w:r>
        <w:rPr>
          <w:rtl w:val="true"/>
        </w:rPr>
        <w:t>כשנשאל מדוע לא הטיח את גרסתו במתלונן במהלך העימות השיב המערער כי גם בשלב העימות עדיין המתין לסניגור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overflowPunct w:val="false"/>
        <w:autoSpaceDE w:val="false"/>
        <w:ind w:firstLine="357" w:start="0" w:end="0"/>
        <w:jc w:val="both"/>
        <w:textAlignment w:val="baseline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overflowPunct w:val="false"/>
        <w:autoSpaceDE w:val="false"/>
        <w:ind w:firstLine="793" w:start="0" w:end="0"/>
        <w:jc w:val="both"/>
        <w:textAlignment w:val="baseline"/>
        <w:rPr/>
      </w:pPr>
      <w:r>
        <w:rPr>
          <w:rtl w:val="true"/>
        </w:rPr>
        <w:t>בית המשפט קבע כי המערער הותיר רושם שלילי ביותר</w:t>
      </w:r>
      <w:r>
        <w:rPr>
          <w:rtl w:val="true"/>
        </w:rPr>
        <w:t>, "</w:t>
      </w:r>
      <w:r>
        <w:rPr>
          <w:rtl w:val="true"/>
        </w:rPr>
        <w:t>של אדם שמוסר גרסאות שקריות וסותרות</w:t>
      </w:r>
      <w:r>
        <w:rPr>
          <w:rtl w:val="true"/>
        </w:rPr>
        <w:t xml:space="preserve">", </w:t>
      </w:r>
      <w:r>
        <w:rPr>
          <w:rtl w:val="true"/>
        </w:rPr>
        <w:t>ומספק מיני הסברים מפוקפקים</w:t>
      </w:r>
      <w:r>
        <w:rPr>
          <w:rtl w:val="true"/>
        </w:rPr>
        <w:t xml:space="preserve">, </w:t>
      </w:r>
      <w:r>
        <w:rPr>
          <w:rtl w:val="true"/>
        </w:rPr>
        <w:t>דלים ולא הגיוניים להתנהלותו</w:t>
      </w:r>
      <w:r>
        <w:rPr>
          <w:rtl w:val="true"/>
        </w:rPr>
        <w:t xml:space="preserve">. </w:t>
      </w:r>
      <w:r>
        <w:rPr>
          <w:rtl w:val="true"/>
        </w:rPr>
        <w:t xml:space="preserve">נקבע כי בריחתו לאחר האירוע והתייצבותו כעבור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ימים ולאחר שאחיו ליאור השתחרר ממעצרו </w:t>
      </w:r>
      <w:r>
        <w:rPr>
          <w:rtl w:val="true"/>
        </w:rPr>
        <w:t>"</w:t>
      </w:r>
      <w:r>
        <w:rPr>
          <w:rtl w:val="true"/>
        </w:rPr>
        <w:t>מהוות התנהגות מפלילה מובהקת בנסיבות</w:t>
      </w:r>
      <w:r>
        <w:rPr>
          <w:rtl w:val="true"/>
        </w:rPr>
        <w:t xml:space="preserve">". </w:t>
      </w:r>
      <w:r>
        <w:rPr>
          <w:rtl w:val="true"/>
        </w:rPr>
        <w:t>צוין כי במהלך עדותו ניכר שהמערער מבין את המתווה הראייתי בתיק</w:t>
      </w:r>
      <w:r>
        <w:rPr>
          <w:rtl w:val="true"/>
        </w:rPr>
        <w:t xml:space="preserve">, </w:t>
      </w:r>
      <w:r>
        <w:rPr>
          <w:rtl w:val="true"/>
        </w:rPr>
        <w:t>ובהתאם לכך בנה גרסה חדשה</w:t>
      </w:r>
      <w:r>
        <w:rPr>
          <w:rtl w:val="true"/>
        </w:rPr>
        <w:t xml:space="preserve">, </w:t>
      </w:r>
      <w:r>
        <w:rPr>
          <w:rtl w:val="true"/>
        </w:rPr>
        <w:t>במסגרתה בחר לחזור בו מהכחשתו הגורפת ולקשור את עצמו לאירוע התקיפה</w:t>
      </w:r>
      <w:r>
        <w:rPr>
          <w:rtl w:val="true"/>
        </w:rPr>
        <w:t xml:space="preserve">, </w:t>
      </w:r>
      <w:r>
        <w:rPr>
          <w:rtl w:val="true"/>
        </w:rPr>
        <w:t xml:space="preserve">כשההסברים שסיפק לחזרה מגרסה </w:t>
      </w:r>
      <w:r>
        <w:rPr>
          <w:rtl w:val="true"/>
        </w:rPr>
        <w:t>"</w:t>
      </w:r>
      <w:r>
        <w:rPr>
          <w:rtl w:val="true"/>
        </w:rPr>
        <w:t>אינם אמינים בעליל</w:t>
      </w:r>
      <w:r>
        <w:rPr>
          <w:rtl w:val="true"/>
        </w:rPr>
        <w:t xml:space="preserve">". </w:t>
      </w:r>
      <w:r>
        <w:rPr>
          <w:rtl w:val="true"/>
        </w:rPr>
        <w:t>לבסוף בחר המערער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>, "</w:t>
      </w:r>
      <w:r>
        <w:rPr>
          <w:rtl w:val="true"/>
        </w:rPr>
        <w:t>בהתנהלות מכוערת של השמצת המתלונן מבלי שהביא ראייה אחת התומכת בכך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overflowPunct w:val="false"/>
        <w:autoSpaceDE w:val="false"/>
        <w:ind w:hanging="0" w:start="0" w:end="0"/>
        <w:jc w:val="both"/>
        <w:textAlignment w:val="baseline"/>
        <w:rPr/>
      </w:pPr>
      <w:r>
        <w:rPr>
          <w:rtl w:val="true"/>
        </w:rPr>
        <w:t>אשר לעדי ההגנה ה</w:t>
      </w:r>
      <w:r>
        <w:rPr>
          <w:rtl w:val="true"/>
        </w:rPr>
        <w:t>"</w:t>
      </w:r>
      <w:r>
        <w:rPr>
          <w:rtl w:val="true"/>
        </w:rPr>
        <w:t>חדשים</w:t>
      </w:r>
      <w:r>
        <w:rPr>
          <w:rtl w:val="true"/>
        </w:rPr>
        <w:t xml:space="preserve">", </w:t>
      </w:r>
      <w:r>
        <w:rPr>
          <w:rtl w:val="true"/>
        </w:rPr>
        <w:t>צוין כי באופן מפתיע הצליח המערער להביא להתייצבותם של אושר אלמו ושני עדי הגנה נוספים שהעידו בנוגע לאירוע בחורשה</w:t>
      </w:r>
      <w:r>
        <w:rPr>
          <w:rtl w:val="true"/>
        </w:rPr>
        <w:t xml:space="preserve">. </w:t>
      </w:r>
      <w:r>
        <w:rPr>
          <w:rtl w:val="true"/>
        </w:rPr>
        <w:t>עדים אלו מסרו כי המתלונן הוא הראשון שנקט באלימות כלפי המערער ואף חנק אותו</w:t>
      </w:r>
      <w:r>
        <w:rPr>
          <w:rtl w:val="true"/>
        </w:rPr>
        <w:t xml:space="preserve">. </w:t>
      </w:r>
      <w:r>
        <w:rPr>
          <w:rtl w:val="true"/>
        </w:rPr>
        <w:t>הובהר כי אף לא אחד מהם מסר עדות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ובנוסף הסניגור כלל לא עימת את המתלונן במהלך חקירתו הנגדית עם גרסאות </w:t>
      </w:r>
      <w:r>
        <w:rPr>
          <w:rtl w:val="true"/>
        </w:rPr>
        <w:t>"</w:t>
      </w:r>
      <w:r>
        <w:rPr>
          <w:rtl w:val="true"/>
        </w:rPr>
        <w:t>עדי ראייה</w:t>
      </w:r>
      <w:r>
        <w:rPr>
          <w:rtl w:val="true"/>
        </w:rPr>
        <w:t xml:space="preserve">" </w:t>
      </w:r>
      <w:r>
        <w:rPr>
          <w:rtl w:val="true"/>
        </w:rPr>
        <w:t>אלה שהושמעו לראשונה בפרשת ההגנה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התרשם משלושת העדים </w:t>
      </w:r>
      <w:r>
        <w:rPr>
          <w:rtl w:val="true"/>
        </w:rPr>
        <w:t>"</w:t>
      </w:r>
      <w:r>
        <w:rPr>
          <w:rtl w:val="true"/>
        </w:rPr>
        <w:t>כי בוודאי שאינם חבריו של המתלונן</w:t>
      </w:r>
      <w:r>
        <w:rPr>
          <w:rtl w:val="true"/>
        </w:rPr>
        <w:t xml:space="preserve">, </w:t>
      </w:r>
      <w:r>
        <w:rPr>
          <w:rtl w:val="true"/>
        </w:rPr>
        <w:t>כפי שניסו להציג</w:t>
      </w:r>
      <w:r>
        <w:rPr>
          <w:rtl w:val="true"/>
        </w:rPr>
        <w:t xml:space="preserve">, </w:t>
      </w:r>
      <w:r>
        <w:rPr>
          <w:rtl w:val="true"/>
        </w:rPr>
        <w:t xml:space="preserve">אלא הגיעו במטרה מוצהרת ומתואמת לתמוך בגרסתו המאוחרת של הנאשם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 מצא בית המשפט להעניק לעדים אלו</w:t>
      </w:r>
      <w:r>
        <w:rPr>
          <w:rtl w:val="true"/>
        </w:rPr>
        <w:t xml:space="preserve">, </w:t>
      </w:r>
      <w:r>
        <w:rPr>
          <w:rtl w:val="true"/>
        </w:rPr>
        <w:t>אשר לפתע זכרו בפרטי פרטים אירוע רחוק לראשונה בבית המשפט</w:t>
      </w:r>
      <w:r>
        <w:rPr>
          <w:rtl w:val="true"/>
        </w:rPr>
        <w:t xml:space="preserve">, </w:t>
      </w:r>
      <w:r>
        <w:rPr>
          <w:rtl w:val="true"/>
        </w:rPr>
        <w:t>משקל כלשהו</w:t>
      </w:r>
      <w:r>
        <w:rPr>
          <w:rtl w:val="true"/>
        </w:rPr>
        <w:t xml:space="preserve">. </w:t>
      </w:r>
      <w:r>
        <w:rPr>
          <w:rtl w:val="true"/>
        </w:rPr>
        <w:t>כן התרשם בית המשפט לשלילה מעד הגנה נוסף</w:t>
      </w:r>
      <w:r>
        <w:rPr>
          <w:rtl w:val="true"/>
        </w:rPr>
        <w:t xml:space="preserve">, </w:t>
      </w:r>
      <w:r>
        <w:rPr>
          <w:rtl w:val="true"/>
        </w:rPr>
        <w:t xml:space="preserve">אשר העיד כי המתלונן ביקש ממנו לעשות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בינו לבין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מדובר </w:t>
      </w:r>
      <w:r>
        <w:rPr>
          <w:rtl w:val="true"/>
        </w:rPr>
        <w:t>"</w:t>
      </w:r>
      <w:r>
        <w:rPr>
          <w:rtl w:val="true"/>
        </w:rPr>
        <w:t>בעד שהאמת אינה דרכו</w:t>
      </w:r>
      <w:r>
        <w:rPr>
          <w:rtl w:val="true"/>
        </w:rPr>
        <w:t xml:space="preserve">", </w:t>
      </w:r>
      <w:r>
        <w:rPr>
          <w:rtl w:val="true"/>
        </w:rPr>
        <w:t>קביעה המבוססת בין השאר על האופן בו השיב לשאלות התובעת</w:t>
      </w:r>
      <w:r>
        <w:rPr>
          <w:rtl w:val="true"/>
        </w:rPr>
        <w:t xml:space="preserve">. </w:t>
      </w:r>
      <w:r>
        <w:rPr>
          <w:rtl w:val="true"/>
        </w:rPr>
        <w:t xml:space="preserve">עד הגנה נוסף שבית המשפט לא ראה לתת משקל לעדותו הינו חוקר פרטי שערך לבקשת הסנגור בדיקת מצלמות אבטחה באזור באוגוסט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לאחר עדות המתלונן ואף לאחר עדותו של חוקר זירה טכנולוגי שמצא כי אין מצלמות בחורשה או בפינת הרחובות</w:t>
      </w:r>
      <w:r>
        <w:rPr>
          <w:rtl w:val="true"/>
        </w:rPr>
        <w:t xml:space="preserve">. </w:t>
      </w:r>
      <w:r>
        <w:rPr>
          <w:rtl w:val="true"/>
        </w:rPr>
        <w:t>נקבע כי גם בחינת עדות החוקר הפרטי לגופה אינה מעלה או מורידה מעדות המתלונן ביחס לירי</w:t>
      </w:r>
      <w:r>
        <w:rPr>
          <w:rtl w:val="true"/>
        </w:rPr>
        <w:t xml:space="preserve">, </w:t>
      </w:r>
      <w:r>
        <w:rPr>
          <w:rtl w:val="true"/>
        </w:rPr>
        <w:t>שכן העד אישר כי המצלמות שלטענתו איתר אינן חולשות על זירת האירוע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בסיכומו של דבר</w:t>
      </w:r>
      <w:r>
        <w:rPr>
          <w:rtl w:val="true"/>
        </w:rPr>
        <w:t>, "</w:t>
      </w:r>
      <w:r>
        <w:rPr>
          <w:rtl w:val="true"/>
        </w:rPr>
        <w:t>על בסיס התשתית הראייתית שהציגה התביעה אל מול עדותו הבלתי אמינה של הנאשם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התנהגותו המפלילה לאחר האירוע</w:t>
      </w:r>
      <w:r>
        <w:rPr>
          <w:rtl w:val="true"/>
        </w:rPr>
        <w:t xml:space="preserve">, </w:t>
      </w:r>
      <w:r>
        <w:rPr>
          <w:rtl w:val="true"/>
        </w:rPr>
        <w:t>עדויות עדי ההגנה שלא סייעו 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 אף מחזקות את ראיות התביעה</w:t>
      </w:r>
      <w:r>
        <w:rPr>
          <w:rtl w:val="true"/>
        </w:rPr>
        <w:t xml:space="preserve">", </w:t>
      </w:r>
      <w:r>
        <w:rPr>
          <w:rtl w:val="true"/>
        </w:rPr>
        <w:t>נקבע כי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עמדה בנטל המוטל עליה להוכיח את כל המיוחס </w:t>
      </w:r>
      <w:r>
        <w:rPr>
          <w:rtl w:val="true"/>
        </w:rPr>
        <w:t>למערער</w:t>
      </w:r>
      <w:r>
        <w:rPr>
          <w:rtl w:val="true"/>
        </w:rPr>
        <w:t xml:space="preserve"> בכתב</w:t>
      </w:r>
      <w:r>
        <w:rPr>
          <w:rtl w:val="true"/>
        </w:rPr>
        <w:t xml:space="preserve"> </w:t>
      </w:r>
      <w:r>
        <w:rPr>
          <w:rtl w:val="true"/>
        </w:rPr>
        <w:t>האישום מעבר לספק סביר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</w:p>
    <w:p>
      <w:pPr>
        <w:pStyle w:val="Normal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 xml:space="preserve">בפתח גזר הדין התייחס בית המשפט לראיות הצדדים ולהצהרת נפגע העבירה מיום </w:t>
      </w:r>
      <w:r>
        <w:rPr>
          <w:rFonts w:eastAsia="Calibri" w:cs="Century" w:ascii="Century" w:hAnsi="Century"/>
          <w:sz w:val="22"/>
        </w:rPr>
        <w:t>11.6.2020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ממנה עולה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בין היתר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המתלונן סובל מנזק נפשי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קשיי שינה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דיכאון וקושי בתפקוד היומיומי בעקבות האירוע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וכן מתחושת נידוי בשל תדמית ה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מלשן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>שיצר לו המערער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לצורך קביעת מתחם העונש ההולם</w:t>
      </w:r>
      <w:r>
        <w:rPr>
          <w:rFonts w:eastAsia="Calibri" w:cs="Century" w:ascii="Century" w:hAnsi="Century"/>
          <w:sz w:val="22"/>
          <w:rtl w:val="true"/>
        </w:rPr>
        <w:t>,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נתן בית המשפט את דעתו לערכים המוגנים שנפגעו כתוצאה ממעשיו של המערער </w:t>
      </w:r>
      <w:r>
        <w:rPr>
          <w:rFonts w:ascii="Century" w:hAnsi="Century" w:eastAsia="Calibri" w:cs="Century"/>
          <w:sz w:val="22"/>
          <w:sz w:val="22"/>
          <w:rtl w:val="true"/>
        </w:rPr>
        <w:t>–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בראש ובראשונה שלומו הנפשי והפיזי של המתלונן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שנפגע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פגיעה מובהקת וקשה</w:t>
      </w:r>
      <w:r>
        <w:rPr>
          <w:rFonts w:eastAsia="Calibri" w:cs="Century" w:ascii="Century" w:hAnsi="Century"/>
          <w:sz w:val="22"/>
          <w:rtl w:val="true"/>
        </w:rPr>
        <w:t xml:space="preserve">"; </w:t>
      </w:r>
      <w:r>
        <w:rPr>
          <w:rFonts w:ascii="Century" w:hAnsi="Century" w:eastAsia="Calibri" w:cs="Century"/>
          <w:sz w:val="22"/>
          <w:sz w:val="22"/>
          <w:rtl w:val="true"/>
        </w:rPr>
        <w:t>פגיעה בהיבט הציבורי הרחב בעבירה של הטרדת עד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>ופגיעה בערך המוגן של שלום הציבור וביטחונו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ברף חומרה גבוה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נוכח השימוש בתת מקלע מאולתר ונשיאתו בקרבה לבנייני מגורים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ביום שבת אחר הצהריים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אשר לנסיבות הקשורות בביצוע העבירות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צוינו בין היתר הרקע למעשי המערער שעניינו בשני מעשים קודמים של תקיפת המתלונן על</w:t>
      </w:r>
      <w:r>
        <w:rPr>
          <w:rFonts w:eastAsia="Calibri" w:cs="Century" w:ascii="Century" w:hAnsi="Century"/>
          <w:sz w:val="22"/>
          <w:rtl w:val="true"/>
        </w:rPr>
        <w:t>-</w:t>
      </w:r>
      <w:r>
        <w:rPr>
          <w:rFonts w:ascii="Century" w:hAnsi="Century" w:eastAsia="Calibri" w:cs="Century"/>
          <w:sz w:val="22"/>
          <w:sz w:val="22"/>
          <w:rtl w:val="true"/>
        </w:rPr>
        <w:t>ידי ליאור אחיו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העובדה שאמירתו המאיימת של המערער כלפי המתלונן נאמרה בעוד משפטו של אחיו מתנהל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>והעובדה שמעשה האלימות מושא ענייננו בוצע בצוותא ללא כל סיבה הנראית לעין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בבחינת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אלימות סתמית ומיותרת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נקבע כי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שיא האירועים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>בירי שביצע המערער בחניון בניין המגורים של המתלונן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אירוע בו טמון סיכון ממשי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ומגלם התנהגות עבריינית ממש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של איום באמצעות נשק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ונראה שאך בנס האירוע לא הסתיים בנזק לגוף או לרכוש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צוין כי אירוע התקיפה הסתיים בחבלות קלות יחסית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אך לא יכולה להיות מחלוקת כי השתלשלות האירועים המאיימת שנקט המערער כלפי המתלונן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אכן מבססת נזק נפשי כבד למתלונן</w:t>
      </w:r>
      <w:r>
        <w:rPr>
          <w:rFonts w:eastAsia="Calibri" w:cs="Century" w:ascii="Century" w:hAnsi="Century"/>
          <w:sz w:val="22"/>
          <w:rtl w:val="true"/>
        </w:rPr>
        <w:t xml:space="preserve">", </w:t>
      </w:r>
      <w:r>
        <w:rPr>
          <w:rFonts w:ascii="Century" w:hAnsi="Century" w:eastAsia="Calibri" w:cs="Century"/>
          <w:sz w:val="22"/>
          <w:sz w:val="22"/>
          <w:rtl w:val="true"/>
        </w:rPr>
        <w:t>המצוי במצב פוסט טראומטי וסובל מקשיי תפקוד בכל מישורי חייו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צוין כי אמנם מצבו הנפשי היה מורכב עוד טרם המסכת המתוארת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אך כפי שנקבע בהכרעת הדין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המתלונן מצא עצמו קורבן באופן שיטתי להתנכלויות אלימות מצד המערער וקרובי משפחתו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אשר החריפו את מצבו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בהתחשב בכל האמור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וכן במדיניות הענישה הנוהגת המלמדת על מסר של החמרה בענישה כלפי מורשעים בעבירות נשק ואלימות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העמיד בית המשפט קמא את מתחם הענישה ההולם על </w:t>
      </w:r>
      <w:r>
        <w:rPr>
          <w:rFonts w:eastAsia="Calibri" w:cs="Century" w:ascii="Century" w:hAnsi="Century"/>
          <w:sz w:val="22"/>
        </w:rPr>
        <w:t>60-30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חודשי מאסר בפועל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לצד ענישה נלווית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overflowPunct w:val="false"/>
        <w:autoSpaceDE w:val="false"/>
        <w:ind w:hanging="0" w:start="0" w:end="0"/>
        <w:jc w:val="both"/>
        <w:textAlignment w:val="baseline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לצורך קביעת עונשו של המערער בתוך המתחם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שקל בית המשפט לחומרה את עברו הפלילי המכביד של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שלחובתו </w:t>
      </w:r>
      <w:r>
        <w:rPr>
          <w:rFonts w:eastAsia="Calibri" w:cs="Century" w:ascii="Century" w:hAnsi="Century"/>
          <w:sz w:val="22"/>
        </w:rPr>
        <w:t>6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הרשעות קודמות בעבירות רכוש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סמים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נהיגה ללא רישיון ואלימות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מעת שהיה קטין בשנת </w:t>
      </w:r>
      <w:r>
        <w:rPr>
          <w:rFonts w:eastAsia="Calibri" w:cs="Century" w:ascii="Century" w:hAnsi="Century"/>
          <w:sz w:val="22"/>
        </w:rPr>
        <w:t>2006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ועד לשנת </w:t>
      </w:r>
      <w:r>
        <w:rPr>
          <w:rFonts w:eastAsia="Calibri" w:cs="Century" w:ascii="Century" w:hAnsi="Century"/>
          <w:sz w:val="22"/>
        </w:rPr>
        <w:t>2014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בגינן נשא תקופות מאסר המסתכמות לכדי יותר מ</w:t>
      </w:r>
      <w:r>
        <w:rPr>
          <w:rFonts w:eastAsia="Calibri" w:cs="Century" w:ascii="Century" w:hAnsi="Century"/>
          <w:sz w:val="22"/>
          <w:rtl w:val="true"/>
        </w:rPr>
        <w:t xml:space="preserve">- </w:t>
      </w:r>
      <w:r>
        <w:rPr>
          <w:rFonts w:eastAsia="Calibri" w:cs="Century" w:ascii="Century" w:hAnsi="Century"/>
          <w:sz w:val="22"/>
        </w:rPr>
        <w:t>7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שנות מאסר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עוד נזקף לחומרה עיתוי ביצוע העבירות </w:t>
      </w:r>
      <w:r>
        <w:rPr>
          <w:rFonts w:ascii="Century" w:hAnsi="Century" w:eastAsia="Calibri" w:cs="Century"/>
          <w:sz w:val="22"/>
          <w:sz w:val="22"/>
          <w:rtl w:val="true"/>
        </w:rPr>
        <w:t>–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העבירה של הטרדת עד בוצעה כחודשיים לאחר שהמערער שוחרר ממאסר ממושך בן </w:t>
      </w:r>
      <w:r>
        <w:rPr>
          <w:rFonts w:eastAsia="Calibri" w:cs="Century" w:ascii="Century" w:hAnsi="Century"/>
          <w:sz w:val="22"/>
        </w:rPr>
        <w:t>50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חודשים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ואת עבירות התקיפה והירי ביצע כחודשיים לאחר שהשתחרר מנשיאת מאסרו האחרון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נקבע כי יש בכך כדי להעיד על רמת הסיכון הגבוהה הטמונה במערער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לצד זאת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התייחס בית המשפט לנסיבותיו האישיות והמשפחתיות המורכבות של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אולם קבע כי במקרה דנן נראה שיש ליתן משקל בכורה לאינטרס הציבורי המחייב החמרה עמו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נקבע לפיכך כי יש לגזור עליו עונש המתקרב לרף הגבוה של המתחם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לצד פיצוי ממשי וענישה מרתיעה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נוכח כל האמור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השית בית המשפט המחוזי על המערער </w:t>
      </w:r>
      <w:r>
        <w:rPr>
          <w:rFonts w:eastAsia="Calibri" w:cs="Century" w:ascii="Century" w:hAnsi="Century"/>
          <w:sz w:val="22"/>
        </w:rPr>
        <w:t>50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חודשי מאסר בפועל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eastAsia="Calibri" w:cs="Century" w:ascii="Century" w:hAnsi="Century"/>
          <w:sz w:val="22"/>
        </w:rPr>
        <w:t>12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חודשי </w:t>
      </w:r>
      <w:r>
        <w:rPr>
          <w:rFonts w:ascii="Century" w:hAnsi="Century" w:eastAsia="Calibri" w:cs="Century"/>
          <w:sz w:val="22"/>
          <w:sz w:val="22"/>
          <w:rtl w:val="true"/>
        </w:rPr>
        <w:t>מאסר על תנאי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לבל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יעבור </w:t>
      </w:r>
      <w:r>
        <w:rPr>
          <w:rFonts w:ascii="Century" w:hAnsi="Century" w:eastAsia="Calibri" w:cs="Century"/>
          <w:sz w:val="22"/>
          <w:sz w:val="22"/>
          <w:rtl w:val="true"/>
        </w:rPr>
        <w:t>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בתוך </w:t>
      </w:r>
      <w:r>
        <w:rPr>
          <w:rFonts w:eastAsia="Calibri" w:cs="Century" w:ascii="Century" w:hAnsi="Century"/>
          <w:sz w:val="22"/>
        </w:rPr>
        <w:t>3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שנים מיום שחרורו</w:t>
      </w:r>
      <w:r>
        <w:rPr>
          <w:rFonts w:eastAsia="Calibri" w:cs="Century" w:ascii="Century" w:hAnsi="Century"/>
          <w:sz w:val="22"/>
          <w:rtl w:val="true"/>
        </w:rPr>
        <w:t>,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עבירות בנשק ו</w:t>
      </w:r>
      <w:r>
        <w:rPr>
          <w:rFonts w:eastAsia="Calibri" w:cs="Century" w:ascii="Century" w:hAnsi="Century"/>
          <w:sz w:val="22"/>
          <w:rtl w:val="true"/>
        </w:rPr>
        <w:t>/</w:t>
      </w:r>
      <w:r>
        <w:rPr>
          <w:rFonts w:ascii="Century" w:hAnsi="Century" w:eastAsia="Calibri" w:cs="Century"/>
          <w:sz w:val="22"/>
          <w:sz w:val="22"/>
          <w:rtl w:val="true"/>
        </w:rPr>
        <w:t>או עבירות אלימות מסוג פשע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ופיצוי בסך </w:t>
      </w:r>
      <w:r>
        <w:rPr>
          <w:rFonts w:eastAsia="Calibri" w:cs="Century" w:ascii="Century" w:hAnsi="Century"/>
          <w:sz w:val="22"/>
        </w:rPr>
        <w:t>20,000</w:t>
      </w:r>
      <w:r>
        <w:rPr>
          <w:rFonts w:eastAsia="Calibri" w:cs="Century" w:ascii="Century" w:hAnsi="Century"/>
          <w:sz w:val="22"/>
          <w:rtl w:val="true"/>
        </w:rPr>
        <w:t xml:space="preserve"> ₪ </w:t>
      </w:r>
      <w:r>
        <w:rPr>
          <w:rFonts w:ascii="Century" w:hAnsi="Century" w:eastAsia="Calibri" w:cs="Century"/>
          <w:sz w:val="22"/>
          <w:sz w:val="22"/>
          <w:rtl w:val="true"/>
        </w:rPr>
        <w:t>למתלונן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entury" w:hAnsi="Century" w:eastAsia="Calibri" w:cs="Century"/>
          <w:spacing w:val="10"/>
          <w:sz w:val="22"/>
          <w:szCs w:val="28"/>
        </w:rPr>
      </w:pPr>
      <w:r>
        <w:rPr>
          <w:rFonts w:eastAsia="Calibri" w:cs="Century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הערעור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2"/>
        </w:numPr>
        <w:overflowPunct w:val="false"/>
        <w:autoSpaceDE w:val="false"/>
        <w:ind w:hanging="0" w:start="0" w:end="0"/>
        <w:jc w:val="both"/>
        <w:textAlignment w:val="baseline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הערעור מכוון נגד ההרשעה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ולחלופין נגד חומרת העונש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בערעורו על ההרשעה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טוען המערער כי העבירות בהן הורשע לא הוכחו מעבר לספק סביר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וזאת בשל מספר נימוקים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ובעיקר בשל מתן האמון בעדותו של המתלונן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נטען כי עדותו של המתלונן לוקה בסתירות מרכזיות שיש בהן כדי להטות את הכף לטובת המערער</w:t>
      </w:r>
      <w:r>
        <w:rPr>
          <w:rFonts w:eastAsia="Calibri" w:cs="Century" w:ascii="Century" w:hAnsi="Century"/>
          <w:sz w:val="22"/>
          <w:rtl w:val="true"/>
        </w:rPr>
        <w:t xml:space="preserve">: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המתלונן אמר למוקד </w:t>
      </w:r>
      <w:r>
        <w:rPr>
          <w:rFonts w:eastAsia="Calibri" w:cs="Century" w:ascii="Century" w:hAnsi="Century"/>
          <w:sz w:val="22"/>
        </w:rPr>
        <w:t>100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כי תקפו אותו עם סכינים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אך הודה בעדותו כי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שיערתי לעצמי שאולי הוא בא עם סכין אבל לא היה לו סכין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אמרתי את זה מלחץ</w:t>
      </w:r>
      <w:r>
        <w:rPr>
          <w:rFonts w:eastAsia="Calibri" w:cs="Century" w:ascii="Century" w:hAnsi="Century"/>
          <w:sz w:val="22"/>
          <w:rtl w:val="true"/>
        </w:rPr>
        <w:t xml:space="preserve">";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המתלונן אינו נשמע מתנשף בשיחה למוקד </w:t>
      </w:r>
      <w:r>
        <w:rPr>
          <w:rFonts w:eastAsia="Calibri" w:cs="Century" w:ascii="Century" w:hAnsi="Century"/>
          <w:sz w:val="22"/>
        </w:rPr>
        <w:t>100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דבר שאינו מתיישב עם טענתו כי רץ מהחורשה ועלה </w:t>
      </w:r>
      <w:r>
        <w:rPr>
          <w:rFonts w:eastAsia="Calibri" w:cs="Century" w:ascii="Century" w:hAnsi="Century"/>
          <w:sz w:val="22"/>
        </w:rPr>
        <w:t>4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קומות ברגל ומיד קיים את שיחת הטלפון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>תמונות הנשק המאולתר מסוג קרלו שנמצא מלמדות כי אין מדובר באקדח כפי שמסר המתלונן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>ובעוד שהמתלונן סירב למסור את שמות הנוכחים בקטטה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במהלך פרשת ההגנה הגיעו שלושה עדים שהיו באירוע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ותיארו אותו באופן דומה ביניהם ובסתירה גמורה לתיאורו של המתלונן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נטען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בנוגע לתלונה בגין הטרדת עד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המתלונן הגיש בעבר תלונות על בני משפחתו של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ובמסגרת ריענון טרם עדותו סיפר על מקרים שלא נמנו בכתב האישום</w:t>
      </w:r>
      <w:r>
        <w:rPr>
          <w:rFonts w:eastAsia="Calibri" w:cs="Century" w:ascii="Century" w:hAnsi="Century"/>
          <w:sz w:val="22"/>
          <w:rtl w:val="true"/>
        </w:rPr>
        <w:t>, "</w:t>
      </w:r>
      <w:r>
        <w:rPr>
          <w:rFonts w:ascii="Century" w:hAnsi="Century" w:eastAsia="Calibri" w:cs="Century"/>
          <w:sz w:val="22"/>
          <w:sz w:val="22"/>
          <w:rtl w:val="true"/>
        </w:rPr>
        <w:t>דבר שלא מתיישב עם אדם מפוחד אשר מפחד לפצות את פיו על המערער או בני משפחתו</w:t>
      </w:r>
      <w:r>
        <w:rPr>
          <w:rFonts w:eastAsia="Calibri" w:cs="Century" w:ascii="Century" w:hAnsi="Century"/>
          <w:sz w:val="22"/>
          <w:rtl w:val="true"/>
        </w:rPr>
        <w:t>".</w:t>
      </w:r>
    </w:p>
    <w:p>
      <w:pPr>
        <w:pStyle w:val="Ruller42"/>
        <w:numPr>
          <w:ilvl w:val="0"/>
          <w:numId w:val="0"/>
        </w:numPr>
        <w:overflowPunct w:val="false"/>
        <w:autoSpaceDE w:val="false"/>
        <w:ind w:hanging="0" w:start="0" w:end="0"/>
        <w:jc w:val="both"/>
        <w:textAlignment w:val="baseline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overflowPunct w:val="false"/>
        <w:autoSpaceDE w:val="false"/>
        <w:ind w:firstLine="360" w:start="0" w:end="0"/>
        <w:jc w:val="both"/>
        <w:textAlignment w:val="baseline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עוד טוען המערער לשגיאות נוספות בהכרעת הדין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לטענתו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לא היה מקום לתת משקל כלשהו לעדות אמו של המתלונן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עדות שלא התיישבה עם העובדה כי יתר השכנים שמתגוררים באותו בניין טענו כי לא שמעו דבר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ומנגד </w:t>
      </w:r>
      <w:r>
        <w:rPr>
          <w:rFonts w:eastAsia="Calibri" w:cs="Century" w:ascii="Century" w:hAnsi="Century"/>
          <w:sz w:val="22"/>
          <w:rtl w:val="true"/>
        </w:rPr>
        <w:t xml:space="preserve">- </w:t>
      </w:r>
      <w:r>
        <w:rPr>
          <w:rFonts w:ascii="Century" w:hAnsi="Century" w:eastAsia="Calibri" w:cs="Century"/>
          <w:sz w:val="22"/>
          <w:sz w:val="22"/>
          <w:rtl w:val="true"/>
        </w:rPr>
        <w:t>כי היה מקום לתת משקל ממשי למצבו הנפשי של המתלונן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ולאפשר לבא</w:t>
      </w:r>
      <w:r>
        <w:rPr>
          <w:rFonts w:eastAsia="Calibri" w:cs="Century" w:ascii="Century" w:hAnsi="Century"/>
          <w:sz w:val="22"/>
          <w:rtl w:val="true"/>
        </w:rPr>
        <w:t>-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כוח המערער להגיש פרוטוקול דיון בבקשה לצו הטרדה מאיימת מאוקטובר </w:t>
      </w:r>
      <w:r>
        <w:rPr>
          <w:rFonts w:eastAsia="Calibri" w:cs="Century" w:ascii="Century" w:hAnsi="Century"/>
          <w:sz w:val="22"/>
        </w:rPr>
        <w:t>2019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מהתקופה בה התנהל משפטו של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ממנו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עולה תמונה מטרידה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>בעניין מצבו של המתלונן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נטען למחדלי חקירה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דוגמת היעדרה של חקירה של עדי ראייה לקטטה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וכן של האדם שבסמוך אליו נמצא הנשק המאולתר ששויך לאירוע</w:t>
      </w:r>
      <w:r>
        <w:rPr>
          <w:rFonts w:eastAsia="Calibri"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overflowPunct w:val="false"/>
        <w:autoSpaceDE w:val="false"/>
        <w:ind w:hanging="0" w:start="0" w:end="0"/>
        <w:jc w:val="both"/>
        <w:textAlignment w:val="baseline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לחלופין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עותר המערער להקלה בעונשו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נטען כי שגה בית משפט קמא בקביעת מתחם ענישה כה חמור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אשר אינו מתיישב עם פסיקה בעניינים דומים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תוך שהתעלם מכך שמדובר בירייה אחת בלבד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אשר לא פגעה באדם או ברכוש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ומכך שהחבלות שנגרמו למתלונן מאירוע הקטטה הן שטחיות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שלא הצדיקו אשפוז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>כן נטען כי בקביעת עונשו של המערער לא ניתן משקל מספק לנסיבותיו האישיות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ובהן גילו הצעיר </w:t>
      </w:r>
      <w:r>
        <w:rPr>
          <w:rFonts w:eastAsia="Calibri" w:cs="Century" w:ascii="Century" w:hAnsi="Century"/>
          <w:sz w:val="22"/>
          <w:rtl w:val="true"/>
        </w:rPr>
        <w:t>(</w:t>
      </w:r>
      <w:r>
        <w:rPr>
          <w:rFonts w:eastAsia="Calibri" w:cs="Century" w:ascii="Century" w:hAnsi="Century"/>
          <w:sz w:val="22"/>
        </w:rPr>
        <w:t>32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שנים</w:t>
      </w:r>
      <w:r>
        <w:rPr>
          <w:rFonts w:eastAsia="Calibri" w:cs="Century" w:ascii="Century" w:hAnsi="Century"/>
          <w:sz w:val="22"/>
          <w:rtl w:val="true"/>
        </w:rPr>
        <w:t xml:space="preserve">),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העובדה שהוא בן למשפחה בת </w:t>
      </w:r>
      <w:r>
        <w:rPr>
          <w:rFonts w:eastAsia="Calibri" w:cs="Century" w:ascii="Century" w:hAnsi="Century"/>
          <w:sz w:val="22"/>
        </w:rPr>
        <w:t>10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נפשות והקושי הכלכלי שהוא חווה בחייו</w:t>
      </w:r>
      <w:r>
        <w:rPr>
          <w:rFonts w:eastAsia="Calibri" w:cs="Century" w:ascii="Century" w:hAnsi="Century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eastAsia="Calibri" w:cs="Century"/>
          <w:spacing w:val="10"/>
          <w:sz w:val="22"/>
          <w:szCs w:val="28"/>
        </w:rPr>
      </w:pPr>
      <w:r>
        <w:rPr>
          <w:rFonts w:eastAsia="Calibri"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בעיקרי הטיעון מטעמה</w:t>
      </w:r>
      <w:r>
        <w:rPr>
          <w:rtl w:val="true"/>
        </w:rPr>
        <w:t xml:space="preserve">, </w:t>
      </w:r>
      <w:r>
        <w:rPr>
          <w:rtl w:val="true"/>
        </w:rPr>
        <w:t>המדינה סומכת את ידיה על 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וטוענת כי יש 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. </w:t>
      </w:r>
      <w:r>
        <w:rPr>
          <w:rtl w:val="true"/>
        </w:rPr>
        <w:t>הודגש כי הערעור על הכרעת הדין מכוון נגד ממצאי מהימנות מובהקים</w:t>
      </w:r>
      <w:r>
        <w:rPr>
          <w:rtl w:val="true"/>
        </w:rPr>
        <w:t xml:space="preserve">, </w:t>
      </w:r>
      <w:r>
        <w:rPr>
          <w:rtl w:val="true"/>
        </w:rPr>
        <w:t>ובכלל זאת הקביעה כי עדותו של המתלונן אמינה ועקבית</w:t>
      </w:r>
      <w:r>
        <w:rPr>
          <w:rtl w:val="true"/>
        </w:rPr>
        <w:t xml:space="preserve">, </w:t>
      </w:r>
      <w:r>
        <w:rPr>
          <w:rtl w:val="true"/>
        </w:rPr>
        <w:t>בעוד גרסאות המערער סותרות ושקריות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הובהר בנוגע לשיחה עם מוקד </w:t>
      </w:r>
      <w:r>
        <w:rPr/>
        <w:t>100</w:t>
      </w:r>
      <w:r>
        <w:rPr>
          <w:rtl w:val="true"/>
        </w:rPr>
        <w:t xml:space="preserve">, </w:t>
      </w:r>
      <w:r>
        <w:rPr>
          <w:rtl w:val="true"/>
        </w:rPr>
        <w:t>כי המתלונן חזר בו מתיאור הסכינים כבר במהלך החקירה במשטרה</w:t>
      </w:r>
      <w:r>
        <w:rPr>
          <w:rtl w:val="true"/>
        </w:rPr>
        <w:t xml:space="preserve">, </w:t>
      </w:r>
      <w:r>
        <w:rPr>
          <w:rtl w:val="true"/>
        </w:rPr>
        <w:t>שם הבהיר כי אמר זאת למוקד מתוך סערת רגשות</w:t>
      </w:r>
      <w:r>
        <w:rPr>
          <w:rtl w:val="true"/>
        </w:rPr>
        <w:t xml:space="preserve">. </w:t>
      </w:r>
      <w:r>
        <w:rPr>
          <w:rtl w:val="true"/>
        </w:rPr>
        <w:t xml:space="preserve">כן הסביר המתלונן בעדותו מדוע לא התקשר למשטרה מיד כשנכנס הביתה </w:t>
      </w:r>
      <w:r>
        <w:rPr>
          <w:rtl w:val="true"/>
        </w:rPr>
        <w:t>–</w:t>
      </w:r>
      <w:r>
        <w:rPr>
          <w:rtl w:val="true"/>
        </w:rPr>
        <w:t xml:space="preserve"> הוא קודם ניגש לחדרו והביט בחלון כדי לראות אם קורה משהו</w:t>
      </w:r>
      <w:r>
        <w:rPr>
          <w:rtl w:val="true"/>
        </w:rPr>
        <w:t xml:space="preserve">, </w:t>
      </w:r>
      <w:r>
        <w:rPr>
          <w:rtl w:val="true"/>
        </w:rPr>
        <w:t>ובהמשך ניגש למטבח ושקל האם עליו להצטייד בחפץ כלשהו להגנה עצמית</w:t>
      </w:r>
      <w:r>
        <w:rPr>
          <w:rtl w:val="true"/>
        </w:rPr>
        <w:t xml:space="preserve">. </w:t>
      </w:r>
      <w:r>
        <w:rPr>
          <w:rtl w:val="true"/>
        </w:rPr>
        <w:t>נטען כי דברים אלו מסבירים מדוע לא נשמע המתלונן מתנשף בשיחה למוקד</w:t>
      </w:r>
      <w:r>
        <w:rPr>
          <w:rtl w:val="true"/>
        </w:rPr>
        <w:t xml:space="preserve">, </w:t>
      </w:r>
      <w:r>
        <w:rPr>
          <w:rtl w:val="true"/>
        </w:rPr>
        <w:t>ומכל מקום בית המשפט קבע כי מדובר בנקודה שולית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אשר לתלונה המאוחרת בגין הטרדת עד</w:t>
      </w:r>
      <w:r>
        <w:rPr>
          <w:rtl w:val="true"/>
        </w:rPr>
        <w:t xml:space="preserve">, </w:t>
      </w:r>
      <w:r>
        <w:rPr>
          <w:rtl w:val="true"/>
        </w:rPr>
        <w:t>הוזכר כי חששו הכבד של המתלונן מהמערער ניכר היטב</w:t>
      </w:r>
      <w:r>
        <w:rPr>
          <w:rtl w:val="true"/>
        </w:rPr>
        <w:t xml:space="preserve">, </w:t>
      </w:r>
      <w:r>
        <w:rPr>
          <w:rtl w:val="true"/>
        </w:rPr>
        <w:t xml:space="preserve">והסברו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 xml:space="preserve">שאני מפחד להדליק את העניינים והמשטרה לא איתי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 xml:space="preserve">הם לא יכולים לשמור עלי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אז יש גם את השיקולים שלי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מניח את הדעת</w:t>
      </w:r>
      <w:r>
        <w:rPr>
          <w:rtl w:val="true"/>
        </w:rPr>
        <w:t xml:space="preserve">. </w:t>
      </w:r>
      <w:r>
        <w:rPr>
          <w:rtl w:val="true"/>
        </w:rPr>
        <w:t>המשיבה הדגישה כי חששו של המתלונן לא היה חשש בעלמא</w:t>
      </w:r>
      <w:r>
        <w:rPr>
          <w:rtl w:val="true"/>
        </w:rPr>
        <w:t xml:space="preserve">, </w:t>
      </w:r>
      <w:r>
        <w:rPr>
          <w:rtl w:val="true"/>
        </w:rPr>
        <w:t>דבר שעלה מהצעקות שהופנו אליו בזמן השחזור</w:t>
      </w:r>
      <w:r>
        <w:rPr>
          <w:rtl w:val="true"/>
        </w:rPr>
        <w:t xml:space="preserve">, </w:t>
      </w:r>
      <w:r>
        <w:rPr>
          <w:rtl w:val="true"/>
        </w:rPr>
        <w:t>למרות נוכחותם של השוטרים במקום</w:t>
      </w:r>
      <w:r>
        <w:rPr>
          <w:rtl w:val="true"/>
        </w:rPr>
        <w:t>: "</w:t>
      </w:r>
      <w:r>
        <w:rPr>
          <w:rtl w:val="true"/>
        </w:rPr>
        <w:t>יה שוטר</w:t>
      </w:r>
      <w:r>
        <w:rPr>
          <w:rtl w:val="true"/>
        </w:rPr>
        <w:t xml:space="preserve">, </w:t>
      </w:r>
      <w:r>
        <w:rPr>
          <w:rtl w:val="true"/>
        </w:rPr>
        <w:t>יה מניאק</w:t>
      </w:r>
      <w:r>
        <w:rPr>
          <w:rtl w:val="true"/>
        </w:rPr>
        <w:t xml:space="preserve">, </w:t>
      </w:r>
      <w:r>
        <w:rPr>
          <w:rtl w:val="true"/>
        </w:rPr>
        <w:t>יה מלשין</w:t>
      </w:r>
      <w:r>
        <w:rPr>
          <w:rtl w:val="true"/>
        </w:rPr>
        <w:t xml:space="preserve">", </w:t>
      </w:r>
      <w:r>
        <w:rPr>
          <w:rtl w:val="true"/>
        </w:rPr>
        <w:t>וכך גם מאירוע הנקמה האכזרי שבו נדקר המתלונן על</w:t>
      </w:r>
      <w:r>
        <w:rPr>
          <w:rtl w:val="true"/>
        </w:rPr>
        <w:t>-</w:t>
      </w:r>
      <w:r>
        <w:rPr>
          <w:rtl w:val="true"/>
        </w:rPr>
        <w:t>ידי אחיו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קנה </w:t>
      </w:r>
      <w:r>
        <w:rPr>
          <w:rtl w:val="true"/>
        </w:rPr>
        <w:t>(</w:t>
      </w:r>
      <w:r>
        <w:rPr>
          <w:rtl w:val="true"/>
        </w:rPr>
        <w:t>בני</w:t>
      </w:r>
      <w:r>
        <w:rPr>
          <w:rtl w:val="true"/>
        </w:rPr>
        <w:t xml:space="preserve">), </w:t>
      </w:r>
      <w:r>
        <w:rPr>
          <w:rtl w:val="true"/>
        </w:rPr>
        <w:t xml:space="preserve">רק כשבוע לאחר שהעיד נגד המערער </w:t>
      </w:r>
      <w:r>
        <w:rPr>
          <w:rtl w:val="true"/>
        </w:rPr>
        <w:t>(</w:t>
      </w:r>
      <w:r>
        <w:rPr>
          <w:rtl w:val="true"/>
        </w:rPr>
        <w:t>צוין כי לאחרונה האח קנה הורשע במיוחס לו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אשר לטענות בנוגע לאירוע הירי</w:t>
      </w:r>
      <w:r>
        <w:rPr>
          <w:rtl w:val="true"/>
        </w:rPr>
        <w:t xml:space="preserve">, </w:t>
      </w:r>
      <w:r>
        <w:rPr>
          <w:rtl w:val="true"/>
        </w:rPr>
        <w:t>הודגש כי אירוע זה המיוחס למערער מבוסס בעיקרו על עדות המתלונן שנמצאה כאמור מהימנה ומדויקת</w:t>
      </w:r>
      <w:r>
        <w:rPr>
          <w:rtl w:val="true"/>
        </w:rPr>
        <w:t xml:space="preserve">, </w:t>
      </w:r>
      <w:r>
        <w:rPr>
          <w:rtl w:val="true"/>
        </w:rPr>
        <w:t>ונתמכה בחיזוקים משמעותיים</w:t>
      </w:r>
      <w:r>
        <w:rPr>
          <w:rtl w:val="true"/>
        </w:rPr>
        <w:t xml:space="preserve">. </w:t>
      </w:r>
      <w:r>
        <w:rPr>
          <w:rtl w:val="true"/>
        </w:rPr>
        <w:t>אשר לטענות סביב עדי ההגנה מטעם המערער</w:t>
      </w:r>
      <w:r>
        <w:rPr>
          <w:rtl w:val="true"/>
        </w:rPr>
        <w:t xml:space="preserve">, </w:t>
      </w:r>
      <w:r>
        <w:rPr>
          <w:rtl w:val="true"/>
        </w:rPr>
        <w:t>הודגש כי בא</w:t>
      </w:r>
      <w:r>
        <w:rPr>
          <w:rtl w:val="true"/>
        </w:rPr>
        <w:t>-</w:t>
      </w:r>
      <w:r>
        <w:rPr>
          <w:rtl w:val="true"/>
        </w:rPr>
        <w:t>כוח המערער כלל לא עימת את המתלונן ואת עדי התביעה הרלבנטיים עם גרסאות עדים אלה</w:t>
      </w:r>
      <w:r>
        <w:rPr>
          <w:rtl w:val="true"/>
        </w:rPr>
        <w:t xml:space="preserve">, </w:t>
      </w:r>
      <w:r>
        <w:rPr>
          <w:rtl w:val="true"/>
        </w:rPr>
        <w:t>שהוצגו לראשונה רק בפרשת ההגנה</w:t>
      </w:r>
      <w:r>
        <w:rPr>
          <w:rtl w:val="true"/>
        </w:rPr>
        <w:t xml:space="preserve">. </w:t>
      </w:r>
      <w:r>
        <w:rPr>
          <w:rtl w:val="true"/>
        </w:rPr>
        <w:t>מעבר לנדרש</w:t>
      </w:r>
      <w:r>
        <w:rPr>
          <w:rtl w:val="true"/>
        </w:rPr>
        <w:t xml:space="preserve">, </w:t>
      </w:r>
      <w:r>
        <w:rPr>
          <w:rtl w:val="true"/>
        </w:rPr>
        <w:t>נטען בין היתר כי בניגוד לגרסת המערער</w:t>
      </w:r>
      <w:r>
        <w:rPr>
          <w:rtl w:val="true"/>
        </w:rPr>
        <w:t xml:space="preserve">, </w:t>
      </w:r>
      <w:r>
        <w:rPr>
          <w:rtl w:val="true"/>
        </w:rPr>
        <w:t>העד אלמו שלל כי המערער דימם לאחר האירוע בחורשה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כן ביקשה המדינה לדחות את טענות המערער בדבר מחדלי חקירה</w:t>
      </w:r>
      <w:r>
        <w:rPr>
          <w:rtl w:val="true"/>
        </w:rPr>
        <w:t xml:space="preserve">, </w:t>
      </w:r>
      <w:r>
        <w:rPr>
          <w:rtl w:val="true"/>
        </w:rPr>
        <w:t>ובכלל זאת אי חקירתו של בנטה מלקה ביחס לאירוע הירי המיוחס למערער</w:t>
      </w:r>
      <w:r>
        <w:rPr>
          <w:rtl w:val="true"/>
        </w:rPr>
        <w:t xml:space="preserve">. </w:t>
      </w:r>
      <w:r>
        <w:rPr>
          <w:rtl w:val="true"/>
        </w:rPr>
        <w:t>הוסבר כי נוכח זיהויו הוודאי של המתלונן את המערער</w:t>
      </w:r>
      <w:r>
        <w:rPr>
          <w:rtl w:val="true"/>
        </w:rPr>
        <w:t xml:space="preserve">, </w:t>
      </w:r>
      <w:r>
        <w:rPr>
          <w:rtl w:val="true"/>
        </w:rPr>
        <w:t>המוכר לו היטב</w:t>
      </w:r>
      <w:r>
        <w:rPr>
          <w:rtl w:val="true"/>
        </w:rPr>
        <w:t xml:space="preserve">, </w:t>
      </w:r>
      <w:r>
        <w:rPr>
          <w:rtl w:val="true"/>
        </w:rPr>
        <w:t>כמי שביצע את הירי</w:t>
      </w:r>
      <w:r>
        <w:rPr>
          <w:rtl w:val="true"/>
        </w:rPr>
        <w:t xml:space="preserve">, </w:t>
      </w:r>
      <w:r>
        <w:rPr>
          <w:rtl w:val="true"/>
        </w:rPr>
        <w:t>לא הייתה כל סיבה לחזור ולחקור את מלקה לאחר מציאת ההתאמה בין הנשק לתרמיל</w:t>
      </w:r>
      <w:r>
        <w:rPr>
          <w:rtl w:val="true"/>
        </w:rPr>
        <w:t xml:space="preserve">, </w:t>
      </w:r>
      <w:r>
        <w:rPr>
          <w:rtl w:val="true"/>
        </w:rPr>
        <w:t>בוודאי בהתחשב בכך שהנשק נתפס לאחר שכבר הוגש כתב אישום נגד המערער</w:t>
      </w:r>
      <w:r>
        <w:rPr>
          <w:rtl w:val="true"/>
        </w:rPr>
        <w:t xml:space="preserve">. </w:t>
      </w:r>
      <w:r>
        <w:rPr>
          <w:rtl w:val="true"/>
        </w:rPr>
        <w:t>גם באשר לעונש</w:t>
      </w:r>
      <w:r>
        <w:rPr>
          <w:rtl w:val="true"/>
        </w:rPr>
        <w:t xml:space="preserve">, </w:t>
      </w:r>
      <w:r>
        <w:rPr>
          <w:rtl w:val="true"/>
        </w:rPr>
        <w:t>המדינה סבורה כי גזר הדין מנומק היטב ואינו מחסיר דבר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בדיון שנערך בפנינו ביום </w:t>
      </w:r>
      <w:r>
        <w:rPr/>
        <w:t>25.1.2021</w:t>
      </w:r>
      <w:r>
        <w:rPr>
          <w:rtl w:val="true"/>
        </w:rPr>
        <w:t xml:space="preserve"> </w:t>
      </w:r>
      <w:r>
        <w:rPr>
          <w:rtl w:val="true"/>
        </w:rPr>
        <w:t>חזרו באי כוח הצדדים על עיקרי טענותיהם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ביקש להדגיש את סירובו של המתלונן למסור שמות של הנוכחים באירוע התקיפה בחורשה</w:t>
      </w:r>
      <w:r>
        <w:rPr>
          <w:rtl w:val="true"/>
        </w:rPr>
        <w:t xml:space="preserve">, </w:t>
      </w:r>
      <w:r>
        <w:rPr>
          <w:rtl w:val="true"/>
        </w:rPr>
        <w:t xml:space="preserve">ותהה </w:t>
      </w:r>
      <w:r>
        <w:rPr>
          <w:rtl w:val="true"/>
        </w:rPr>
        <w:t>"</w:t>
      </w:r>
      <w:r>
        <w:rPr>
          <w:rtl w:val="true"/>
        </w:rPr>
        <w:t>האם כי הוא חושש להם</w:t>
      </w:r>
      <w:r>
        <w:rPr>
          <w:rtl w:val="true"/>
        </w:rPr>
        <w:t xml:space="preserve">, </w:t>
      </w:r>
      <w:r>
        <w:rPr>
          <w:rtl w:val="true"/>
        </w:rPr>
        <w:t>או כי הוא חושש שיאמרו את מה שבאמת היה שם</w:t>
      </w:r>
      <w:r>
        <w:rPr>
          <w:rtl w:val="true"/>
        </w:rPr>
        <w:t xml:space="preserve">"?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שעה שההגנה דאגה להביא עדי ראייה אשר סיפרו על הקטטה שהתרחשה</w:t>
      </w:r>
      <w:r>
        <w:rPr>
          <w:rtl w:val="true"/>
        </w:rPr>
        <w:t xml:space="preserve">.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בנוגע לירי</w:t>
      </w:r>
      <w:r>
        <w:rPr>
          <w:rtl w:val="true"/>
        </w:rPr>
        <w:t xml:space="preserve">, </w:t>
      </w:r>
      <w:r>
        <w:rPr>
          <w:rtl w:val="true"/>
        </w:rPr>
        <w:t xml:space="preserve">כי אנשים מבוגרים בשכונה שנשאלו על האירוע </w:t>
      </w:r>
      <w:r>
        <w:rPr>
          <w:rtl w:val="true"/>
        </w:rPr>
        <w:t>"</w:t>
      </w:r>
      <w:r>
        <w:rPr>
          <w:rtl w:val="true"/>
        </w:rPr>
        <w:t>אמרו חד וחלק</w:t>
      </w:r>
      <w:r>
        <w:rPr>
          <w:rtl w:val="true"/>
        </w:rPr>
        <w:t xml:space="preserve">, </w:t>
      </w:r>
      <w:r>
        <w:rPr>
          <w:rtl w:val="true"/>
        </w:rPr>
        <w:t>לא ראינו לא שמענו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העונש שנגזר על המערער חמור ביותר</w:t>
      </w:r>
      <w:r>
        <w:rPr>
          <w:rtl w:val="true"/>
        </w:rPr>
        <w:t xml:space="preserve">, </w:t>
      </w:r>
      <w:r>
        <w:rPr>
          <w:rtl w:val="true"/>
        </w:rPr>
        <w:t>בהתחשב בכך שמדובר בירייה בודדת לאוויר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tl w:val="true"/>
        </w:rPr>
        <w:t>"</w:t>
      </w:r>
      <w:r>
        <w:rPr>
          <w:rtl w:val="true"/>
        </w:rPr>
        <w:t>לא הייתה סכנה לציבור</w:t>
      </w:r>
      <w:r>
        <w:rPr>
          <w:rtl w:val="true"/>
        </w:rPr>
        <w:t xml:space="preserve">" </w:t>
      </w:r>
      <w:r>
        <w:rPr>
          <w:rtl w:val="true"/>
        </w:rPr>
        <w:t>ולא נגרם נזק לאדם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spacing w:val="6"/>
          <w:rtl w:val="true"/>
        </w:rPr>
        <w:t>איתי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מתעסקים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עלינו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מלשינים</w:t>
      </w:r>
      <w:r>
        <w:rPr>
          <w:rtl w:val="true"/>
        </w:rPr>
        <w:t xml:space="preserve">",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למחירים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בביטחונו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המושתתת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spacing w:lineRule="auto" w:line="600"/>
        <w:ind w:end="0"/>
        <w:jc w:val="both"/>
        <w:rPr>
          <w:rFonts w:ascii="Century" w:hAnsi="Century"/>
          <w:bCs/>
          <w:spacing w:val="0"/>
          <w:sz w:val="26"/>
          <w:szCs w:val="26"/>
        </w:rPr>
      </w:pPr>
      <w:r>
        <w:rPr>
          <w:rFonts w:ascii="Century" w:hAnsi="Century" w:cs="Miriam"/>
          <w:bCs/>
          <w:spacing w:val="0"/>
          <w:sz w:val="26"/>
          <w:sz w:val="26"/>
          <w:szCs w:val="26"/>
          <w:rtl w:val="true"/>
        </w:rPr>
        <w:t>דיון</w:t>
      </w:r>
      <w:r>
        <w:rPr>
          <w:rFonts w:ascii="Century" w:hAnsi="Century" w:eastAsia="Century" w:cs="Century"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6"/>
          <w:sz w:val="26"/>
          <w:szCs w:val="26"/>
          <w:rtl w:val="true"/>
        </w:rPr>
        <w:t>והכרעה</w:t>
      </w:r>
    </w:p>
    <w:p>
      <w:pPr>
        <w:pStyle w:val="Ruller41"/>
        <w:numPr>
          <w:ilvl w:val="0"/>
          <w:numId w:val="3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/>
      </w:pPr>
      <w:r>
        <w:rPr>
          <w:rtl w:val="true"/>
        </w:rPr>
        <w:t>הערעור על הכרעת הדין מכוון בעיקרו נגד ממצאי עובדה ומהימנות שקבע בית משפט קמא</w:t>
      </w:r>
      <w:r>
        <w:rPr>
          <w:rtl w:val="true"/>
        </w:rPr>
        <w:t xml:space="preserve">, </w:t>
      </w:r>
      <w:r>
        <w:rPr>
          <w:rtl w:val="true"/>
        </w:rPr>
        <w:t>אשר העדיף את גרסת המתלונן</w:t>
      </w:r>
      <w:r>
        <w:rPr>
          <w:rtl w:val="true"/>
        </w:rPr>
        <w:t xml:space="preserve">, </w:t>
      </w:r>
      <w:r>
        <w:rPr>
          <w:rtl w:val="true"/>
        </w:rPr>
        <w:t>שנתמכה כאמור בראיות נוספות</w:t>
      </w:r>
      <w:r>
        <w:rPr>
          <w:rtl w:val="true"/>
        </w:rPr>
        <w:t xml:space="preserve">, </w:t>
      </w:r>
      <w:r>
        <w:rPr>
          <w:rtl w:val="true"/>
        </w:rPr>
        <w:t>על פני גרסתו של המערער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אין זה מדרכה </w:t>
      </w:r>
      <w:r>
        <w:rPr>
          <w:rtl w:val="true"/>
        </w:rPr>
        <w:t>של ערכאת הערעור להתערב בקביעות שבעובדה ובממצאי</w:t>
      </w:r>
      <w:r>
        <w:rPr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 xml:space="preserve">אלא במקרים חריגים בהם קביעותיה של הערכאה </w:t>
      </w:r>
      <w:r>
        <w:rPr>
          <w:rtl w:val="true"/>
        </w:rPr>
        <w:t>הדיונית</w:t>
      </w:r>
      <w:r>
        <w:rPr>
          <w:sz w:val="28"/>
          <w:sz w:val="28"/>
          <w:rtl w:val="true"/>
        </w:rPr>
        <w:t xml:space="preserve"> אינן סבירות בעליל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כאשר נפלה בהן טעות מהותית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הברורה על פני </w:t>
      </w:r>
      <w:r>
        <w:rPr>
          <w:rtl w:val="true"/>
        </w:rPr>
        <w:t>הדברים</w:t>
      </w:r>
      <w:r>
        <w:rPr>
          <w:rtl w:val="true"/>
        </w:rPr>
        <w:t xml:space="preserve">; </w:t>
      </w:r>
      <w:r>
        <w:rPr>
          <w:rtl w:val="true"/>
        </w:rPr>
        <w:t>או כאשר מדובר בהכרעה המבוססת על ראיות חפציות או על שיקולים שבהיגיון</w:t>
      </w:r>
      <w:r>
        <w:rPr>
          <w:rtl w:val="true"/>
        </w:rPr>
        <w:t xml:space="preserve">, </w:t>
      </w:r>
      <w:r>
        <w:rPr>
          <w:rtl w:val="true"/>
        </w:rPr>
        <w:t xml:space="preserve">שבהם אין לערכאה הדיונית יתרון על פני ערכאת הערעור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11.2.2021</w:t>
      </w:r>
      <w:r>
        <w:rPr>
          <w:rtl w:val="true"/>
        </w:rPr>
        <w:t xml:space="preserve">);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6295/05</w:t>
        </w:r>
        <w:r>
          <w:rPr>
            <w:rStyle w:val="Hyperlink"/>
            <w:rtl w:val="true"/>
          </w:rPr>
          <w:t>‏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25.1.2007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10.7.2013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ולעריכת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שיפורים</w:t>
      </w:r>
      <w:r>
        <w:rPr>
          <w:rtl w:val="true"/>
        </w:rPr>
        <w:t xml:space="preserve">'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נקבעת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שבידיה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ביקורתה</w:t>
      </w:r>
      <w:r>
        <w:rPr>
          <w:rtl w:val="true"/>
        </w:rPr>
        <w:t xml:space="preserve">.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' </w:t>
      </w:r>
      <w:r>
        <w:rPr>
          <w:rtl w:val="true"/>
        </w:rPr>
        <w:t>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אפשריים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..." </w:t>
      </w:r>
      <w:r>
        <w:rPr>
          <w:rFonts w:cs="Century" w:ascii="Century" w:hAnsi="Century"/>
          <w:rtl w:val="true"/>
        </w:rPr>
        <w:t>(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3338/99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פקוביץ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</w:rPr>
        <w:t>20.12.2000</w:t>
      </w:r>
      <w:r>
        <w:rPr>
          <w:b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Heading5"/>
        <w:bidi w:val="1"/>
        <w:spacing w:lineRule="auto" w:line="276" w:before="0" w:after="0"/>
        <w:ind w:hanging="0" w:start="0" w:end="0"/>
        <w:jc w:val="start"/>
        <w:rPr>
          <w:rFonts w:ascii="Century" w:hAnsi="Century" w:cs="FrankRuehl;Times New Roman"/>
          <w:color w:val="000000"/>
          <w:spacing w:val="10"/>
          <w:sz w:val="22"/>
          <w:szCs w:val="28"/>
        </w:rPr>
      </w:pPr>
      <w:r>
        <w:rPr>
          <w:rFonts w:cs="FrankRuehl;Times New Roman" w:ascii="Century" w:hAnsi="Century"/>
          <w:color w:val="000000"/>
          <w:spacing w:val="10"/>
          <w:sz w:val="22"/>
          <w:szCs w:val="28"/>
          <w:rtl w:val="true"/>
        </w:rPr>
      </w:r>
    </w:p>
    <w:p>
      <w:pPr>
        <w:pStyle w:val="Ruller41"/>
        <w:spacing w:lineRule="auto" w:line="276"/>
        <w:ind w:start="1644" w:end="1276"/>
        <w:jc w:val="both"/>
        <w:rPr>
          <w:rFonts w:ascii="Century" w:hAnsi="Century" w:cs="Century"/>
        </w:rPr>
      </w:pPr>
      <w:r>
        <w:rPr>
          <w:rStyle w:val="Ruller5"/>
          <w:rtl w:val="true"/>
        </w:rPr>
        <w:t>"</w:t>
      </w:r>
      <w:r>
        <w:rPr>
          <w:rStyle w:val="Ruller5"/>
          <w:rtl w:val="true"/>
        </w:rPr>
        <w:t>גם</w:t>
      </w:r>
      <w:r>
        <w:rPr>
          <w:rStyle w:val="Ruller5"/>
          <w:rFonts w:eastAsia="Arial TUR;Arial" w:cs="Arial TUR;Arial"/>
          <w:rtl w:val="true"/>
        </w:rPr>
        <w:t xml:space="preserve"> </w:t>
      </w:r>
      <w:r>
        <w:rPr>
          <w:rStyle w:val="Ruller5"/>
          <w:rtl w:val="true"/>
        </w:rPr>
        <w:t>אם</w:t>
      </w:r>
      <w:r>
        <w:rPr>
          <w:rFonts w:ascii="Times New Roman;Times New Roman" w:hAnsi="Times New Roman;Times New Roman" w:cs="Times New Roman;Times New Roman"/>
          <w:rtl w:val="true"/>
        </w:rPr>
        <w:t xml:space="preserve"> הערכאה הדיונית לא שמעה ראיות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לא תיטה ערכאת הערעור להתערב בקביעותיה העובדתיות של הערכאה הדיונית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שכן בשיטתנו המשפטית </w:t>
      </w:r>
      <w:r>
        <w:rPr>
          <w:rtl w:val="true"/>
        </w:rPr>
        <w:t>תפקידה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>' (</w:t>
      </w:r>
      <w:r>
        <w:rPr>
          <w:rFonts w:cs="Calibri" w:ascii="Calibri" w:hAnsi="Calibri"/>
          <w:spacing w:val="0"/>
          <w:sz w:val="24"/>
          <w:szCs w:val="20"/>
        </w:rPr>
        <w:t>rehearing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נקבעת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...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פררוגטיבה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"</w:t>
      </w:r>
      <w:r>
        <w:rPr>
          <w:rFonts w:cs="Times New Roman;Times New Roman" w:ascii="Times New Roman;Times New Roman" w:hAnsi="Times New Roman;Times New Roman"/>
          <w:rtl w:val="true"/>
        </w:rPr>
        <w:t xml:space="preserve"> (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1796/10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7.12.2011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spacing w:lineRule="auto" w:line="240"/>
        <w:ind w:start="1644" w:end="1276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tl w:val="true"/>
        </w:rPr>
        <w:tab/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1242-04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גמליאל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להשקעות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11.9.2006</w:t>
      </w:r>
      <w:r>
        <w:rPr>
          <w:rtl w:val="true"/>
        </w:rPr>
        <w:t>)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וכן בחוות דעתי </w:t>
      </w:r>
      <w:r>
        <w:rPr>
          <w:rFonts w:ascii="Century" w:hAnsi="Century" w:cs="Century"/>
          <w:rtl w:val="true"/>
        </w:rPr>
        <w:t>ב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3615-18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26.3.20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לאחר </w:t>
      </w:r>
      <w:r>
        <w:rPr>
          <w:rFonts w:ascii="Century" w:hAnsi="Century" w:cs="Century"/>
          <w:sz w:val="22"/>
          <w:sz w:val="22"/>
          <w:rtl w:val="true"/>
        </w:rPr>
        <w:t>בחינת טענות הצדדים על רקע פסק דינו של בית משפט קמא ומכלול החומר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מצאתי כל הצדקה במקרה דנן לחרוג מן הכלל ולהתערב בקביעות העובדה ובממצאי המהימנות שבפסק דינו של בית המשפט קמא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הכרעת הדין מבוססת היטב בחומר הראיות ומנומקת כדבעי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כמפורט לעיל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הכרעת הדין ניתנה בין היתר על יסוד התרשמותו הבלתי אמצעית של בית משפט מהעדויות השונות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טענותיו של המערער נבחנו ונדונו ביסודיות ובפירוט בפסק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שוכנעתי כי יש בהן כדי לקעקע את מהימנותו של המתלונן או להפחית מהרושם הבלתי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אמין שהותיר המערער</w:t>
      </w:r>
      <w:r>
        <w:rPr>
          <w:rFonts w:cs="Century" w:ascii="Century" w:hAnsi="Century"/>
          <w:sz w:val="22"/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8"/>
        </w:numPr>
        <w:spacing w:before="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בית המשפט קבע כאמור כי המתלונן מסר עדות אמינה וקוהרנטית בדבר מסכת האלימות שחווה מצדו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שכללה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הטרדה ותקיפה וכן ירי לעבר בניין מגוריו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למרות הניסיון מצד ההגנה לצייר את המתלונן באור אחר</w:t>
      </w:r>
      <w:r>
        <w:rPr>
          <w:rFonts w:cs="Century" w:ascii="Century" w:hAnsi="Century"/>
          <w:sz w:val="22"/>
          <w:rtl w:val="true"/>
        </w:rPr>
        <w:t xml:space="preserve">: 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מלהשחיר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הלגיטימיים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שהמדובר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ממציא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;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התרשמותי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>.</w:t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tl w:val="true"/>
        </w:rPr>
        <w:t xml:space="preserve">: </w:t>
      </w:r>
      <w:r>
        <w:rPr>
          <w:rtl w:val="true"/>
        </w:rPr>
        <w:t>מציאת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before="0" w:after="240"/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 כך הם פני הדברים לגבי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גרסתו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השתנתה שוב ושוב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נדחתה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משפט קמא באופן חד משמעי</w:t>
      </w:r>
      <w:r>
        <w:rPr>
          <w:rFonts w:cs="Century" w:ascii="Century" w:hAnsi="Century"/>
          <w:sz w:val="22"/>
          <w:rtl w:val="true"/>
        </w:rPr>
        <w:t xml:space="preserve">: 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מתחמקת</w:t>
      </w:r>
      <w:r>
        <w:rPr>
          <w:rtl w:val="true"/>
        </w:rPr>
        <w:t xml:space="preserve">,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30"/>
          <w:szCs w:val="32"/>
        </w:rPr>
      </w:pPr>
      <w:r>
        <w:rPr>
          <w:sz w:val="30"/>
          <w:szCs w:val="32"/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טענותיו של המערער בנוגע לקשיים בעדותו של המתלונן נבחנו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קבע כי אין בהם כדי לפגוע במהימנותו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שבתי ועיינתי בדברים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ואינני סבור כי שגה בית המשפט בקביעותיו ומסקנותיו לענין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בנוגע לעניין הסכינים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ציין כי </w:t>
      </w:r>
      <w:r>
        <w:rPr>
          <w:rtl w:val="true"/>
        </w:rPr>
        <w:t>"</w:t>
      </w:r>
      <w:r>
        <w:rPr>
          <w:spacing w:val="6"/>
          <w:rtl w:val="true"/>
        </w:rPr>
        <w:t xml:space="preserve">המתלונן עומת עם אמירתו למוקד </w:t>
      </w:r>
      <w:r>
        <w:rPr>
          <w:spacing w:val="6"/>
        </w:rPr>
        <w:t>100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כי היו סכינים באירוע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והמתלונן השיב בכנות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כי לא היו סכינים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והדברים נאמרו בטעות ומלחץ בעקבות אירוע התקיפה הקודם כלפיו</w:t>
      </w:r>
      <w:r>
        <w:rPr>
          <w:rtl w:val="true"/>
        </w:rPr>
        <w:t xml:space="preserve">". </w:t>
      </w:r>
      <w:r>
        <w:rPr>
          <w:rtl w:val="true"/>
        </w:rPr>
        <w:t>כנזכר לעיל</w:t>
      </w:r>
      <w:r>
        <w:rPr>
          <w:rtl w:val="true"/>
        </w:rPr>
        <w:t xml:space="preserve">, </w:t>
      </w:r>
      <w:r>
        <w:rPr>
          <w:rtl w:val="true"/>
        </w:rPr>
        <w:t>המתלונן חזר בו לענין הסכינים כבר בחקירה במשטרה</w:t>
      </w:r>
      <w:r>
        <w:rPr>
          <w:rtl w:val="true"/>
        </w:rPr>
        <w:t xml:space="preserve">, </w:t>
      </w:r>
      <w:r>
        <w:rPr>
          <w:rtl w:val="true"/>
        </w:rPr>
        <w:t xml:space="preserve">שם הסביר כי בשיחתו למוקד היה בלחץ ובסערה </w:t>
      </w:r>
      <w:r>
        <w:rPr>
          <w:rtl w:val="true"/>
        </w:rPr>
        <w:t>–</w:t>
      </w:r>
      <w:r>
        <w:rPr>
          <w:rtl w:val="true"/>
        </w:rPr>
        <w:t xml:space="preserve"> דבר שלטעמי מלמד דווקא על ניסיונו של המתלונן לדייק בפרטים שמסר</w:t>
      </w:r>
      <w:r>
        <w:rPr>
          <w:rtl w:val="true"/>
        </w:rPr>
        <w:t xml:space="preserve">, </w:t>
      </w:r>
      <w:r>
        <w:rPr>
          <w:rtl w:val="true"/>
        </w:rPr>
        <w:t>ולא על חוסר אמינות כפי שמבקש בא</w:t>
      </w:r>
      <w:r>
        <w:rPr>
          <w:rtl w:val="true"/>
        </w:rPr>
        <w:t>-</w:t>
      </w:r>
      <w:r>
        <w:rPr>
          <w:rtl w:val="true"/>
        </w:rPr>
        <w:t>כוח המערער כי נלמד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8"/>
        </w:numPr>
        <w:spacing w:before="0" w:after="240"/>
        <w:ind w:hanging="0" w:start="0" w:end="0"/>
        <w:jc w:val="both"/>
        <w:rPr/>
      </w:pPr>
      <w:r>
        <w:rPr>
          <w:rtl w:val="true"/>
        </w:rPr>
        <w:t>ובהתייחס ל</w:t>
      </w:r>
      <w:r>
        <w:rPr>
          <w:rtl w:val="true"/>
        </w:rPr>
        <w:t>"</w:t>
      </w:r>
      <w:r>
        <w:rPr>
          <w:rtl w:val="true"/>
        </w:rPr>
        <w:t>חוסר ההתאמה</w:t>
      </w:r>
      <w:r>
        <w:rPr>
          <w:rtl w:val="true"/>
        </w:rPr>
        <w:t xml:space="preserve">" </w:t>
      </w:r>
      <w:r>
        <w:rPr>
          <w:rtl w:val="true"/>
        </w:rPr>
        <w:t>בין הנשק שתואר על</w:t>
      </w:r>
      <w:r>
        <w:rPr>
          <w:rtl w:val="true"/>
        </w:rPr>
        <w:t>-</w:t>
      </w:r>
      <w:r>
        <w:rPr>
          <w:rtl w:val="true"/>
        </w:rPr>
        <w:t xml:space="preserve">ידי המתלונן </w:t>
      </w:r>
      <w:r>
        <w:rPr>
          <w:rtl w:val="true"/>
        </w:rPr>
        <w:t>–</w:t>
      </w:r>
      <w:r>
        <w:rPr>
          <w:rtl w:val="true"/>
        </w:rPr>
        <w:t xml:space="preserve"> אקדח או נשק שחור</w:t>
      </w:r>
      <w:r>
        <w:rPr>
          <w:rtl w:val="true"/>
        </w:rPr>
        <w:t xml:space="preserve">, </w:t>
      </w:r>
      <w:r>
        <w:rPr>
          <w:rtl w:val="true"/>
        </w:rPr>
        <w:t>לבין הנשק שנתפס על</w:t>
      </w:r>
      <w:r>
        <w:rPr>
          <w:rtl w:val="true"/>
        </w:rPr>
        <w:t>-</w:t>
      </w:r>
      <w:r>
        <w:rPr>
          <w:rtl w:val="true"/>
        </w:rPr>
        <w:t xml:space="preserve">ידי המשטרה </w:t>
      </w:r>
      <w:r>
        <w:rPr>
          <w:rtl w:val="true"/>
        </w:rPr>
        <w:t>–</w:t>
      </w:r>
      <w:r>
        <w:rPr>
          <w:rtl w:val="true"/>
        </w:rPr>
        <w:t xml:space="preserve"> תת</w:t>
      </w:r>
      <w:r>
        <w:rPr>
          <w:rtl w:val="true"/>
        </w:rPr>
        <w:t>-</w:t>
      </w:r>
      <w:r>
        <w:rPr>
          <w:rtl w:val="true"/>
        </w:rPr>
        <w:t>מקלע מאולתר מסוג קרלו</w:t>
      </w:r>
      <w:r>
        <w:rPr>
          <w:rtl w:val="true"/>
        </w:rPr>
        <w:t xml:space="preserve">, </w:t>
      </w:r>
      <w:r>
        <w:rPr>
          <w:rtl w:val="true"/>
        </w:rPr>
        <w:t>קבע בית המשפט קמא</w:t>
      </w:r>
      <w:r>
        <w:rPr>
          <w:rtl w:val="true"/>
        </w:rPr>
        <w:t xml:space="preserve">: </w:t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בנשקים</w:t>
      </w:r>
      <w:r>
        <w:rPr>
          <w:rtl w:val="true"/>
        </w:rPr>
        <w:t xml:space="preserve">, </w:t>
      </w:r>
      <w:r>
        <w:rPr>
          <w:rtl w:val="true"/>
        </w:rPr>
        <w:t>ולעומת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, </w:t>
      </w:r>
      <w:r>
        <w:rPr>
          <w:rtl w:val="true"/>
        </w:rPr>
        <w:t>כשאת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רביעית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 xml:space="preserve">)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מופרך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אשר לתלונה המאוחרת </w:t>
      </w:r>
      <w:r>
        <w:rPr>
          <w:rtl w:val="true"/>
        </w:rPr>
        <w:t>בגין הטרדת עד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נקבע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המתלונן אישר בכנות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כי השתהה ולא דיווח על המקרה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זאת על רקע חששו מהמערער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לגישתו מסוגל גם להרוג אותו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המתלונן סיפר לפסיכיאטרית שלו באותה תקופה אודות האיומים והפחד שהוא חש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ייעצה לו להתלונן במשטרה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הוא הבהיר לה שהגשת תלונה עלולה לגרום להסלמה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נקבע כי המתלונן היה עקבי בגרסתו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והסביר כי חווה מהמערער מספר</w:t>
      </w:r>
      <w:r>
        <w:rPr>
          <w:rFonts w:ascii="Century" w:hAnsi="Century" w:cs="Century"/>
          <w:sz w:val="22"/>
          <w:sz w:val="22"/>
          <w:rtl w:val="true"/>
        </w:rPr>
        <w:t xml:space="preserve"> איומים במהלך אותה התקופה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כשהאירוע שהתרחש בסוכת האבלים הוא המרכזי במסכת האיומים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אכן נראה שאלמלא התרחשו האירועים המאוחרים יותר של התקיפה והירי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המתלונן לא היה מגיש תלונה בגין הטרדת עד מהסיבות שמנה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אך כאמור מדובר בתלונה אותנטית ואמינה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המצביעות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/>
      </w:pPr>
      <w:r>
        <w:rPr>
          <w:rtl w:val="true"/>
        </w:rPr>
        <w:t>ואם בכבישת עדויות עסקינן</w:t>
      </w:r>
      <w:r>
        <w:rPr>
          <w:rtl w:val="true"/>
        </w:rPr>
        <w:t xml:space="preserve">. </w:t>
      </w:r>
      <w:r>
        <w:rPr>
          <w:rtl w:val="true"/>
        </w:rPr>
        <w:t xml:space="preserve">בצדק מצא בית המשפט שלא ליתן משקל לעדותם של עדי ההגנה </w:t>
      </w:r>
      <w:r>
        <w:rPr>
          <w:rtl w:val="true"/>
        </w:rPr>
        <w:t xml:space="preserve">- </w:t>
      </w:r>
      <w:r>
        <w:rPr>
          <w:rtl w:val="true"/>
        </w:rPr>
        <w:t>ובפרט שלושת ה</w:t>
      </w:r>
      <w:r>
        <w:rPr>
          <w:rtl w:val="true"/>
        </w:rPr>
        <w:t>"</w:t>
      </w:r>
      <w:r>
        <w:rPr>
          <w:rtl w:val="true"/>
        </w:rPr>
        <w:t>חברים</w:t>
      </w:r>
      <w:r>
        <w:rPr>
          <w:rtl w:val="true"/>
        </w:rPr>
        <w:t xml:space="preserve">" </w:t>
      </w:r>
      <w:r>
        <w:rPr>
          <w:rtl w:val="true"/>
        </w:rPr>
        <w:t>שהעידו על אירוע התקיפה</w:t>
      </w:r>
      <w:r>
        <w:rPr>
          <w:rtl w:val="true"/>
        </w:rPr>
        <w:t xml:space="preserve">, </w:t>
      </w:r>
      <w:r>
        <w:rPr>
          <w:rtl w:val="true"/>
        </w:rPr>
        <w:t xml:space="preserve">עדים שהוצגו לראשונה רק בפרשת ההגנה </w:t>
      </w:r>
      <w:r>
        <w:rPr>
          <w:rtl w:val="true"/>
        </w:rPr>
        <w:t xml:space="preserve">- </w:t>
      </w:r>
      <w:r>
        <w:rPr>
          <w:rtl w:val="true"/>
        </w:rPr>
        <w:t>ולא בכדי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גרסתו של המערער לפיה מדובר ב</w:t>
      </w:r>
      <w:r>
        <w:rPr>
          <w:rtl w:val="true"/>
        </w:rPr>
        <w:t>"</w:t>
      </w:r>
      <w:r>
        <w:rPr>
          <w:rtl w:val="true"/>
        </w:rPr>
        <w:t>קטטה</w:t>
      </w:r>
      <w:r>
        <w:rPr>
          <w:rtl w:val="true"/>
        </w:rPr>
        <w:t xml:space="preserve">" </w:t>
      </w:r>
      <w:r>
        <w:rPr>
          <w:rtl w:val="true"/>
        </w:rPr>
        <w:t>שהחלה על</w:t>
      </w:r>
      <w:r>
        <w:rPr>
          <w:rtl w:val="true"/>
        </w:rPr>
        <w:t>-</w:t>
      </w:r>
      <w:r>
        <w:rPr>
          <w:rtl w:val="true"/>
        </w:rPr>
        <w:t>ידי המתלונן הועלתה לראשונה רק במהלך חקירתו הראשית</w:t>
      </w:r>
      <w:r>
        <w:rPr>
          <w:rtl w:val="true"/>
        </w:rPr>
        <w:t xml:space="preserve">. </w:t>
      </w:r>
      <w:r>
        <w:rPr>
          <w:rtl w:val="true"/>
        </w:rPr>
        <w:t>העובדה שמדובר בפרט כה מהותי</w:t>
      </w:r>
      <w:r>
        <w:rPr>
          <w:rtl w:val="true"/>
        </w:rPr>
        <w:t xml:space="preserve">, </w:t>
      </w:r>
      <w:r>
        <w:rPr>
          <w:rtl w:val="true"/>
        </w:rPr>
        <w:t>אשר נמסר בשלב כה מאוחר</w:t>
      </w:r>
      <w:r>
        <w:rPr>
          <w:rtl w:val="true"/>
        </w:rPr>
        <w:t xml:space="preserve">, </w:t>
      </w:r>
      <w:r>
        <w:rPr>
          <w:rtl w:val="true"/>
        </w:rPr>
        <w:t xml:space="preserve">מלמדת כי מדובר בעדות כבושה </w:t>
      </w:r>
      <w:r>
        <w:rPr>
          <w:rtl w:val="true"/>
        </w:rPr>
        <w:t>"</w:t>
      </w:r>
      <w:r>
        <w:rPr>
          <w:rtl w:val="true"/>
        </w:rPr>
        <w:t>ולא כבושה ונסתרת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כבושה וסותר</w:t>
      </w:r>
      <w:r>
        <w:rPr>
          <w:rtl w:val="true"/>
        </w:rPr>
        <w:t>ת</w:t>
      </w:r>
      <w:r>
        <w:rPr>
          <w:rtl w:val="true"/>
        </w:rPr>
        <w:t>"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מרקוס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, </w:t>
      </w:r>
      <w:r>
        <w:rPr/>
        <w:t>286</w:t>
      </w:r>
      <w:r>
        <w:rPr>
          <w:rtl w:val="true"/>
        </w:rPr>
        <w:t xml:space="preserve">), </w:t>
      </w:r>
      <w:r>
        <w:rPr>
          <w:rtl w:val="true"/>
        </w:rPr>
        <w:t>שהרי קודם לכן מסר המערער כי כלל לא נכח במקום</w:t>
      </w:r>
      <w:r>
        <w:rPr>
          <w:rtl w:val="true"/>
        </w:rPr>
        <w:t xml:space="preserve">, </w:t>
      </w:r>
      <w:r>
        <w:rPr>
          <w:rtl w:val="true"/>
        </w:rPr>
        <w:t>ובהמשך טען כי היה במקום אך לא תקף את המתלונן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מסקנתו של בית המשפט כי מדובר ב</w:t>
      </w:r>
      <w:r>
        <w:rPr>
          <w:rtl w:val="true"/>
        </w:rPr>
        <w:t>"</w:t>
      </w:r>
      <w:r>
        <w:rPr>
          <w:rtl w:val="true"/>
        </w:rPr>
        <w:t>גרסאות שקריות וסותרות</w:t>
      </w:r>
      <w:r>
        <w:rPr>
          <w:rtl w:val="true"/>
        </w:rPr>
        <w:t xml:space="preserve">" </w:t>
      </w:r>
      <w:r>
        <w:rPr>
          <w:rtl w:val="true"/>
        </w:rPr>
        <w:t>מצד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וכי עדיו </w:t>
      </w:r>
      <w:r>
        <w:rPr>
          <w:rtl w:val="true"/>
        </w:rPr>
        <w:t>"</w:t>
      </w:r>
      <w:r>
        <w:rPr>
          <w:rtl w:val="true"/>
        </w:rPr>
        <w:t>הגיעו במטרה מוצהרת ומתואמת לתמוך בגרסתו המאוחרת</w:t>
      </w:r>
      <w:r>
        <w:rPr>
          <w:rtl w:val="true"/>
        </w:rPr>
        <w:t xml:space="preserve">", </w:t>
      </w:r>
      <w:r>
        <w:rPr>
          <w:rtl w:val="true"/>
        </w:rPr>
        <w:t>אינה אך סבירה אלא מתחייבת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8"/>
        </w:numPr>
        <w:spacing w:before="0" w:after="240"/>
        <w:ind w:hanging="0" w:start="0" w:end="0"/>
        <w:jc w:val="both"/>
        <w:rPr/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שוכנעתי כי אין בעובדה שהמתלונן העדיף שלא למסור שמות של עדים לאירוע התקיפה כדי לפגוע במהימנות עדותו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הסביר כי הוא מכבד את בקשתם שלא להיחשף בשל חששם מפני המערער </w:t>
      </w:r>
      <w:r>
        <w:rPr>
          <w:rtl w:val="true"/>
        </w:rPr>
        <w:t>–</w:t>
      </w:r>
      <w:r>
        <w:rPr>
          <w:rtl w:val="true"/>
        </w:rPr>
        <w:t xml:space="preserve"> הסבר שהתקבל כאמור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. </w:t>
      </w:r>
      <w:r>
        <w:rPr>
          <w:rtl w:val="true"/>
        </w:rPr>
        <w:t>ואלו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דברים שעמדו ברקע</w:t>
      </w:r>
      <w:r>
        <w:rPr>
          <w:rtl w:val="true"/>
        </w:rPr>
        <w:t>:</w:t>
      </w:r>
    </w:p>
    <w:p>
      <w:pPr>
        <w:pStyle w:val="Ruller51"/>
        <w:spacing w:lineRule="auto" w:line="276" w:before="0" w:after="120"/>
        <w:ind w:end="1282"/>
        <w:jc w:val="both"/>
        <w:rPr>
          <w:spacing w:val="8"/>
        </w:rPr>
      </w:pPr>
      <w:r>
        <w:rPr>
          <w:rtl w:val="true"/>
        </w:rPr>
        <w:t>"</w:t>
      </w:r>
      <w:r>
        <w:rPr>
          <w:spacing w:val="8"/>
          <w:rtl w:val="true"/>
        </w:rPr>
        <w:t>באשר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לאירוע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התקיפה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מסר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החוקר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שרוני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מסר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שמות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ראייה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לתקיפה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והסביר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שהם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פוחדים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להיות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מעורבים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ולמסור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...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החוקרת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לבטקין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גבתה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ציינה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מסר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לאורך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עדותו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שכל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השכונה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מפחדת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מהנאשם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ומליאור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 xml:space="preserve">... </w:t>
      </w:r>
      <w:r>
        <w:rPr>
          <w:spacing w:val="8"/>
          <w:rtl w:val="true"/>
        </w:rPr>
        <w:t>ועל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העדיף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למסור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שמות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עדים</w:t>
      </w:r>
      <w:r>
        <w:rPr>
          <w:spacing w:val="8"/>
          <w:rtl w:val="true"/>
        </w:rPr>
        <w:t>.</w:t>
      </w:r>
    </w:p>
    <w:p>
      <w:pPr>
        <w:pStyle w:val="Ruller51"/>
        <w:spacing w:lineRule="auto" w:line="276" w:before="0" w:after="120"/>
        <w:ind w:firstLine="516" w:end="1282"/>
        <w:jc w:val="both"/>
        <w:rPr>
          <w:rFonts w:cs="Times New Roman;Times New Roman"/>
          <w:spacing w:val="8"/>
        </w:rPr>
      </w:pPr>
      <w:r>
        <w:rPr>
          <w:spacing w:val="8"/>
          <w:rtl w:val="true"/>
        </w:rPr>
        <w:t>גם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החוקר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שרון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אברג</w:t>
      </w:r>
      <w:r>
        <w:rPr>
          <w:spacing w:val="8"/>
          <w:rtl w:val="true"/>
        </w:rPr>
        <w:t>'</w:t>
      </w:r>
      <w:r>
        <w:rPr>
          <w:spacing w:val="8"/>
          <w:rtl w:val="true"/>
        </w:rPr>
        <w:t>יל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התקשר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בכדי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שימציא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מסמכים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רפואיים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ביקש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מהמתלונן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שידבר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חבריו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לגבי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מתן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עדות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לדבריו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חזר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כך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שחבריו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חוששים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</w:t>
      </w:r>
      <w:r>
        <w:rPr>
          <w:spacing w:val="8"/>
          <w:rtl w:val="true"/>
        </w:rPr>
        <w:t>'</w:t>
      </w:r>
      <w:r>
        <w:rPr>
          <w:spacing w:val="8"/>
          <w:rtl w:val="true"/>
        </w:rPr>
        <w:t>יודעים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קורה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שמדבר</w:t>
      </w:r>
      <w:r>
        <w:rPr>
          <w:spacing w:val="8"/>
          <w:rtl w:val="true"/>
        </w:rPr>
        <w:t xml:space="preserve">' ... </w:t>
      </w:r>
      <w:r>
        <w:rPr>
          <w:spacing w:val="8"/>
          <w:rtl w:val="true"/>
        </w:rPr>
        <w:t>החוקר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הסביר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שהמקום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אינו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מרושת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והדרך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היחידה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לאתר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ראייה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היתה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דרך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spacing w:val="8"/>
          <w:rtl w:val="true"/>
        </w:rPr>
        <w:t>.</w:t>
      </w:r>
    </w:p>
    <w:p>
      <w:pPr>
        <w:pStyle w:val="Ruller51"/>
        <w:spacing w:lineRule="auto" w:line="276"/>
        <w:ind w:end="1282"/>
        <w:jc w:val="both"/>
        <w:rPr>
          <w:spacing w:val="8"/>
        </w:rPr>
      </w:pPr>
      <w:r>
        <w:rPr>
          <w:spacing w:val="8"/>
          <w:rtl w:val="true"/>
        </w:rPr>
        <w:t>החוקר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הוסיף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המדובר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באירוע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מתמשך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כאשר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לאחרונה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הוגש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כתב</w:t>
      </w:r>
      <w:r>
        <w:rPr>
          <w:spacing w:val="8"/>
          <w:rtl w:val="true"/>
        </w:rPr>
        <w:t>-</w:t>
      </w:r>
      <w:r>
        <w:rPr>
          <w:spacing w:val="8"/>
          <w:rtl w:val="true"/>
        </w:rPr>
        <w:t>אישום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נגד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אחיו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הנאשם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[</w:t>
      </w:r>
      <w:r>
        <w:rPr>
          <w:spacing w:val="8"/>
          <w:rtl w:val="true"/>
        </w:rPr>
        <w:t>המערער</w:t>
      </w:r>
      <w:r>
        <w:rPr>
          <w:spacing w:val="8"/>
          <w:rtl w:val="true"/>
        </w:rPr>
        <w:t xml:space="preserve">] </w:t>
      </w:r>
      <w:r>
        <w:rPr>
          <w:spacing w:val="8"/>
          <w:rtl w:val="true"/>
        </w:rPr>
        <w:t>בגין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דקירת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ובלשונו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'</w:t>
      </w:r>
      <w:r>
        <w:rPr>
          <w:spacing w:val="8"/>
          <w:rtl w:val="true"/>
        </w:rPr>
        <w:t>שפכו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המעיים</w:t>
      </w:r>
      <w:r>
        <w:rPr>
          <w:spacing w:val="8"/>
          <w:rtl w:val="true"/>
        </w:rPr>
        <w:t xml:space="preserve">', </w:t>
      </w:r>
      <w:r>
        <w:rPr>
          <w:spacing w:val="8"/>
          <w:rtl w:val="true"/>
        </w:rPr>
        <w:t>אירוע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המוכיח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החששות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אמיתיים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חבריו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מעוניינים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למסור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בהכירם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הנפשות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הפועלות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..." (</w:t>
      </w:r>
      <w:r>
        <w:rPr>
          <w:spacing w:val="8"/>
          <w:rtl w:val="true"/>
        </w:rPr>
        <w:t>פסקאות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68-67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להכרעת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הדין</w:t>
      </w:r>
      <w:r>
        <w:rPr>
          <w:spacing w:val="8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pacing w:val="8"/>
          <w:sz w:val="28"/>
          <w:szCs w:val="32"/>
        </w:rPr>
      </w:pPr>
      <w:r>
        <w:rPr>
          <w:spacing w:val="8"/>
          <w:sz w:val="28"/>
          <w:szCs w:val="32"/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/>
      </w:pPr>
      <w:r>
        <w:rPr>
          <w:rtl w:val="true"/>
        </w:rPr>
        <w:t>ולא רק החברים לא היו מעוניינים למסור עדות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אף אחד מהשכנים לא הסכים למסור פרטים לאנשי המשטרה שסרקו את הבניין </w:t>
      </w:r>
      <w:r>
        <w:rPr>
          <w:rtl w:val="true"/>
        </w:rPr>
        <w:t>(</w:t>
      </w:r>
      <w:r>
        <w:rPr>
          <w:rtl w:val="true"/>
        </w:rPr>
        <w:t>וכן בניין נוסף הצמוד אליו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 לאתר עדי שמיעה או ראייה לאירוע הירי</w:t>
      </w:r>
      <w:r>
        <w:rPr>
          <w:rtl w:val="true"/>
        </w:rPr>
        <w:t xml:space="preserve">. </w:t>
      </w:r>
      <w:r>
        <w:rPr>
          <w:rtl w:val="true"/>
        </w:rPr>
        <w:t>כך גם השכנה המתגוררת בדירה צמודה לדירת המתלונן</w:t>
      </w:r>
      <w:r>
        <w:rPr>
          <w:rtl w:val="true"/>
        </w:rPr>
        <w:t xml:space="preserve">, </w:t>
      </w:r>
      <w:r>
        <w:rPr>
          <w:rtl w:val="true"/>
        </w:rPr>
        <w:t>אשר שהתה עם אמו של המתלונן בעת הירי</w:t>
      </w:r>
      <w:r>
        <w:rPr>
          <w:rtl w:val="true"/>
        </w:rPr>
        <w:t xml:space="preserve">, </w:t>
      </w:r>
      <w:r>
        <w:rPr>
          <w:rtl w:val="true"/>
        </w:rPr>
        <w:t>מסרה כי אינה רוצה להיות מעורבת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/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אינני רואה מקום לשוב ולהידרש לטענות המערער בדבר מחדלי חקירה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היה מקום לגבות עדויות מהשכנים עוד ביום האירוע</w:t>
      </w:r>
      <w:r>
        <w:rPr>
          <w:rtl w:val="true"/>
        </w:rPr>
        <w:t xml:space="preserve">, </w:t>
      </w:r>
      <w:r>
        <w:rPr>
          <w:rtl w:val="true"/>
        </w:rPr>
        <w:t>אולם כפי שקבע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ענייננו המצביעות על תופעה של חוסר שיתוף פעולה </w:t>
      </w:r>
      <w:r>
        <w:rPr>
          <w:rtl w:val="true"/>
        </w:rPr>
        <w:t>–</w:t>
      </w:r>
      <w:r>
        <w:rPr>
          <w:rtl w:val="true"/>
        </w:rPr>
        <w:t xml:space="preserve"> אין המדובר במחדל </w:t>
      </w:r>
      <w:r>
        <w:rPr>
          <w:rtl w:val="true"/>
        </w:rPr>
        <w:t>"</w:t>
      </w:r>
      <w:r>
        <w:rPr>
          <w:rtl w:val="true"/>
        </w:rPr>
        <w:t>שיש בו כדי להחליש את ראיות התביעה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אשר לאי</w:t>
      </w:r>
      <w:r>
        <w:rPr>
          <w:rtl w:val="true"/>
        </w:rPr>
        <w:t>-</w:t>
      </w:r>
      <w:r>
        <w:rPr>
          <w:rtl w:val="true"/>
        </w:rPr>
        <w:t>חקירתו של בנטה מלקה בנוגע לאירוע הירי המיוחס למערער</w:t>
      </w:r>
      <w:r>
        <w:rPr>
          <w:rtl w:val="true"/>
        </w:rPr>
        <w:t xml:space="preserve">, </w:t>
      </w:r>
      <w:r>
        <w:rPr>
          <w:rtl w:val="true"/>
        </w:rPr>
        <w:t>הרי שנוכח זיהויו הוודאי של המערער על</w:t>
      </w:r>
      <w:r>
        <w:rPr>
          <w:rtl w:val="true"/>
        </w:rPr>
        <w:t>-</w:t>
      </w:r>
      <w:r>
        <w:rPr>
          <w:rtl w:val="true"/>
        </w:rPr>
        <w:t>ידי המתלונן</w:t>
      </w:r>
      <w:r>
        <w:rPr>
          <w:rtl w:val="true"/>
        </w:rPr>
        <w:t xml:space="preserve">, </w:t>
      </w:r>
      <w:r>
        <w:rPr>
          <w:rtl w:val="true"/>
        </w:rPr>
        <w:t>והעובדה שהנשק נתפס לאחר שכבר הוגש נגדו כתב אישום</w:t>
      </w:r>
      <w:r>
        <w:rPr>
          <w:rtl w:val="true"/>
        </w:rPr>
        <w:t xml:space="preserve">,  </w:t>
      </w:r>
      <w:r>
        <w:rPr>
          <w:rtl w:val="true"/>
        </w:rPr>
        <w:t>מקובלת עליי עמדת המדינה שלא נדרש היה לחזור ולחקור את מלקה לאחר מציאת ההתאמה בין הנשק לתרמיל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/>
      </w:pPr>
      <w:r>
        <w:rPr>
          <w:rtl w:val="true"/>
        </w:rPr>
        <w:t xml:space="preserve">אעיר לבסוף כי בכל הנוגע לטענות סביב מצבו הנפשי של המתלונן </w:t>
      </w:r>
      <w:r>
        <w:rPr>
          <w:rtl w:val="true"/>
        </w:rPr>
        <w:t>(</w:t>
      </w:r>
      <w:r>
        <w:rPr>
          <w:rtl w:val="true"/>
        </w:rPr>
        <w:t>אשר זכו למקום לא מבוטל בכתב הערעור ובסיכומי המערער</w:t>
      </w:r>
      <w:r>
        <w:rPr>
          <w:rtl w:val="true"/>
        </w:rPr>
        <w:t xml:space="preserve">), </w:t>
      </w:r>
      <w:r>
        <w:rPr>
          <w:rtl w:val="true"/>
        </w:rPr>
        <w:t xml:space="preserve">מסקנתו של בית משפט קמא הייתה כי </w:t>
      </w:r>
      <w:r>
        <w:rPr>
          <w:rtl w:val="true"/>
        </w:rPr>
        <w:t>"</w:t>
      </w:r>
      <w:r>
        <w:rPr>
          <w:spacing w:val="6"/>
          <w:rtl w:val="true"/>
        </w:rPr>
        <w:t>ההגנה לא פעלה על</w:t>
      </w:r>
      <w:r>
        <w:rPr>
          <w:spacing w:val="6"/>
          <w:rtl w:val="true"/>
        </w:rPr>
        <w:t>-</w:t>
      </w:r>
      <w:r>
        <w:rPr>
          <w:spacing w:val="6"/>
          <w:rtl w:val="true"/>
        </w:rPr>
        <w:t>פי דין לקבל חומר רפואי בעניינו של המתלונן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וכל טענות ההגנה בהקשר זה נותרו בגדר השמצות בלבד</w:t>
      </w:r>
      <w:r>
        <w:rPr>
          <w:rtl w:val="true"/>
        </w:rPr>
        <w:t xml:space="preserve">". </w:t>
      </w:r>
      <w:r>
        <w:rPr>
          <w:rtl w:val="true"/>
        </w:rPr>
        <w:t>אין אלא להזכיר כי בית המשפט</w:t>
      </w:r>
      <w:r>
        <w:rPr>
          <w:rtl w:val="true"/>
        </w:rPr>
        <w:t xml:space="preserve">, </w:t>
      </w:r>
      <w:r>
        <w:rPr>
          <w:rtl w:val="true"/>
        </w:rPr>
        <w:t>שהיה ער לקשייו הנפשיים של המתלונן</w:t>
      </w:r>
      <w:r>
        <w:rPr>
          <w:rtl w:val="true"/>
        </w:rPr>
        <w:t xml:space="preserve">, </w:t>
      </w:r>
      <w:r>
        <w:rPr>
          <w:rtl w:val="true"/>
        </w:rPr>
        <w:t>התרשם כי מדובר באדם מהימן שהעיד בצורה כנה אודות אירועים אותם חווה</w:t>
      </w:r>
      <w:r>
        <w:rPr>
          <w:rtl w:val="true"/>
        </w:rPr>
        <w:t xml:space="preserve">. </w:t>
      </w:r>
      <w:r>
        <w:rPr>
          <w:color w:val="000000"/>
          <w:rtl w:val="true"/>
        </w:rPr>
        <w:t>יש להצר אפוא על כך שבא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כוח המערער ביקש להשחיר את דמותו </w:t>
      </w:r>
      <w:r>
        <w:rPr>
          <w:color w:val="000000"/>
          <w:sz w:val="28"/>
          <w:sz w:val="28"/>
          <w:rtl w:val="true"/>
        </w:rPr>
        <w:t>באופן ז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, </w:t>
      </w:r>
      <w:r>
        <w:rPr>
          <w:rtl w:val="true"/>
        </w:rPr>
        <w:t>וטוב עשה משלא חזר על טענות אלו בדיון 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8"/>
        </w:numPr>
        <w:ind w:hanging="0" w:start="0" w:end="0"/>
        <w:jc w:val="both"/>
        <w:rPr/>
      </w:pPr>
      <w:r>
        <w:rPr>
          <w:rtl w:val="true"/>
        </w:rPr>
        <w:t>על יסוד הנימוקים שפורטו לעיל</w:t>
      </w:r>
      <w:r>
        <w:rPr>
          <w:rtl w:val="true"/>
        </w:rPr>
        <w:t xml:space="preserve">, </w:t>
      </w:r>
      <w:r>
        <w:rPr>
          <w:rtl w:val="true"/>
        </w:rPr>
        <w:t>אני סבור כי הרשעתו של המערער בעבירות שיוחסו לו – בדין יסודה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אין לדעתי כל מקום להתערבותנו בהכרעת דינו של בית משפט קמא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3"/>
        </w:numPr>
        <w:tabs>
          <w:tab w:val="left" w:pos="720" w:leader="none"/>
        </w:tabs>
        <w:ind w:hanging="357" w:start="71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הלכה היא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כי ערכאת הערעור תיטה שלא להתערב בגזר דינה של הערכאה הדיונית אלא במקרים חריגים בהם נפלה בגזר הדין טעות מהותית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או שעה שהעונש שנגזר חורג באופן ממשי מרמת הענישה הנוהגת או הראויה בנסיבות דומות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ראו מיני רבים</w:t>
      </w:r>
      <w:r>
        <w:rPr>
          <w:color w:val="000000"/>
          <w:sz w:val="28"/>
          <w:rtl w:val="true"/>
        </w:rPr>
        <w:t xml:space="preserve">: 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1872/16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18.5.2017</w:t>
      </w:r>
      <w:r>
        <w:rPr>
          <w:color w:val="000000"/>
          <w:sz w:val="28"/>
          <w:rtl w:val="true"/>
        </w:rPr>
        <w:t xml:space="preserve">); </w:t>
      </w:r>
      <w:hyperlink r:id="rId2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3090/11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ענתבאווי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18.10.2012</w:t>
      </w:r>
      <w:r>
        <w:rPr>
          <w:color w:val="000000"/>
          <w:sz w:val="28"/>
          <w:rtl w:val="true"/>
        </w:rPr>
        <w:t xml:space="preserve">); 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3793/18</w:t>
        </w:r>
      </w:hyperlink>
      <w:r>
        <w:rPr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3.5.2020</w:t>
      </w:r>
      <w:r>
        <w:rPr>
          <w:color w:val="000000"/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לאחר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עיון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ובחינת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טענות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עניינו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נמנה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חריגים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המצדיקים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התערבותנו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בגזר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>.</w:t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color w:val="000000"/>
          <w:sz w:val="28"/>
          <w:sz w:val="28"/>
          <w:rtl w:val="true"/>
        </w:rPr>
        <w:t>אמנם העונש שהוטל על המערער אינו קל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אלא שמעשיו של המערער</w:t>
      </w:r>
      <w:r>
        <w:rPr>
          <w:color w:val="000000"/>
          <w:sz w:val="28"/>
          <w:rtl w:val="true"/>
        </w:rPr>
        <w:t xml:space="preserve">, </w:t>
      </w:r>
      <w:r>
        <w:rPr>
          <w:rtl w:val="true"/>
        </w:rPr>
        <w:t xml:space="preserve">אשר שם לו למטרה להטיל מורא על המתלונן שמא </w:t>
      </w:r>
      <w:r>
        <w:rPr>
          <w:rtl w:val="true"/>
        </w:rPr>
        <w:t>"</w:t>
      </w:r>
      <w:r>
        <w:rPr>
          <w:rtl w:val="true"/>
        </w:rPr>
        <w:t>יעז</w:t>
      </w:r>
      <w:r>
        <w:rPr>
          <w:rtl w:val="true"/>
        </w:rPr>
        <w:t xml:space="preserve">" </w:t>
      </w:r>
      <w:r>
        <w:rPr>
          <w:rtl w:val="true"/>
        </w:rPr>
        <w:t>למסור עדות בבית המשפט נגד אחיו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ולבוא עמו בחשבון על </w:t>
      </w:r>
      <w:r>
        <w:rPr>
          <w:rtl w:val="true"/>
        </w:rPr>
        <w:t>"</w:t>
      </w:r>
      <w:r>
        <w:rPr>
          <w:rtl w:val="true"/>
        </w:rPr>
        <w:t>השלכות</w:t>
      </w:r>
      <w:r>
        <w:rPr>
          <w:rtl w:val="true"/>
        </w:rPr>
        <w:t xml:space="preserve">" </w:t>
      </w:r>
      <w:r>
        <w:rPr>
          <w:rtl w:val="true"/>
        </w:rPr>
        <w:t xml:space="preserve">עדותו </w:t>
      </w:r>
      <w:r>
        <w:rPr>
          <w:rtl w:val="true"/>
        </w:rPr>
        <w:t>–</w:t>
      </w:r>
      <w:r>
        <w:rPr>
          <w:rtl w:val="true"/>
        </w:rPr>
        <w:t xml:space="preserve"> חמורים ומחייבים תגובה עונשית הולמת</w:t>
      </w:r>
      <w:r>
        <w:rPr>
          <w:rtl w:val="true"/>
        </w:rPr>
        <w:t xml:space="preserve">. </w:t>
      </w:r>
      <w:r>
        <w:rPr>
          <w:rtl w:val="true"/>
        </w:rPr>
        <w:t>המדובר במסכת עבריינית אלימה וחמורה</w:t>
      </w:r>
      <w:r>
        <w:rPr>
          <w:rtl w:val="true"/>
        </w:rPr>
        <w:t xml:space="preserve">, </w:t>
      </w:r>
      <w:r>
        <w:rPr>
          <w:rtl w:val="true"/>
        </w:rPr>
        <w:t>כאשר המערער מבקש להעביר מסר אלים</w:t>
      </w:r>
      <w:r>
        <w:rPr>
          <w:rtl w:val="true"/>
        </w:rPr>
        <w:t xml:space="preserve">, </w:t>
      </w:r>
      <w:r>
        <w:rPr>
          <w:rtl w:val="true"/>
        </w:rPr>
        <w:t>שתחילתו באיומים</w:t>
      </w:r>
      <w:r>
        <w:rPr>
          <w:rtl w:val="true"/>
        </w:rPr>
        <w:t xml:space="preserve">, </w:t>
      </w:r>
      <w:r>
        <w:rPr>
          <w:rtl w:val="true"/>
        </w:rPr>
        <w:t>והמשכו בתקיפה אכזרית וירי ביריוני</w:t>
      </w:r>
      <w:r>
        <w:rPr>
          <w:rtl w:val="true"/>
        </w:rPr>
        <w:t xml:space="preserve">, </w:t>
      </w:r>
      <w:r>
        <w:rPr>
          <w:rtl w:val="true"/>
        </w:rPr>
        <w:t>וכאשר ברקע האירועים שתי תקיפות קודמות של המתלונן על</w:t>
      </w:r>
      <w:r>
        <w:rPr>
          <w:rtl w:val="true"/>
        </w:rPr>
        <w:t>-</w:t>
      </w:r>
      <w:r>
        <w:rPr>
          <w:rtl w:val="true"/>
        </w:rPr>
        <w:t>ידי אחיו של המערער</w:t>
      </w:r>
      <w:r>
        <w:rPr>
          <w:rtl w:val="true"/>
        </w:rPr>
        <w:t xml:space="preserve">, </w:t>
      </w:r>
      <w:r>
        <w:rPr>
          <w:rtl w:val="true"/>
        </w:rPr>
        <w:t>ותקיפה חמורה נוספת אותה  חווה המתלונן בסמוך לאחר מתן עדותו בבית המשפט במשפטו של 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אח אחר של המערער</w:t>
      </w:r>
      <w:r>
        <w:rPr>
          <w:rtl w:val="true"/>
        </w:rPr>
        <w:t xml:space="preserve">. </w:t>
      </w:r>
      <w:r>
        <w:rPr>
          <w:rtl w:val="true"/>
        </w:rPr>
        <w:t>וכפי שקבע בית המשפט קמא</w:t>
      </w:r>
      <w:r>
        <w:rPr>
          <w:rtl w:val="true"/>
        </w:rPr>
        <w:t>, "</w:t>
      </w:r>
      <w:r>
        <w:rPr>
          <w:spacing w:val="6"/>
          <w:rtl w:val="true"/>
        </w:rPr>
        <w:t xml:space="preserve">המתלונן מצא עצמו קורבן באופן שיטתי להתנכלויות אלימות מצד הנאשם </w:t>
      </w:r>
      <w:r>
        <w:rPr>
          <w:spacing w:val="6"/>
          <w:rtl w:val="true"/>
        </w:rPr>
        <w:t>[</w:t>
      </w:r>
      <w:r>
        <w:rPr>
          <w:spacing w:val="6"/>
          <w:rtl w:val="true"/>
        </w:rPr>
        <w:t>המערער</w:t>
      </w:r>
      <w:r>
        <w:rPr>
          <w:spacing w:val="6"/>
          <w:rtl w:val="true"/>
        </w:rPr>
        <w:t xml:space="preserve">] </w:t>
      </w:r>
      <w:r>
        <w:rPr>
          <w:spacing w:val="6"/>
          <w:rtl w:val="true"/>
        </w:rPr>
        <w:t>וקרובי משפחתו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אשר גרמו לו לטראומה והחריפו את מצבו הנפשי</w:t>
      </w:r>
      <w:r>
        <w:rPr>
          <w:rtl w:val="true"/>
        </w:rPr>
        <w:t xml:space="preserve">". </w:t>
      </w:r>
      <w:r>
        <w:rPr>
          <w:rtl w:val="true"/>
        </w:rPr>
        <w:t>בנסיבות אלה בדין החמיר בית המשפט בעונשו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spacing w:before="0" w:after="240"/>
        <w:ind w:hanging="0" w:start="0" w:end="0"/>
        <w:jc w:val="both"/>
        <w:rPr/>
      </w:pPr>
      <w:r>
        <w:rPr>
          <w:rtl w:val="true"/>
        </w:rPr>
        <w:t>אין צורך להכביר מילים גם אודות חומרת העבירה של הטרדת עדים</w:t>
      </w:r>
      <w:r>
        <w:rPr>
          <w:rtl w:val="true"/>
        </w:rPr>
        <w:t xml:space="preserve">, </w:t>
      </w:r>
      <w:r>
        <w:rPr>
          <w:rtl w:val="true"/>
        </w:rPr>
        <w:t>שיש בה כדי לקעקע את יסודות הסדר החברתי הטמון בקיומו של ההליך הפלילי</w:t>
      </w:r>
      <w:r>
        <w:rPr>
          <w:rtl w:val="true"/>
        </w:rPr>
        <w:t xml:space="preserve">. </w:t>
      </w:r>
      <w:r>
        <w:rPr>
          <w:rtl w:val="true"/>
        </w:rPr>
        <w:t>בית משפט זה עמד על כך משכבר הימים</w:t>
      </w:r>
      <w:r>
        <w:rPr>
          <w:rtl w:val="true"/>
        </w:rPr>
        <w:t>:</w:t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המגיד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ומצווים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ויירתעו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...</w:t>
      </w:r>
    </w:p>
    <w:p>
      <w:pPr>
        <w:pStyle w:val="Ruller51"/>
        <w:spacing w:lineRule="auto" w:line="276"/>
        <w:ind w:end="1282"/>
        <w:jc w:val="both"/>
        <w:rPr>
          <w:color w:val="000000"/>
        </w:rPr>
      </w:pPr>
      <w:r>
        <w:rPr>
          <w:color w:val="000000"/>
          <w:rtl w:val="true"/>
        </w:rPr>
        <w:t>בענין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שהטרדת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העד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נתלוותה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ונעשתה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אנו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רואים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הצדק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לעצמנו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... </w:t>
      </w:r>
      <w:r>
        <w:rPr>
          <w:color w:val="000000"/>
          <w:rtl w:val="true"/>
        </w:rPr>
        <w:t>את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המירבי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color w:val="000000"/>
          <w:rtl w:val="true"/>
        </w:rPr>
        <w:t>" 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848/76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ביאזי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לא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408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418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1977</w:t>
      </w:r>
      <w:r>
        <w:rPr>
          <w:color w:val="000000"/>
          <w:rtl w:val="true"/>
        </w:rPr>
        <w:t>)).</w:t>
      </w:r>
    </w:p>
    <w:p>
      <w:pPr>
        <w:pStyle w:val="Ruller51"/>
        <w:spacing w:lineRule="auto" w:line="360"/>
        <w:ind w:end="1282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על יסוד עקרון זה</w:t>
      </w:r>
      <w:r>
        <w:rPr>
          <w:rtl w:val="true"/>
        </w:rPr>
        <w:t xml:space="preserve">, </w:t>
      </w:r>
      <w:r>
        <w:rPr>
          <w:rtl w:val="true"/>
        </w:rPr>
        <w:t>שב בית משפט זה והדגיש את חובתו לבטא חומרה זו בענישה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rFonts w:ascii="Garamond" w:hAnsi="Garamond" w:cs="Garamond"/>
          <w:spacing w:val="10"/>
          <w:sz w:val="24"/>
          <w:szCs w:val="28"/>
        </w:rPr>
      </w:pPr>
      <w:r>
        <w:rPr>
          <w:rFonts w:cs="Garamond" w:ascii="Garamond" w:hAnsi="Garamond"/>
          <w:spacing w:val="10"/>
          <w:sz w:val="24"/>
          <w:szCs w:val="28"/>
          <w:rtl w:val="true"/>
        </w:rPr>
      </w:r>
    </w:p>
    <w:p>
      <w:pPr>
        <w:pStyle w:val="Ruller51"/>
        <w:spacing w:lineRule="auto" w:line="276" w:before="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; </w:t>
      </w:r>
      <w:r>
        <w:rPr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3170/98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עואודה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16.2.1999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20.2.2008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6367/12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8.4.2013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spacing w:before="0" w:after="240"/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משפט זה גם עמד לא פעם על הצורך להיאבק בתופעה של שימוש באלימות כדרך לפתרון סכסוכים ומחלוקות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מחויבותו של בית המשפט להילחם בתופעה זו בדרך של הטלת עונשים מרתיעים ומשמעותיים שישקפו מסר מרתיע לעבריינים ולחברה כולה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1"/>
        <w:spacing w:lineRule="auto" w:line="276" w:before="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הנוקטים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האינדיווידואלי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הפוטנציאלים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טולרנטית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16.8.2007</w:t>
      </w:r>
      <w:r>
        <w:rPr>
          <w:rtl w:val="true"/>
        </w:rPr>
        <w:t>)).</w:t>
      </w:r>
    </w:p>
    <w:p>
      <w:pPr>
        <w:pStyle w:val="Ruller51"/>
        <w:spacing w:lineRule="auto" w:line="360"/>
        <w:ind w:firstLine="720" w:start="0"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3.9.2009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8568/14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19.5.2015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איכילוב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27.6.2014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6048/20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>).</w:t>
      </w:r>
    </w:p>
    <w:p>
      <w:pPr>
        <w:pStyle w:val="Ruller51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spacing w:before="0" w:after="240"/>
        <w:ind w:hanging="0" w:start="0" w:end="0"/>
        <w:jc w:val="both"/>
        <w:rPr/>
      </w:pPr>
      <w:r>
        <w:rPr>
          <w:shd w:fill="FFFFFF" w:val="clear"/>
          <w:rtl w:val="true"/>
        </w:rPr>
        <w:t xml:space="preserve">כן עמדה </w:t>
      </w:r>
      <w:r>
        <w:rPr>
          <w:rtl w:val="true"/>
        </w:rPr>
        <w:t>הפסיקה על הסכנות לפרט ולחברה הכרוכות בעבירות בנשק בכלל</w:t>
      </w:r>
      <w:r>
        <w:rPr>
          <w:rtl w:val="true"/>
        </w:rPr>
        <w:t xml:space="preserve">, </w:t>
      </w:r>
      <w:r>
        <w:rPr>
          <w:rtl w:val="true"/>
        </w:rPr>
        <w:t xml:space="preserve">ובשימוש בנשק חם לפתרון סכסוכים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6.10.2016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17.8.2015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ריאן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29.3.2016</w:t>
      </w:r>
      <w:r>
        <w:rPr>
          <w:rtl w:val="true"/>
        </w:rPr>
        <w:t xml:space="preserve">)). </w:t>
      </w:r>
      <w:r>
        <w:rPr>
          <w:rtl w:val="true"/>
        </w:rPr>
        <w:t>חומרה מיוחדת מיוחסת לאותם מקרים בהם השימוש בנשק חם נעשה בסביבת בית מגורים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>:</w:t>
      </w:r>
    </w:p>
    <w:p>
      <w:pPr>
        <w:pStyle w:val="Ruller51"/>
        <w:spacing w:lineRule="auto" w:line="2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והרס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17.9.2015</w:t>
      </w:r>
      <w:r>
        <w:rPr>
          <w:rtl w:val="true"/>
        </w:rPr>
        <w:t xml:space="preserve">). </w:t>
      </w:r>
    </w:p>
    <w:p>
      <w:pPr>
        <w:pStyle w:val="Ruller51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pacing w:before="0" w:after="240"/>
        <w:ind w:firstLine="720" w:start="0" w:end="0"/>
        <w:jc w:val="both"/>
        <w:rPr/>
      </w:pPr>
      <w:r>
        <w:rPr>
          <w:shd w:fill="FFFFFF" w:val="clear"/>
          <w:rtl w:val="true"/>
        </w:rPr>
        <w:t>ו</w:t>
      </w:r>
      <w:r>
        <w:rPr>
          <w:rtl w:val="true"/>
        </w:rPr>
        <w:t>כפי שנזדמן לי להעיר לאחרונה</w:t>
      </w:r>
      <w:r>
        <w:rPr>
          <w:rtl w:val="true"/>
        </w:rPr>
        <w:t xml:space="preserve">, </w:t>
      </w:r>
      <w:r>
        <w:rPr>
          <w:rtl w:val="true"/>
        </w:rPr>
        <w:t>התופעה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וכל שכן השימוש בו</w:t>
      </w:r>
      <w:r>
        <w:rPr>
          <w:rtl w:val="true"/>
        </w:rPr>
        <w:t xml:space="preserve">, </w:t>
      </w:r>
      <w:r>
        <w:rPr>
          <w:rtl w:val="true"/>
        </w:rPr>
        <w:t>מהווים  איום על שלום הציבור ותשתית למגוון רחב של עבירות</w:t>
      </w:r>
      <w:r>
        <w:rPr>
          <w:rtl w:val="true"/>
        </w:rPr>
        <w:t xml:space="preserve">, </w:t>
      </w:r>
      <w:r>
        <w:rPr>
          <w:rtl w:val="true"/>
        </w:rPr>
        <w:t xml:space="preserve">ומחייבת </w:t>
      </w:r>
      <w:r>
        <w:rPr>
          <w:rFonts w:ascii="FrankRuehl;Times New Roman" w:hAnsi="FrankRuehl;Times New Roman" w:cs="FrankRuehl;Times New Roman"/>
          <w:rtl w:val="true"/>
        </w:rPr>
        <w:t>הירתמות גם של בתי המשפט על ידי ענישה מחמירה ומרתיעה</w:t>
      </w:r>
      <w:r>
        <w:rPr>
          <w:rtl w:val="true"/>
        </w:rPr>
        <w:t xml:space="preserve"> </w:t>
      </w:r>
      <w:r>
        <w:rPr>
          <w:rtl w:val="true"/>
        </w:rPr>
        <w:t>-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איין</w:t>
      </w:r>
      <w:r>
        <w:rPr>
          <w:rtl w:val="true"/>
        </w:rPr>
        <w:t xml:space="preserve">' </w:t>
      </w:r>
      <w:r>
        <w:rPr>
          <w:rFonts w:cs="Calibri Light" w:ascii="Calibri Light" w:hAnsi="Calibri Light"/>
          <w:spacing w:val="0"/>
          <w:sz w:val="24"/>
          <w:szCs w:val="24"/>
          <w:rtl w:val="true"/>
        </w:rPr>
        <w:t>(</w:t>
      </w:r>
      <w:r>
        <w:rPr>
          <w:rFonts w:cs="Calibri" w:ascii="Calibri" w:hAnsi="Calibri"/>
          <w:spacing w:val="0"/>
          <w:sz w:val="24"/>
          <w:szCs w:val="24"/>
        </w:rPr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... </w:t>
      </w:r>
    </w:p>
    <w:p>
      <w:pPr>
        <w:pStyle w:val="Ruller51"/>
        <w:spacing w:lineRule="auto" w:line="276" w:before="0" w:after="120"/>
        <w:ind w:end="1282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... </w:t>
      </w:r>
    </w:p>
    <w:p>
      <w:pPr>
        <w:pStyle w:val="Ruller51"/>
        <w:spacing w:lineRule="auto" w:line="276" w:before="0" w:after="240"/>
        <w:ind w:end="1282"/>
        <w:jc w:val="both"/>
        <w:rPr/>
      </w:pPr>
      <w:r>
        <w:rPr>
          <w:rtl w:val="true"/>
        </w:rPr>
        <w:t>ביעור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הביצה</w:t>
      </w:r>
      <w:r>
        <w:rPr>
          <w:rtl w:val="true"/>
        </w:rPr>
        <w:t xml:space="preserve">' </w:t>
      </w:r>
      <w:r>
        <w:rPr>
          <w:rtl w:val="true"/>
        </w:rPr>
        <w:t>המשמשת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לגידולן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>" (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4406/19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5.11.2019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1944/20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אמארה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2.9.2020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פאדי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גריפאת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22.12.2020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אדהאם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5.12.2006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1"/>
        <w:spacing w:lineRule="auto" w:line="360"/>
        <w:ind w:start="84" w:end="1282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spacing w:before="10" w:after="0"/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  <w:t>נוכח כל 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 לדחות אפוא את טענת המערער כי שגה בית משפט קמא בקביעת מתחם העונש ההולם בעניינו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 בקביעת עונשו בגדרי המתחם שקבע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מעשיו של המערער מחייבים אפוא ענישה ההולמת את חומרת המעשים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 יהא בה גם משום  הרתעת הרבים מפני ביצוע עבירות דומות</w:t>
      </w:r>
      <w:r>
        <w:rPr>
          <w:color w:val="000000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24.3.2021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20062770</w:t>
      </w:r>
      <w:r>
        <w:rPr>
          <w:sz w:val="16"/>
          <w:rtl w:val="true"/>
        </w:rPr>
        <w:t>_</w:t>
      </w:r>
      <w:r>
        <w:rPr>
          <w:sz w:val="16"/>
        </w:rPr>
        <w:t>B04.docx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54678313-6277/20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803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6277/20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קנאו דניאל היילי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b w:val="false"/>
        <w:szCs w:val="28"/>
        <w:bCs w:val="false"/>
        <w:rFonts w:cs="FrankRuehl;Times New Roman"/>
      </w:rPr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6">
    <w:lvl w:ilvl="0">
      <w:start w:val="1"/>
      <w:numFmt w:val="decimal"/>
      <w:lvlText w:val="[%1]"/>
      <w:lvlJc w:val="start"/>
      <w:pPr>
        <w:tabs>
          <w:tab w:val="num" w:pos="1152"/>
        </w:tabs>
        <w:ind w:start="0" w:hanging="0"/>
      </w:pPr>
      <w:rPr>
        <w:sz w:val="24"/>
        <w:i w:val="false"/>
        <w:rFonts w:ascii="Times New Roman;Times New Roman" w:hAnsi="Times New Roman;Times New Roman" w:cs="Times New Roman;Times New Roman"/>
        <w:color w:val="000000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080" w:hanging="360"/>
      </w:pPr>
      <w:rPr/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7">
    <w:lvl w:ilvl="0">
      <w:start w:val="3"/>
      <w:numFmt w:val="bullet"/>
      <w:lvlText w:val="-"/>
      <w:lvlJc w:val="end"/>
      <w:pPr>
        <w:tabs>
          <w:tab w:val="num" w:pos="0"/>
        </w:tabs>
        <w:ind w:start="717" w:hanging="360"/>
      </w:pPr>
      <w:rPr>
        <w:rFonts w:ascii="Century" w:hAnsi="Century" w:cs="Century" w:hint="default"/>
        <w:sz w:val="24"/>
        <w:b/>
      </w:rPr>
    </w:lvl>
  </w:abstractNum>
  <w:abstractNum w:abstractNumId="8">
    <w:lvl w:ilvl="0">
      <w:start w:val="3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b w:val="false"/>
        <w:szCs w:val="28"/>
        <w:bCs w:val="false"/>
        <w:rFonts w:cs="FrankRuehl;Times New Roman"/>
      </w:r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szCs w:val="28"/>
      </w:rPr>
    </w:lvl>
  </w:abstractNum>
  <w:abstractNum w:abstractNumId="10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verflowPunct w:val="true"/>
      <w:autoSpaceDE w:val="true"/>
      <w:bidi w:val="0"/>
      <w:spacing w:lineRule="auto" w:line="360" w:before="40" w:after="0"/>
      <w:textAlignment w:val="auto"/>
      <w:outlineLvl w:val="1"/>
    </w:pPr>
    <w:rPr>
      <w:rFonts w:ascii="Calibri Light" w:hAnsi="Calibri Light" w:eastAsia="Times New Roman;Times New Roman" w:cs="Times New Roman;Times New Roman"/>
      <w:color w:val="2E74B5"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overflowPunct w:val="true"/>
      <w:autoSpaceDE w:val="true"/>
      <w:bidi w:val="0"/>
      <w:spacing w:lineRule="auto" w:line="360" w:before="40" w:after="0"/>
      <w:textAlignment w:val="auto"/>
      <w:outlineLvl w:val="4"/>
    </w:pPr>
    <w:rPr>
      <w:rFonts w:ascii="Calibri Light" w:hAnsi="Calibri Light" w:eastAsia="Times New Roman;Times New Roman" w:cs="Times New Roman;Times New Roman"/>
      <w:color w:val="2E74B5"/>
      <w:sz w:val="28"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;Times New Roman"/>
      <w:b w:val="false"/>
      <w:bCs w:val="false"/>
      <w:sz w:val="24"/>
      <w:szCs w:val="28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5z0">
    <w:name w:val="WW8Num15z0"/>
    <w:qFormat/>
    <w:rPr>
      <w:sz w:val="28"/>
      <w:szCs w:val="28"/>
    </w:rPr>
  </w:style>
  <w:style w:type="character" w:styleId="WW8Num16z0">
    <w:name w:val="WW8Num16z0"/>
    <w:qFormat/>
    <w:rPr>
      <w:rFonts w:cs="David;Times New Roman"/>
      <w:b w:val="false"/>
      <w:bCs w:val="false"/>
      <w:sz w:val="24"/>
      <w:szCs w:val="24"/>
      <w:lang w:val="en-US"/>
    </w:rPr>
  </w:style>
  <w:style w:type="character" w:styleId="WW8Num17z0">
    <w:name w:val="WW8Num17z0"/>
    <w:qFormat/>
    <w:rPr>
      <w:rFonts w:ascii="FrankRuehl;Times New Roman" w:hAnsi="FrankRuehl;Times New Roman" w:cs="FrankRuehl;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3"/>
      <w:sz w:val="23"/>
      <w:szCs w:val="23"/>
      <w:u w:val="none" w:color="000000"/>
      <w:vertAlign w:val="baseline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b w:val="false"/>
      <w:bCs w:val="false"/>
      <w:color w:val="000000"/>
      <w:lang w:val="en-US"/>
    </w:rPr>
  </w:style>
  <w:style w:type="character" w:styleId="WW8Num22z1">
    <w:name w:val="WW8Num22z1"/>
    <w:qFormat/>
    <w:rPr>
      <w:rFonts w:ascii="Calibri" w:hAnsi="Calibri" w:eastAsia="Calibri" w:cs="David;Times New Roman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8z0">
    <w:name w:val="WW8Num28z0"/>
    <w:qFormat/>
    <w:rPr>
      <w:color w:val="000000"/>
    </w:rPr>
  </w:style>
  <w:style w:type="character" w:styleId="WW8Num28z1">
    <w:name w:val="WW8Num28z1"/>
    <w:qFormat/>
    <w:rPr>
      <w:rFonts w:ascii="Wingdings" w:hAnsi="Wingdings" w:cs="Wingdings"/>
      <w:color w:val="000000"/>
    </w:rPr>
  </w:style>
  <w:style w:type="character" w:styleId="WW8Num28z2">
    <w:name w:val="WW8Num28z2"/>
    <w:qFormat/>
    <w:rPr>
      <w:rFonts w:ascii="Times New Roman;Times New Roman" w:hAnsi="Times New Roman;Times New Roman" w:eastAsia="Times New Roman;Times New Roman" w:cs="Times New Roman;Times New Roman"/>
      <w:color w:val="000000"/>
    </w:rPr>
  </w:style>
  <w:style w:type="character" w:styleId="WW8Num29z0">
    <w:name w:val="WW8Num29z0"/>
    <w:qFormat/>
    <w:rPr/>
  </w:style>
  <w:style w:type="character" w:styleId="WW8Num30z0">
    <w:name w:val="WW8Num30z0"/>
    <w:qFormat/>
    <w:rPr>
      <w:rFonts w:ascii="Times New Roman;Times New Roman" w:hAnsi="Times New Roman;Times New Roman" w:cs="Times New Roman;Times New Roman"/>
      <w:i w:val="false"/>
      <w:color w:val="000000"/>
      <w:sz w:val="24"/>
    </w:rPr>
  </w:style>
  <w:style w:type="character" w:styleId="WW8Num30z1">
    <w:name w:val="WW8Num30z1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Century" w:hAnsi="Century" w:eastAsia="Times New Roman;Times New Roman" w:cs="Miriam"/>
      <w:b/>
      <w:sz w:val="24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cs="Miriam"/>
      <w:sz w:val="26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4">
    <w:name w:val=" Char Char4"/>
    <w:qFormat/>
    <w:rPr>
      <w:rFonts w:cs="David;Times New Roman"/>
    </w:rPr>
  </w:style>
  <w:style w:type="character" w:styleId="CharChar3">
    <w:name w:val=" Char Char3"/>
    <w:qFormat/>
    <w:rPr>
      <w:rFonts w:cs="David;Times New Roman"/>
      <w:b/>
      <w:bCs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harChar7">
    <w:name w:val=" Char Char7"/>
    <w:qFormat/>
    <w:rPr>
      <w:rFonts w:ascii="Calibri Light" w:hAnsi="Calibri Light" w:eastAsia="Times New Roman;Times New Roman" w:cs="Times New Roman;Times New Roman"/>
      <w:color w:val="2E74B5"/>
      <w:sz w:val="26"/>
      <w:szCs w:val="26"/>
    </w:rPr>
  </w:style>
  <w:style w:type="character" w:styleId="CharChar6">
    <w:name w:val=" Char Char6"/>
    <w:qFormat/>
    <w:rPr>
      <w:rFonts w:ascii="Calibri Light" w:hAnsi="Calibri Light" w:eastAsia="Times New Roman;Times New Roman" w:cs="Times New Roman;Times New Roman"/>
      <w:color w:val="2E74B5"/>
      <w:sz w:val="2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default">
    <w:name w:val="default"/>
    <w:qFormat/>
    <w:rPr>
      <w:rFonts w:ascii="Times New Roman;Times New Roman" w:hAnsi="Times New Roman;Times New Roman" w:cs="Times New Roman;Times New Roman"/>
      <w:sz w:val="26"/>
      <w:szCs w:val="26"/>
    </w:rPr>
  </w:style>
  <w:style w:type="character" w:styleId="Strong">
    <w:name w:val="Strong"/>
    <w:qFormat/>
    <w:rPr>
      <w:rFonts w:cs="FrankRuehl;Times New Roman"/>
      <w:b w:val="false"/>
      <w:bCs w:val="false"/>
    </w:rPr>
  </w:style>
  <w:style w:type="character" w:styleId="Ruller5">
    <w:name w:val="Ruller5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big-number">
    <w:name w:val="big-number"/>
    <w:basedOn w:val="DefaultParagraphFont"/>
    <w:qFormat/>
    <w:rPr/>
  </w:style>
  <w:style w:type="character" w:styleId="CharChar5">
    <w:name w:val=" Char Char5"/>
    <w:qFormat/>
    <w:rPr>
      <w:rFonts w:cs="David;Times New Roman"/>
      <w:szCs w:val="24"/>
    </w:rPr>
  </w:style>
  <w:style w:type="character" w:styleId="PlaceholderText">
    <w:name w:val="Placeholder Text"/>
    <w:qFormat/>
    <w:rPr>
      <w:color w:val="808080"/>
    </w:rPr>
  </w:style>
  <w:style w:type="character" w:styleId="CharChar1">
    <w:name w:val=" Char Char1"/>
    <w:qFormat/>
    <w:rPr>
      <w:rFonts w:cs="FrankRuehl;Times New Roman"/>
    </w:rPr>
  </w:style>
  <w:style w:type="character" w:styleId="EndnoteCharacters">
    <w:name w:val="Endnote Characters"/>
    <w:qFormat/>
    <w:rPr>
      <w:vertAlign w:val="superscript"/>
    </w:rPr>
  </w:style>
  <w:style w:type="character" w:styleId="CharChar">
    <w:name w:val=" Char Char"/>
    <w:qFormat/>
    <w:rPr>
      <w:rFonts w:cs="FrankRuehl;Times New Roman"/>
    </w:rPr>
  </w:style>
  <w:style w:type="character" w:styleId="FootnoteCharacters">
    <w:name w:val="Footnote Characters"/>
    <w:qFormat/>
    <w:rPr>
      <w:vertAlign w:val="superscript"/>
    </w:rPr>
  </w:style>
  <w:style w:type="character" w:styleId="a">
    <w:name w:val="a"/>
    <w:basedOn w:val="DefaultParagraphFont"/>
    <w:qFormat/>
    <w:rPr/>
  </w:style>
  <w:style w:type="character" w:styleId="highlight">
    <w:name w:val="highligh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overflowPunct w:val="true"/>
      <w:autoSpaceDE w:val="true"/>
      <w:textAlignment w:val="auto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5"/>
      </w:numPr>
      <w:overflowPunct w:val="true"/>
      <w:autoSpaceDE w:val="true"/>
      <w:textAlignment w:val="auto"/>
    </w:pPr>
    <w:rPr>
      <w:sz w:val="28"/>
    </w:rPr>
  </w:style>
  <w:style w:type="paragraph" w:styleId="ListParagraph">
    <w:name w:val="List Paragraph"/>
    <w:basedOn w:val="Normal"/>
    <w:qFormat/>
    <w:pPr>
      <w:overflowPunct w:val="true"/>
      <w:autoSpaceDE w:val="true"/>
      <w:bidi w:val="0"/>
      <w:spacing w:lineRule="auto" w:line="360" w:before="0" w:after="0"/>
      <w:ind w:hanging="0" w:start="720" w:end="0"/>
      <w:contextualSpacing/>
      <w:textAlignment w:val="auto"/>
    </w:pPr>
    <w:rPr>
      <w:rFonts w:cs="FrankRuehl;Times New Roman"/>
      <w:sz w:val="28"/>
      <w:szCs w:val="20"/>
    </w:rPr>
  </w:style>
  <w:style w:type="paragraph" w:styleId="1">
    <w:name w:val="סגנון1"/>
    <w:basedOn w:val="Normal"/>
    <w:qFormat/>
    <w:pPr>
      <w:spacing w:lineRule="auto" w:line="360"/>
      <w:jc w:val="both"/>
      <w:textAlignment w:val="auto"/>
    </w:pPr>
    <w:rPr>
      <w:rFonts w:ascii="Century" w:hAnsi="Century" w:cs="Times New Roman;Times New Roman"/>
      <w:spacing w:val="10"/>
      <w:sz w:val="22"/>
      <w:szCs w:val="22"/>
    </w:rPr>
  </w:style>
  <w:style w:type="paragraph" w:styleId="Style12">
    <w:name w:val="כללי"/>
    <w:basedOn w:val="Normal"/>
    <w:qFormat/>
    <w:pPr>
      <w:spacing w:lineRule="exact" w:line="280" w:before="0" w:after="240"/>
      <w:ind w:firstLine="284" w:start="0" w:end="0"/>
      <w:jc w:val="both"/>
      <w:textAlignment w:val="auto"/>
    </w:pPr>
    <w:rPr>
      <w:rFonts w:cs="FrankRuehl;Times New Roman"/>
    </w:rPr>
  </w:style>
  <w:style w:type="paragraph" w:styleId="EndnoteText">
    <w:name w:val="endnote text"/>
    <w:basedOn w:val="Normal"/>
    <w:pPr>
      <w:overflowPunct w:val="true"/>
      <w:autoSpaceDE w:val="true"/>
      <w:bidi w:val="0"/>
      <w:textAlignment w:val="auto"/>
    </w:pPr>
    <w:rPr>
      <w:rFonts w:cs="FrankRuehl;Times New Roman"/>
      <w:szCs w:val="20"/>
    </w:rPr>
  </w:style>
  <w:style w:type="paragraph" w:styleId="FootnoteText">
    <w:name w:val="footnote text"/>
    <w:basedOn w:val="Normal"/>
    <w:pPr>
      <w:overflowPunct w:val="true"/>
      <w:autoSpaceDE w:val="true"/>
      <w:bidi w:val="0"/>
      <w:textAlignment w:val="auto"/>
    </w:pPr>
    <w:rPr>
      <w:rFonts w:cs="FrankRuehl;Times New Roman"/>
      <w:szCs w:val="20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ruller51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Style13">
    <w:name w:val="מספר הליך"/>
    <w:basedOn w:val="Normal"/>
    <w:qFormat/>
    <w:pPr>
      <w:spacing w:lineRule="exact" w:line="280" w:before="0" w:after="240"/>
      <w:ind w:firstLine="284" w:start="0" w:end="0"/>
      <w:jc w:val="end"/>
      <w:textAlignment w:val="auto"/>
    </w:pPr>
    <w:rPr>
      <w:rFonts w:cs="FrankRuehl;Times New Roman"/>
      <w:szCs w:val="28"/>
    </w:rPr>
  </w:style>
  <w:style w:type="paragraph" w:styleId="ParaNoNdepar-AltN">
    <w:name w:val="Para. No. / Nº de par. - Alt N"/>
    <w:qFormat/>
    <w:pPr>
      <w:widowControl/>
      <w:numPr>
        <w:ilvl w:val="0"/>
        <w:numId w:val="6"/>
      </w:numPr>
      <w:bidi w:val="0"/>
      <w:spacing w:lineRule="auto" w:line="480" w:before="480" w:after="480"/>
      <w:jc w:val="both"/>
    </w:pPr>
    <w:rPr>
      <w:rFonts w:ascii="Times New Roman;Times New Roman" w:hAnsi="Times New Roman;Times New Roman" w:eastAsia="Times New Roman;Times New Roman" w:cs="Arial"/>
      <w:color w:val="auto"/>
      <w:sz w:val="24"/>
      <w:szCs w:val="22"/>
      <w:lang w:val="en-CA" w:bidi="ar-SA" w:eastAsia="zh-CN"/>
    </w:rPr>
  </w:style>
  <w:style w:type="paragraph" w:styleId="bodyverdict1">
    <w:name w:val="bodyverdict"/>
    <w:basedOn w:val="Normal"/>
    <w:qFormat/>
    <w:pPr>
      <w:textAlignment w:val="auto"/>
    </w:pPr>
    <w:rPr>
      <w:rFonts w:cs="Times New Roman;Times New Roman"/>
      <w:spacing w:val="10"/>
      <w:sz w:val="22"/>
      <w:szCs w:val="22"/>
    </w:rPr>
  </w:style>
  <w:style w:type="paragraph" w:styleId="11">
    <w:name w:val="1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;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266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9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case/25026605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40a.b.1" TargetMode="External"/><Relationship Id="rId13" Type="http://schemas.openxmlformats.org/officeDocument/2006/relationships/hyperlink" Target="http://www.nevo.co.il/law/70301/249" TargetMode="External"/><Relationship Id="rId14" Type="http://schemas.openxmlformats.org/officeDocument/2006/relationships/hyperlink" Target="http://www.nevo.co.il/case/5896936" TargetMode="External"/><Relationship Id="rId15" Type="http://schemas.openxmlformats.org/officeDocument/2006/relationships/hyperlink" Target="http://www.nevo.co.il/case/26518589" TargetMode="External"/><Relationship Id="rId16" Type="http://schemas.openxmlformats.org/officeDocument/2006/relationships/hyperlink" Target="http://www.nevo.co.il/case/6058753" TargetMode="External"/><Relationship Id="rId17" Type="http://schemas.openxmlformats.org/officeDocument/2006/relationships/hyperlink" Target="http://www.nevo.co.il/case/6246489" TargetMode="External"/><Relationship Id="rId18" Type="http://schemas.openxmlformats.org/officeDocument/2006/relationships/hyperlink" Target="http://www.nevo.co.il/case/5675833" TargetMode="External"/><Relationship Id="rId19" Type="http://schemas.openxmlformats.org/officeDocument/2006/relationships/hyperlink" Target="http://www.nevo.co.il/case/5614108" TargetMode="External"/><Relationship Id="rId20" Type="http://schemas.openxmlformats.org/officeDocument/2006/relationships/hyperlink" Target="http://www.nevo.co.il/case/5755940" TargetMode="External"/><Relationship Id="rId21" Type="http://schemas.openxmlformats.org/officeDocument/2006/relationships/hyperlink" Target="http://www.nevo.co.il/case/24156665" TargetMode="External"/><Relationship Id="rId22" Type="http://schemas.openxmlformats.org/officeDocument/2006/relationships/hyperlink" Target="http://www.nevo.co.il/case/17913797" TargetMode="External"/><Relationship Id="rId23" Type="http://schemas.openxmlformats.org/officeDocument/2006/relationships/hyperlink" Target="http://www.nevo.co.il/case/21015204" TargetMode="External"/><Relationship Id="rId24" Type="http://schemas.openxmlformats.org/officeDocument/2006/relationships/hyperlink" Target="http://www.nevo.co.il/case/5875490" TargetMode="External"/><Relationship Id="rId25" Type="http://schemas.openxmlformats.org/officeDocument/2006/relationships/hyperlink" Target="http://www.nevo.co.il/case/24263086" TargetMode="External"/><Relationship Id="rId26" Type="http://schemas.openxmlformats.org/officeDocument/2006/relationships/hyperlink" Target="http://www.nevo.co.il/case/17932164" TargetMode="External"/><Relationship Id="rId27" Type="http://schemas.openxmlformats.org/officeDocument/2006/relationships/hyperlink" Target="http://www.nevo.co.il/case/5880222" TargetMode="External"/><Relationship Id="rId28" Type="http://schemas.openxmlformats.org/officeDocument/2006/relationships/hyperlink" Target="http://www.nevo.co.il/case/5910426" TargetMode="External"/><Relationship Id="rId29" Type="http://schemas.openxmlformats.org/officeDocument/2006/relationships/hyperlink" Target="http://www.nevo.co.il/case/5594376" TargetMode="External"/><Relationship Id="rId30" Type="http://schemas.openxmlformats.org/officeDocument/2006/relationships/hyperlink" Target="http://www.nevo.co.il/case/637380" TargetMode="External"/><Relationship Id="rId31" Type="http://schemas.openxmlformats.org/officeDocument/2006/relationships/hyperlink" Target="http://www.nevo.co.il/case/6103934" TargetMode="External"/><Relationship Id="rId32" Type="http://schemas.openxmlformats.org/officeDocument/2006/relationships/hyperlink" Target="http://www.nevo.co.il/case/18736271" TargetMode="External"/><Relationship Id="rId33" Type="http://schemas.openxmlformats.org/officeDocument/2006/relationships/hyperlink" Target="http://www.nevo.co.il/case/23833066" TargetMode="External"/><Relationship Id="rId34" Type="http://schemas.openxmlformats.org/officeDocument/2006/relationships/hyperlink" Target="http://www.nevo.co.il/case/22224597" TargetMode="External"/><Relationship Id="rId35" Type="http://schemas.openxmlformats.org/officeDocument/2006/relationships/hyperlink" Target="http://www.nevo.co.il/case/26964499" TargetMode="External"/><Relationship Id="rId36" Type="http://schemas.openxmlformats.org/officeDocument/2006/relationships/hyperlink" Target="http://www.nevo.co.il/case/21474922" TargetMode="External"/><Relationship Id="rId37" Type="http://schemas.openxmlformats.org/officeDocument/2006/relationships/hyperlink" Target="http://www.nevo.co.il/case/16968075" TargetMode="External"/><Relationship Id="rId38" Type="http://schemas.openxmlformats.org/officeDocument/2006/relationships/hyperlink" Target="http://www.nevo.co.il/case/20450586" TargetMode="External"/><Relationship Id="rId39" Type="http://schemas.openxmlformats.org/officeDocument/2006/relationships/hyperlink" Target="http://www.nevo.co.il/case/20291305" TargetMode="External"/><Relationship Id="rId40" Type="http://schemas.openxmlformats.org/officeDocument/2006/relationships/hyperlink" Target="http://www.nevo.co.il/case/25824863" TargetMode="External"/><Relationship Id="rId41" Type="http://schemas.openxmlformats.org/officeDocument/2006/relationships/hyperlink" Target="http://www.nevo.co.il/case/26538254" TargetMode="External"/><Relationship Id="rId42" Type="http://schemas.openxmlformats.org/officeDocument/2006/relationships/hyperlink" Target="http://www.nevo.co.il/case/27171364" TargetMode="External"/><Relationship Id="rId43" Type="http://schemas.openxmlformats.org/officeDocument/2006/relationships/hyperlink" Target="http://www.nevo.co.il/case/6072945" TargetMode="External"/><Relationship Id="rId44" Type="http://schemas.openxmlformats.org/officeDocument/2006/relationships/hyperlink" Target="http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2021-03-25T09:48:00Z</dcterms:created>
  <dc:creator>h4</dc:creator>
  <dc:description/>
  <cp:keywords/>
  <dc:language>en-IL</dc:language>
  <cp:lastModifiedBy>orly</cp:lastModifiedBy>
  <cp:lastPrinted>2021-03-24T09:36:00Z</cp:lastPrinted>
  <dcterms:modified xsi:type="dcterms:W3CDTF">2021-03-25T09:48:00Z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קנאו דניאל היילי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25026605:2;5896936;26518589;6058753;6246489;5675833;5614108;5755940;24156665;17913797;21015204;5875490;24263086;17932164;5880222;5910426;5594376;637380;6103934;18736271;23833066;22224597;26964499;21474922;16968075;20450586;20291305;25824863;26538254</vt:lpwstr>
  </property>
  <property fmtid="{D5CDD505-2E9C-101B-9397-08002B2CF9AE}" pid="9" name="CASESLISTTMP2">
    <vt:lpwstr>27171364;6072945</vt:lpwstr>
  </property>
  <property fmtid="{D5CDD505-2E9C-101B-9397-08002B2CF9AE}" pid="10" name="CITY">
    <vt:lpwstr/>
  </property>
  <property fmtid="{D5CDD505-2E9C-101B-9397-08002B2CF9AE}" pid="11" name="DATE">
    <vt:lpwstr>20210324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סולברג;מ' מזוז;א' חיות</vt:lpwstr>
  </property>
  <property fmtid="{D5CDD505-2E9C-101B-9397-08002B2CF9AE}" pid="15" name="LAWLISTTMP1">
    <vt:lpwstr>70301/380;144.b;340a.b.1;249</vt:lpwstr>
  </property>
  <property fmtid="{D5CDD505-2E9C-101B-9397-08002B2CF9AE}" pid="16" name="LAWYER">
    <vt:lpwstr>אופיר ביתן;יניב דניאל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1446;1446;1446;504;504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לחומרה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אי-התערבות בממצאים עובדתיים</vt:lpwstr>
  </property>
  <property fmtid="{D5CDD505-2E9C-101B-9397-08002B2CF9AE}" pid="54" name="NOSE35">
    <vt:lpwstr>אי-התערבות במידת העונש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8984;8995;8982;3849;17039</vt:lpwstr>
  </property>
  <property fmtid="{D5CDD505-2E9C-101B-9397-08002B2CF9AE}" pid="60" name="PADIDATE">
    <vt:lpwstr>20210325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6277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410120210324</vt:lpwstr>
  </property>
  <property fmtid="{D5CDD505-2E9C-101B-9397-08002B2CF9AE}" pid="70" name="TYPE_N_DATE">
    <vt:lpwstr>41020210324</vt:lpwstr>
  </property>
  <property fmtid="{D5CDD505-2E9C-101B-9397-08002B2CF9AE}" pid="71" name="VOLUME">
    <vt:lpwstr/>
  </property>
  <property fmtid="{D5CDD505-2E9C-101B-9397-08002B2CF9AE}" pid="72" name="WORDNUMPAGES">
    <vt:lpwstr>25</vt:lpwstr>
  </property>
</Properties>
</file>