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6326/17</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458"/>
        <w:gridCol w:w="5064"/>
      </w:tblGrid>
      <w:tr>
        <w:trPr>
          <w:trHeight w:val="287" w:hRule="atLeast"/>
        </w:trPr>
        <w:tc>
          <w:tcPr>
            <w:tcW w:w="3458" w:type="dxa"/>
            <w:tcBorders/>
          </w:tcPr>
          <w:p>
            <w:pPr>
              <w:pStyle w:val="BodyRuller1"/>
              <w:ind w:end="0"/>
              <w:jc w:val="start"/>
              <w:rPr>
                <w:rFonts w:cs="Miriam"/>
                <w:b/>
                <w:bCs/>
              </w:rPr>
            </w:pPr>
            <w:r>
              <w:rPr>
                <w:rtl w:val="true"/>
              </w:rPr>
              <w:t>ל</w:t>
            </w:r>
            <w:r>
              <w:rPr>
                <w:rtl w:val="true"/>
              </w:rPr>
              <w:t>פני</w:t>
            </w:r>
            <w:r>
              <w:rPr>
                <w:rtl w:val="true"/>
              </w:rPr>
              <w:t>:</w:t>
              <w:tab/>
            </w:r>
          </w:p>
        </w:tc>
        <w:tc>
          <w:tcPr>
            <w:tcW w:w="5064" w:type="dxa"/>
            <w:tcBorders/>
          </w:tcPr>
          <w:p>
            <w:pPr>
              <w:pStyle w:val="BodyRuller1"/>
              <w:ind w:end="0"/>
              <w:jc w:val="start"/>
              <w:rPr/>
            </w:pPr>
            <w:r>
              <w:rPr>
                <w:rtl w:val="true"/>
              </w:rPr>
              <w:t>כבוד</w:t>
            </w:r>
            <w:r>
              <w:rPr>
                <w:rFonts w:cs="Times New Roman"/>
                <w:rtl w:val="true"/>
              </w:rPr>
              <w:t xml:space="preserve"> </w:t>
            </w:r>
            <w:r>
              <w:rPr>
                <w:rtl w:val="true"/>
              </w:rPr>
              <w:t>הנשיאה</w:t>
            </w:r>
            <w:r>
              <w:rPr>
                <w:rFonts w:cs="Times New Roman"/>
                <w:rtl w:val="true"/>
              </w:rPr>
              <w:t xml:space="preserve"> </w:t>
            </w:r>
            <w:r>
              <w:rPr>
                <w:rtl w:val="true"/>
              </w:rPr>
              <w:t>א</w:t>
            </w:r>
            <w:r>
              <w:rPr>
                <w:rtl w:val="true"/>
              </w:rPr>
              <w:t xml:space="preserve">' </w:t>
            </w:r>
            <w:r>
              <w:rPr>
                <w:rtl w:val="true"/>
              </w:rPr>
              <w:t>חיות</w:t>
            </w:r>
          </w:p>
        </w:tc>
      </w:tr>
      <w:tr>
        <w:trPr>
          <w:trHeight w:val="287" w:hRule="atLeast"/>
        </w:trPr>
        <w:tc>
          <w:tcPr>
            <w:tcW w:w="3458" w:type="dxa"/>
            <w:tcBorders/>
          </w:tcPr>
          <w:p>
            <w:pPr>
              <w:pStyle w:val="BodyRuller1"/>
              <w:snapToGrid w:val="false"/>
              <w:ind w:end="0"/>
              <w:jc w:val="start"/>
              <w:rPr/>
            </w:pPr>
            <w:r>
              <w:rPr>
                <w:rtl w:val="true"/>
              </w:rPr>
            </w:r>
          </w:p>
        </w:tc>
        <w:tc>
          <w:tcPr>
            <w:tcW w:w="506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פוגלמן</w:t>
            </w:r>
          </w:p>
        </w:tc>
      </w:tr>
      <w:tr>
        <w:trPr>
          <w:trHeight w:val="287" w:hRule="atLeast"/>
        </w:trPr>
        <w:tc>
          <w:tcPr>
            <w:tcW w:w="3458" w:type="dxa"/>
            <w:tcBorders/>
          </w:tcPr>
          <w:p>
            <w:pPr>
              <w:pStyle w:val="BodyRuller1"/>
              <w:snapToGrid w:val="false"/>
              <w:ind w:end="0"/>
              <w:jc w:val="start"/>
              <w:rPr/>
            </w:pPr>
            <w:r>
              <w:rPr>
                <w:rtl w:val="true"/>
              </w:rPr>
            </w:r>
          </w:p>
        </w:tc>
        <w:tc>
          <w:tcPr>
            <w:tcW w:w="506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522" w:type="dxa"/>
        <w:jc w:val="end"/>
        <w:tblInd w:w="0" w:type="dxa"/>
        <w:tblLayout w:type="fixed"/>
        <w:tblCellMar>
          <w:top w:w="0" w:type="dxa"/>
          <w:start w:w="108" w:type="dxa"/>
          <w:bottom w:w="0" w:type="dxa"/>
          <w:end w:w="108" w:type="dxa"/>
        </w:tblCellMar>
      </w:tblPr>
      <w:tblGrid>
        <w:gridCol w:w="3458"/>
        <w:gridCol w:w="5064"/>
      </w:tblGrid>
      <w:tr>
        <w:trPr/>
        <w:tc>
          <w:tcPr>
            <w:tcW w:w="3458" w:type="dxa"/>
            <w:tcBorders/>
          </w:tcPr>
          <w:p>
            <w:pPr>
              <w:pStyle w:val="BodyRuller1"/>
              <w:ind w:end="0"/>
              <w:jc w:val="start"/>
              <w:rPr/>
            </w:pPr>
            <w:bookmarkStart w:id="3" w:name="FirstAppellant"/>
            <w:bookmarkEnd w:id="3"/>
            <w:r>
              <w:rPr>
                <w:rtl w:val="true"/>
              </w:rPr>
              <w:t>המערער</w:t>
            </w:r>
            <w:r>
              <w:rPr>
                <w:rtl w:val="true"/>
              </w:rPr>
              <w:t>:</w:t>
            </w:r>
          </w:p>
        </w:tc>
        <w:tc>
          <w:tcPr>
            <w:tcW w:w="5064"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458"/>
        <w:gridCol w:w="5064"/>
      </w:tblGrid>
      <w:tr>
        <w:trPr/>
        <w:tc>
          <w:tcPr>
            <w:tcW w:w="3458" w:type="dxa"/>
            <w:tcBorders/>
          </w:tcPr>
          <w:p>
            <w:pPr>
              <w:pStyle w:val="BodyRuller1"/>
              <w:snapToGrid w:val="false"/>
              <w:ind w:end="0"/>
              <w:jc w:val="start"/>
              <w:rPr/>
            </w:pPr>
            <w:r>
              <w:rPr>
                <w:rtl w:val="true"/>
              </w:rPr>
            </w:r>
          </w:p>
        </w:tc>
        <w:tc>
          <w:tcPr>
            <w:tcW w:w="5064"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458"/>
        <w:gridCol w:w="5064"/>
      </w:tblGrid>
      <w:tr>
        <w:trPr/>
        <w:tc>
          <w:tcPr>
            <w:tcW w:w="3458" w:type="dxa"/>
            <w:tcBorders/>
          </w:tcPr>
          <w:p>
            <w:pPr>
              <w:pStyle w:val="BodyRuller1"/>
              <w:ind w:end="0"/>
              <w:jc w:val="start"/>
              <w:rPr/>
            </w:pPr>
            <w:r>
              <w:rPr>
                <w:rtl w:val="true"/>
              </w:rPr>
              <w:t>המשיב</w:t>
            </w:r>
            <w:r>
              <w:rPr>
                <w:rtl w:val="true"/>
              </w:rPr>
              <w:t>ה</w:t>
            </w:r>
            <w:r>
              <w:rPr>
                <w:rtl w:val="true"/>
              </w:rPr>
              <w:t>:</w:t>
            </w:r>
          </w:p>
        </w:tc>
        <w:tc>
          <w:tcPr>
            <w:tcW w:w="506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064" w:type="dxa"/>
        <w:jc w:val="start"/>
        <w:tblInd w:w="6" w:type="dxa"/>
        <w:tblLayout w:type="fixed"/>
        <w:tblCellMar>
          <w:top w:w="0" w:type="dxa"/>
          <w:start w:w="108" w:type="dxa"/>
          <w:bottom w:w="0" w:type="dxa"/>
          <w:end w:w="108" w:type="dxa"/>
        </w:tblCellMar>
      </w:tblPr>
      <w:tblGrid>
        <w:gridCol w:w="5064"/>
      </w:tblGrid>
      <w:tr>
        <w:trPr/>
        <w:tc>
          <w:tcPr>
            <w:tcW w:w="5064"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חיפה</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32235-12-16</w:t>
              </w:r>
            </w:hyperlink>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ביום</w:t>
            </w:r>
            <w:r>
              <w:rPr>
                <w:rFonts w:cs="Times New Roman"/>
                <w:sz w:val="24"/>
                <w:sz w:val="24"/>
                <w:szCs w:val="24"/>
                <w:rtl w:val="true"/>
              </w:rPr>
              <w:t xml:space="preserve"> </w:t>
            </w:r>
            <w:r>
              <w:rPr>
                <w:sz w:val="24"/>
                <w:szCs w:val="24"/>
              </w:rPr>
              <w:t>18.7.2017</w:t>
            </w:r>
            <w:r>
              <w:rPr>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דניאל</w:t>
            </w:r>
            <w:r>
              <w:rPr>
                <w:rFonts w:cs="Times New Roman"/>
                <w:sz w:val="24"/>
                <w:sz w:val="24"/>
                <w:szCs w:val="24"/>
                <w:rtl w:val="true"/>
              </w:rPr>
              <w:t xml:space="preserve"> </w:t>
            </w:r>
            <w:r>
              <w:rPr>
                <w:sz w:val="24"/>
                <w:sz w:val="24"/>
                <w:szCs w:val="24"/>
                <w:rtl w:val="true"/>
              </w:rPr>
              <w:t>פיש</w:t>
            </w:r>
          </w:p>
        </w:tc>
      </w:tr>
    </w:tbl>
    <w:p>
      <w:pPr>
        <w:pStyle w:val="Ruller31"/>
        <w:ind w:end="0"/>
        <w:jc w:val="start"/>
        <w:rPr/>
      </w:pPr>
      <w:r>
        <w:rPr>
          <w:rtl w:val="true"/>
        </w:rPr>
        <w:tab/>
      </w:r>
    </w:p>
    <w:tbl>
      <w:tblPr>
        <w:bidiVisual w:val="true"/>
        <w:tblW w:w="8535" w:type="dxa"/>
        <w:jc w:val="start"/>
        <w:tblInd w:w="-34" w:type="dxa"/>
        <w:tblLayout w:type="fixed"/>
        <w:tblCellMar>
          <w:top w:w="0" w:type="dxa"/>
          <w:start w:w="108" w:type="dxa"/>
          <w:bottom w:w="0" w:type="dxa"/>
          <w:end w:w="108" w:type="dxa"/>
        </w:tblCellMar>
      </w:tblPr>
      <w:tblGrid>
        <w:gridCol w:w="3431"/>
        <w:gridCol w:w="3969"/>
        <w:gridCol w:w="1135"/>
      </w:tblGrid>
      <w:tr>
        <w:trPr/>
        <w:tc>
          <w:tcPr>
            <w:tcW w:w="3431"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3969" w:type="dxa"/>
            <w:tcBorders/>
          </w:tcPr>
          <w:p>
            <w:pPr>
              <w:pStyle w:val="BodyRuller1"/>
              <w:ind w:end="0"/>
              <w:jc w:val="start"/>
              <w:rPr/>
            </w:pPr>
            <w:r>
              <w:rPr>
                <w:sz w:val="24"/>
                <w:sz w:val="24"/>
                <w:szCs w:val="24"/>
                <w:rtl w:val="true"/>
              </w:rPr>
              <w:t>ב</w:t>
            </w:r>
            <w:r>
              <w:rPr>
                <w:sz w:val="24"/>
                <w:szCs w:val="24"/>
                <w:rtl w:val="true"/>
              </w:rPr>
              <w:t xml:space="preserve">' </w:t>
            </w:r>
            <w:r>
              <w:rPr>
                <w:sz w:val="24"/>
                <w:sz w:val="24"/>
                <w:szCs w:val="24"/>
                <w:rtl w:val="true"/>
              </w:rPr>
              <w:t>בכסלו</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r>
              <w:rPr>
                <w:rFonts w:cs="Times New Roman"/>
                <w:sz w:val="24"/>
                <w:sz w:val="24"/>
                <w:szCs w:val="24"/>
                <w:rtl w:val="true"/>
              </w:rPr>
              <w:t xml:space="preserve"> </w:t>
            </w:r>
            <w:r>
              <w:rPr>
                <w:sz w:val="24"/>
                <w:szCs w:val="24"/>
                <w:rtl w:val="true"/>
              </w:rPr>
              <w:t>(</w:t>
            </w:r>
            <w:r>
              <w:rPr>
                <w:sz w:val="24"/>
                <w:szCs w:val="24"/>
              </w:rPr>
              <w:t>20.11.17</w:t>
            </w:r>
            <w:r>
              <w:rPr>
                <w:sz w:val="24"/>
                <w:szCs w:val="24"/>
                <w:rtl w:val="true"/>
              </w:rPr>
              <w:t>)</w:t>
            </w:r>
          </w:p>
        </w:tc>
        <w:tc>
          <w:tcPr>
            <w:tcW w:w="1135" w:type="dxa"/>
            <w:tcBorders/>
          </w:tcPr>
          <w:p>
            <w:pPr>
              <w:pStyle w:val="BodyRuller1"/>
              <w:snapToGrid w:val="false"/>
              <w:ind w:end="0"/>
              <w:jc w:val="start"/>
              <w:rPr>
                <w:sz w:val="24"/>
                <w:szCs w:val="24"/>
              </w:rPr>
            </w:pPr>
            <w:r>
              <w:rPr>
                <w:sz w:val="24"/>
                <w:szCs w:val="24"/>
                <w:rtl w:val="true"/>
              </w:rPr>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431"/>
        <w:gridCol w:w="5064"/>
      </w:tblGrid>
      <w:tr>
        <w:trPr/>
        <w:tc>
          <w:tcPr>
            <w:tcW w:w="3431"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064" w:type="dxa"/>
            <w:tcBorders/>
          </w:tcPr>
          <w:p>
            <w:pPr>
              <w:pStyle w:val="BodyRuller1"/>
              <w:ind w:end="0"/>
              <w:jc w:val="start"/>
              <w:rPr>
                <w:sz w:val="28"/>
              </w:rPr>
            </w:pP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בדר</w:t>
            </w:r>
            <w:r>
              <w:rPr>
                <w:rFonts w:cs="Times New Roman"/>
                <w:sz w:val="28"/>
                <w:sz w:val="28"/>
                <w:rtl w:val="true"/>
              </w:rPr>
              <w:t xml:space="preserve"> </w:t>
            </w:r>
            <w:r>
              <w:rPr>
                <w:sz w:val="28"/>
                <w:sz w:val="28"/>
                <w:rtl w:val="true"/>
              </w:rPr>
              <w:t>אלדין</w:t>
            </w:r>
            <w:r>
              <w:rPr>
                <w:rFonts w:cs="Times New Roman"/>
                <w:sz w:val="28"/>
                <w:sz w:val="28"/>
                <w:rtl w:val="true"/>
              </w:rPr>
              <w:t xml:space="preserve"> </w:t>
            </w:r>
            <w:r>
              <w:rPr>
                <w:sz w:val="28"/>
                <w:sz w:val="28"/>
                <w:rtl w:val="true"/>
              </w:rPr>
              <w:t>אגבאריה</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431"/>
        <w:gridCol w:w="5064"/>
      </w:tblGrid>
      <w:tr>
        <w:trPr/>
        <w:tc>
          <w:tcPr>
            <w:tcW w:w="3431"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p>
            <w:pPr>
              <w:pStyle w:val="BodyRuller1"/>
              <w:ind w:end="0"/>
              <w:jc w:val="start"/>
              <w:rPr/>
            </w:pPr>
            <w:r>
              <w:rPr>
                <w:rtl w:val="true"/>
              </w:rPr>
            </w:r>
          </w:p>
          <w:p>
            <w:pPr>
              <w:pStyle w:val="BodyRuller1"/>
              <w:ind w:end="0"/>
              <w:jc w:val="start"/>
              <w:rPr/>
            </w:pPr>
            <w:r>
              <w:rPr>
                <w:rtl w:val="true"/>
              </w:rPr>
              <w:t>בשם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למבוגרים</w:t>
            </w:r>
            <w:r>
              <w:rPr>
                <w:rtl w:val="true"/>
              </w:rPr>
              <w:t>:</w:t>
            </w:r>
          </w:p>
        </w:tc>
        <w:tc>
          <w:tcPr>
            <w:tcW w:w="5064"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יעל</w:t>
            </w:r>
            <w:r>
              <w:rPr>
                <w:rFonts w:cs="Times New Roman"/>
                <w:rtl w:val="true"/>
              </w:rPr>
              <w:t xml:space="preserve"> </w:t>
            </w:r>
            <w:r>
              <w:rPr>
                <w:rtl w:val="true"/>
              </w:rPr>
              <w:t>שרף</w:t>
            </w:r>
            <w:r>
              <w:rPr>
                <w:rFonts w:cs="Times New Roman"/>
                <w:rtl w:val="true"/>
              </w:rPr>
              <w:t xml:space="preserve"> </w:t>
            </w:r>
          </w:p>
          <w:p>
            <w:pPr>
              <w:pStyle w:val="BodyRuller1"/>
              <w:ind w:end="0"/>
              <w:jc w:val="start"/>
              <w:rPr/>
            </w:pPr>
            <w:r>
              <w:rPr>
                <w:rtl w:val="true"/>
              </w:rPr>
            </w:r>
          </w:p>
          <w:p>
            <w:pPr>
              <w:pStyle w:val="BodyRuller1"/>
              <w:ind w:end="0"/>
              <w:jc w:val="start"/>
              <w:rPr/>
            </w:pPr>
            <w:r>
              <w:rPr>
                <w:rtl w:val="true"/>
              </w:rPr>
              <w:t>הגב</w:t>
            </w:r>
            <w:r>
              <w:rPr>
                <w:rtl w:val="true"/>
              </w:rPr>
              <w:t xml:space="preserve">' </w:t>
            </w:r>
            <w:r>
              <w:rPr>
                <w:rtl w:val="true"/>
              </w:rPr>
              <w:t>ברכה</w:t>
            </w:r>
            <w:r>
              <w:rPr>
                <w:rFonts w:cs="Times New Roman"/>
                <w:rtl w:val="true"/>
              </w:rPr>
              <w:t xml:space="preserve"> </w:t>
            </w:r>
            <w:r>
              <w:rPr>
                <w:rtl w:val="true"/>
              </w:rPr>
              <w:t>וייס</w:t>
            </w:r>
          </w:p>
        </w:tc>
      </w:tr>
    </w:tbl>
    <w:p>
      <w:pPr>
        <w:pStyle w:val="Normal"/>
        <w:tabs>
          <w:tab w:val="clear" w:pos="720"/>
          <w:tab w:val="left" w:pos="2552" w:leader="none"/>
        </w:tabs>
        <w:ind w:end="0"/>
        <w:jc w:val="start"/>
        <w:rPr/>
      </w:pPr>
      <w:r>
        <w:rPr>
          <w:rtl w:val="true"/>
        </w:rPr>
      </w:r>
      <w:bookmarkStart w:id="5" w:name="LawTable"/>
      <w:bookmarkStart w:id="6" w:name="LawTable"/>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
        <w:r>
          <w:rPr>
            <w:rStyle w:val="Hyperlink"/>
            <w:rFonts w:cs="FrankRuehl" w:ascii="FrankRuehl" w:hAnsi="FrankRuehl"/>
            <w:color w:val="0000FF"/>
            <w:sz w:val="24"/>
            <w:u w:val="single"/>
          </w:rPr>
          <w:t>29</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448</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7" w:name="ABSTRACT_START"/>
      <w:bookmarkStart w:id="8" w:name="LawTable_End"/>
      <w:bookmarkEnd w:id="7"/>
      <w:bookmarkEnd w:id="8"/>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פסק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האיזון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הכולל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שיקולי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חומרת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עבירת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ההצתה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הורשע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והגמול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הראוי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לבין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השיקולים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הפרטניים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ביחס</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לנסיבות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העבירה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ולנסיבות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עצמו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מצדיק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התערבות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בעונשו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שיועמד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18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מאסר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לריצוי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בפועל</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חֶלֶף</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24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בנסיבות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העניין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נמצא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מקום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להורות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עונש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מאסר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הניתן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לריצוי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בעבודות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שירות</w:t>
      </w:r>
      <w:r>
        <w:rPr>
          <w:rFonts w:cs="Times New Roman" w:ascii="Times New Roman" w:hAnsi="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הצתה</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שיקולים לקולה</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התערבות ערכאת ערעור</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דרכי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מאסר</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בתי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משפט – ערעור – התערבות במידת העונש</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הורשע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בעבירה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הצתה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המחוזי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ואדם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נוסף</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האחר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הציתו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צמחייה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בשדה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קוצים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סמוך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לגדר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הכניסה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ליישוב</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עמי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המחוזי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גזר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שהיה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בן</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18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w:t>
      </w:r>
      <w:r>
        <w:rPr>
          <w:rFonts w:cs="Times New Roman" w:ascii="Times New Roman" w:hAnsi="Times New Roman"/>
          <w:spacing w:val="0"/>
          <w:sz w:val="24"/>
          <w:szCs w:val="26"/>
          <w:rtl w:val="true"/>
        </w:rPr>
        <w:t>-</w:t>
      </w:r>
      <w:r>
        <w:rPr>
          <w:rFonts w:cs="Times New Roman" w:ascii="Times New Roman" w:hAnsi="Times New Roman"/>
          <w:spacing w:val="0"/>
          <w:sz w:val="24"/>
          <w:szCs w:val="26"/>
        </w:rPr>
        <w:t>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המעשה</w:t>
      </w:r>
      <w:r>
        <w:rPr>
          <w:rFonts w:cs="Times New Roman" w:ascii="Times New Roman" w:hAnsi="Times New Roman"/>
          <w:spacing w:val="0"/>
          <w:sz w:val="24"/>
          <w:szCs w:val="26"/>
          <w:rtl w:val="true"/>
        </w:rPr>
        <w:t xml:space="preserve">, </w:t>
      </w:r>
      <w:r>
        <w:rPr>
          <w:rFonts w:cs="Times New Roman" w:ascii="Times New Roman" w:hAnsi="Times New Roman"/>
          <w:spacing w:val="0"/>
          <w:sz w:val="24"/>
          <w:szCs w:val="26"/>
        </w:rPr>
        <w:t>24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מאסר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בניכוי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תקופת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מעצרו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ומחצית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מתקופת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מעצרו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באיזוק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אלקטרוני</w:t>
      </w:r>
      <w:r>
        <w:rPr>
          <w:rFonts w:cs="Times New Roman" w:ascii="Times New Roman" w:hAnsi="Times New Roman"/>
          <w:spacing w:val="0"/>
          <w:sz w:val="24"/>
          <w:szCs w:val="26"/>
          <w:rtl w:val="true"/>
        </w:rPr>
        <w:t xml:space="preserve">, </w:t>
      </w:r>
      <w:r>
        <w:rPr>
          <w:rFonts w:cs="Times New Roman" w:ascii="Times New Roman" w:hAnsi="Times New Roman"/>
          <w:spacing w:val="0"/>
          <w:sz w:val="24"/>
          <w:szCs w:val="26"/>
        </w:rPr>
        <w:t>12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מאסר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תנאי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וקנס</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בסך</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10,000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הערעור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נסב</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חומרת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העונש</w:t>
      </w:r>
      <w:r>
        <w:rPr>
          <w:rFonts w:cs="Times New Roman" w:ascii="Times New Roman" w:hAnsi="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בית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המשפט</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העליון</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השופט</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קרא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ובהסכמת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הנשיאה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חיות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והשופט</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פוגלמן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קיבל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הערעור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ופסק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כלל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הוא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ערכאת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הערעור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מתערבת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בענישה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במקרים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חריגים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שעניינם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טעות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מהותית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בגזר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דינה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הערכאה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הדיונית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חריגה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במידה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ניכרת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מרמת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הענישה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הנוהגת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הראויה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במקרים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דומים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יחד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חריג</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לכלל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מאפשר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לערכאת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הערעור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להתערב</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בגזר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מקום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שהאיזון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חומרת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העבירות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כשלעצמן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ובנסיבות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העניין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מול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שיקולים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פרטניים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שעניינם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העבריין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עצמו</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כדוגמת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עברו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הפלילי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נסיבות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חייו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הסיכוי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לשיקום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מחייבים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גזירת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עונש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קל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חמור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יותר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מזה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שקבעה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הערכאה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הדיונית</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ככלל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בעבירות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ההצתה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לסוגיהן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נהוגה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ענישה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ממשית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מאסרים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בפועל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לריצוי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מאחורי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סורג</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ובריח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כביטוי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לסיכון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הרב</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הגלום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לחיי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אדם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ולרכוש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לנוכח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הקושי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לשלוט</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בהיקף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הנזקים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שהיא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עלולה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לגרום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מאסר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לריצוי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בעבודות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הוטלו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שהורשעו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בעבירה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זו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במקרים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חריגים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לנוכח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שיקולי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שיקום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משמעותיים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שיקולים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אלו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אינם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קיימים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בעניינו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המתקשה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לקחת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אחריות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מלאה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וכאשר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ברקע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עומדת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נטייתו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להיגררות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חברתית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וכי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ברקע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עומדת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היגררות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במצבים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פוליטיים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בעוד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שולל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צורך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טיפולי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בנסיבות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אלו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מקום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להורות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עונש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מאסר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הניתן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לריצוי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בעבודות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שירות</w:t>
      </w:r>
      <w:r>
        <w:rPr>
          <w:rFonts w:cs="Times New Roman" w:ascii="Times New Roman" w:hAnsi="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עם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מנעד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הענישה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בעבירות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ההצתה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רחב</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ובקביעת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מידת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העונש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בכל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מקרה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לקחת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בחשבון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תוצאות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מידת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הסיכון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שנשקפה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בעטיו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לחיי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אדם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ולרכוש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קיומו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העדרו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תכנון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מוקדם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עברו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הפלילי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הנאשם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במקרה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זה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טעות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אמנם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הי</w:t>
      </w:r>
      <w:r>
        <w:rPr>
          <w:rFonts w:ascii="Times New Roman" w:hAnsi="Times New Roman" w:cs="Times New Roman"/>
          <w:spacing w:val="0"/>
          <w:sz w:val="24"/>
          <w:sz w:val="24"/>
          <w:szCs w:val="26"/>
          <w:rtl w:val="true"/>
        </w:rPr>
        <w:t>י</w:t>
      </w:r>
      <w:r>
        <w:rPr>
          <w:rFonts w:ascii="Times New Roman" w:hAnsi="Times New Roman" w:cs="Times New Roman"/>
          <w:spacing w:val="0"/>
          <w:sz w:val="24"/>
          <w:sz w:val="24"/>
          <w:szCs w:val="26"/>
          <w:rtl w:val="true"/>
        </w:rPr>
        <w:t>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אולם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גם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בהינתן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תכנון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מוקדם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והאחר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הצטיידו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בחומרי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בעירה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משמעותיים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בנוסף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הנזק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שנגרם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בפועל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היה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גבוה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מקום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לקחת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בחשבון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הנזק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עלול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היה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להסתיים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באסון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בנסיבות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ובהיעדר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קביעה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משמעית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בוצע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ממניע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אידיאולוגי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ניתן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לייחס</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למעשה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החומרה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היתרה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במעשים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המבוצעים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רקע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זה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ויש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מקום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להעמיד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מתחם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הענישה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30-15</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מאסר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נוסף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לקולה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נוגע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לעובדה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הוא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צעיר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עבר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פלילי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וזו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מעורבותו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הראשונה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בפלילים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בגינה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הוא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מרצה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עונש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מאסר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לראשונה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בחייו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בגין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מעשה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שביצע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חודשים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ספורים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לאחר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הגיעו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לגיל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בגירות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לכך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מצטרפת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העובדה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נקלע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לכלל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טעות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בציינו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בגזר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הדין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לפי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הערכת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שירות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המבחן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מידת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הסיכון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להישנות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התנהגות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דומה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היא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גבוהה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בשעה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ששירות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המבחן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העריך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אותה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כנמוכה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לסיכום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האיזון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הכולל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בעונשו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שיקולי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חומרת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העבירה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והגמול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הראוי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לשיקולים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הפרטניים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ביחס</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לנסיבות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העבירה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ולנסיבות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עצמו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מצדיק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התערבות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בעונש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שעונשו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יועמד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18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מאסר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לריצוי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יתר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רכיבי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גזר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הדין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יעמדו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בעינם</w:t>
      </w:r>
      <w:r>
        <w:rPr>
          <w:rFonts w:cs="Times New Roman" w:ascii="Times New Roman" w:hAnsi="Times New Roman"/>
          <w:spacing w:val="0"/>
          <w:sz w:val="24"/>
          <w:szCs w:val="26"/>
          <w:rtl w:val="true"/>
        </w:rPr>
        <w:t xml:space="preserve">. </w:t>
      </w:r>
    </w:p>
    <w:p>
      <w:pPr>
        <w:pStyle w:val="Normal"/>
        <w:tabs>
          <w:tab w:val="clear" w:pos="720"/>
          <w:tab w:val="left" w:pos="2552" w:leader="none"/>
        </w:tabs>
        <w:ind w:end="0"/>
        <w:jc w:val="start"/>
        <w:rPr>
          <w:rFonts w:ascii="Times New Roman" w:hAnsi="Times New Roman" w:cs="Times New Roman"/>
          <w:spacing w:val="0"/>
          <w:sz w:val="24"/>
          <w:szCs w:val="26"/>
        </w:rPr>
      </w:pPr>
      <w:r>
        <w:rPr>
          <w:rFonts w:cs="Times New Roman"/>
          <w:spacing w:val="0"/>
          <w:sz w:val="24"/>
          <w:szCs w:val="26"/>
          <w:rtl w:val="true"/>
        </w:rPr>
      </w:r>
      <w:bookmarkStart w:id="9" w:name="ABSTRACT_END"/>
      <w:bookmarkStart w:id="10" w:name="ABSTRACT_END"/>
      <w:bookmarkEnd w:id="10"/>
    </w:p>
    <w:p>
      <w:pPr>
        <w:pStyle w:val="Normal"/>
        <w:tabs>
          <w:tab w:val="clear" w:pos="720"/>
          <w:tab w:val="left" w:pos="2552" w:leader="none"/>
        </w:tabs>
        <w:ind w:end="0"/>
        <w:jc w:val="start"/>
        <w:rPr/>
      </w:pPr>
      <w:r>
        <w:rPr>
          <w:rtl w:val="true"/>
        </w:rPr>
      </w:r>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pPr>
      <w:r>
        <w:rPr>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Ruller4"/>
        <w:ind w:end="0"/>
        <w:jc w:val="both"/>
        <w:rPr>
          <w:rFonts w:cs="Miriam"/>
          <w:sz w:val="24"/>
          <w:szCs w:val="24"/>
          <w:u w:val="single"/>
        </w:rPr>
      </w:pPr>
      <w:r>
        <w:rPr>
          <w:rFonts w:cs="Miriam"/>
          <w:sz w:val="24"/>
          <w:szCs w:val="24"/>
          <w:u w:val="single"/>
          <w:rtl w:val="true"/>
        </w:rPr>
      </w:r>
      <w:bookmarkStart w:id="15" w:name="Start_Write"/>
      <w:bookmarkStart w:id="16" w:name="Start_Write"/>
      <w:bookmarkEnd w:id="16"/>
    </w:p>
    <w:p>
      <w:pPr>
        <w:pStyle w:val="Ruller4"/>
        <w:ind w:end="0"/>
        <w:jc w:val="both"/>
        <w:rPr>
          <w:rFonts w:ascii="Century" w:hAnsi="Century" w:cs="Century"/>
        </w:rPr>
      </w:pPr>
      <w:r>
        <w:rPr/>
        <w:t>1</w:t>
      </w:r>
      <w:r>
        <w:rPr>
          <w:rtl w:val="true"/>
        </w:rPr>
        <w:t>.</w:t>
        <w:tab/>
      </w:r>
      <w:r>
        <w:rPr>
          <w:rtl w:val="true"/>
        </w:rPr>
        <w:t>לפנינו</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בחיפה</w:t>
      </w:r>
      <w:r>
        <w:rPr>
          <w:rFonts w:eastAsia="Arial TUR;Arial" w:cs="Arial TUR;Arial"/>
          <w:rtl w:val="true"/>
        </w:rPr>
        <w:t xml:space="preserve"> </w:t>
      </w:r>
      <w:r>
        <w:rPr>
          <w:rtl w:val="true"/>
        </w:rPr>
        <w:t>(</w:t>
      </w:r>
      <w:r>
        <w:rPr>
          <w:rtl w:val="true"/>
        </w:rPr>
        <w:t>כב</w:t>
      </w:r>
      <w:r>
        <w:rPr>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פיש</w:t>
      </w:r>
      <w:r>
        <w:rPr>
          <w:rFonts w:cs="Century" w:ascii="Century" w:hAnsi="Century"/>
          <w:rtl w:val="true"/>
        </w:rPr>
        <w:t xml:space="preserve">) </w:t>
      </w:r>
      <w:r>
        <w:rPr>
          <w:rFonts w:ascii="Century" w:hAnsi="Century" w:cs="Century"/>
          <w:rtl w:val="true"/>
        </w:rPr>
        <w:t xml:space="preserve">מיום </w:t>
      </w:r>
      <w:r>
        <w:rPr>
          <w:rFonts w:cs="Century" w:ascii="Century" w:hAnsi="Century"/>
        </w:rPr>
        <w:t>18.7.2017</w:t>
      </w:r>
      <w:r>
        <w:rPr>
          <w:rFonts w:cs="Century" w:ascii="Century" w:hAnsi="Century"/>
          <w:rtl w:val="true"/>
        </w:rPr>
        <w:t xml:space="preserve"> </w:t>
      </w:r>
      <w:r>
        <w:rPr>
          <w:rFonts w:ascii="Century" w:hAnsi="Century" w:cs="Century"/>
          <w:rtl w:val="true"/>
        </w:rPr>
        <w:t>ב</w:t>
      </w:r>
      <w:hyperlink r:id="rId6">
        <w:r>
          <w:rPr>
            <w:rStyle w:val="Hyperlink"/>
            <w:rFonts w:ascii="Century" w:hAnsi="Century" w:cs="Century"/>
            <w:color w:val="0000FF"/>
            <w:u w:val="single"/>
            <w:rtl w:val="true"/>
          </w:rPr>
          <w:t>ת</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32235-12-16</w:t>
        </w:r>
      </w:hyperlink>
      <w:r>
        <w:rPr>
          <w:rFonts w:cs="Century" w:ascii="Century" w:hAnsi="Century"/>
          <w:rtl w:val="true"/>
        </w:rPr>
        <w:t>.</w:t>
      </w:r>
    </w:p>
    <w:p>
      <w:pPr>
        <w:pStyle w:val="Ruller4"/>
        <w:ind w:end="0"/>
        <w:jc w:val="center"/>
        <w:rPr>
          <w:rFonts w:ascii="Century" w:hAnsi="Century" w:cs="Century"/>
        </w:rPr>
      </w:pPr>
      <w:r>
        <w:rPr>
          <w:rFonts w:cs="Century" w:ascii="Century" w:hAnsi="Century"/>
          <w:rtl w:val="true"/>
        </w:rPr>
      </w:r>
    </w:p>
    <w:p>
      <w:pPr>
        <w:pStyle w:val="Ruller4"/>
        <w:ind w:end="0"/>
        <w:jc w:val="both"/>
        <w:rPr>
          <w:rFonts w:ascii="Century" w:hAnsi="Century" w:cs="Century"/>
        </w:rPr>
      </w:pPr>
      <w:r>
        <w:rPr/>
        <w:t>2</w:t>
      </w:r>
      <w:r>
        <w:rPr>
          <w:rtl w:val="true"/>
        </w:rPr>
        <w:t>.</w:t>
        <w:tab/>
      </w:r>
      <w:r>
        <w:rPr>
          <w:rtl w:val="true"/>
        </w:rPr>
        <w:t>המערער</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הודאתו</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הצתה</w:t>
      </w:r>
      <w:r>
        <w:rPr>
          <w:rFonts w:eastAsia="Arial TUR;Arial" w:cs="Arial TUR;Arial"/>
          <w:rtl w:val="true"/>
        </w:rPr>
        <w:t xml:space="preserve"> </w:t>
      </w:r>
      <w:r>
        <w:rPr>
          <w:rtl w:val="true"/>
        </w:rPr>
        <w:t>(</w:t>
      </w:r>
      <w:r>
        <w:rPr>
          <w:rtl w:val="true"/>
        </w:rPr>
        <w:t>עבירה</w:t>
      </w:r>
      <w:r>
        <w:rPr>
          <w:rFonts w:eastAsia="Arial TUR;Arial" w:cs="Arial TUR;Arial"/>
          <w:rtl w:val="true"/>
        </w:rPr>
        <w:t xml:space="preserve"> </w:t>
      </w:r>
      <w:r>
        <w:rPr>
          <w:rtl w:val="true"/>
        </w:rPr>
        <w:t>לפי</w:t>
      </w:r>
      <w:r>
        <w:rPr>
          <w:rFonts w:eastAsia="Arial TUR;Arial" w:cs="Arial TUR;Arial"/>
          <w:rtl w:val="true"/>
        </w:rPr>
        <w:t xml:space="preserve"> </w:t>
      </w:r>
      <w:hyperlink r:id="rId7">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448</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סיפא</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hyperlink r:id="rId8">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29</w:t>
        </w:r>
      </w:hyperlink>
      <w:r>
        <w:rPr>
          <w:rtl w:val="true"/>
        </w:rPr>
        <w:t xml:space="preserve"> </w:t>
      </w:r>
      <w:r>
        <w:rPr>
          <w:rtl w:val="true"/>
        </w:rPr>
        <w:t>ל</w:t>
      </w:r>
      <w:hyperlink r:id="rId9">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Fonts w:eastAsia="Arial TUR;Arial" w:cs="Arial TUR;Arial"/>
          <w:rtl w:val="true"/>
        </w:rPr>
        <w:t xml:space="preserve"> </w:t>
      </w:r>
      <w:r>
        <w:rPr>
          <w:rtl w:val="true"/>
        </w:rPr>
        <w:t>–</w:t>
      </w:r>
      <w:r>
        <w:rPr>
          <w:rFonts w:eastAsia="Arial TUR;Arial" w:cs="Arial TUR;Arial"/>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Fonts w:cs="Century" w:ascii="Century" w:hAnsi="Century"/>
          <w:rtl w:val="true"/>
        </w:rPr>
        <w:t xml:space="preserve">). </w:t>
      </w:r>
      <w:r>
        <w:rPr>
          <w:rFonts w:ascii="Century" w:hAnsi="Century" w:cs="Century"/>
          <w:rtl w:val="true"/>
        </w:rPr>
        <w:t>על פי עובדות כתב האישום המתוקן</w:t>
      </w:r>
      <w:r>
        <w:rPr>
          <w:rFonts w:cs="Century" w:ascii="Century" w:hAnsi="Century"/>
          <w:rtl w:val="true"/>
        </w:rPr>
        <w:t xml:space="preserve">, </w:t>
      </w:r>
      <w:r>
        <w:rPr>
          <w:rFonts w:ascii="Century" w:hAnsi="Century" w:cs="Century"/>
          <w:rtl w:val="true"/>
        </w:rPr>
        <w:t xml:space="preserve">ביום </w:t>
      </w:r>
      <w:r>
        <w:rPr>
          <w:rFonts w:cs="Century" w:ascii="Century" w:hAnsi="Century"/>
        </w:rPr>
        <w:t>27.11.2016</w:t>
      </w:r>
      <w:r>
        <w:rPr>
          <w:rFonts w:cs="Century" w:ascii="Century" w:hAnsi="Century"/>
          <w:rtl w:val="true"/>
        </w:rPr>
        <w:t xml:space="preserve"> </w:t>
      </w:r>
      <w:r>
        <w:rPr>
          <w:rFonts w:ascii="Century" w:hAnsi="Century" w:cs="Century"/>
          <w:rtl w:val="true"/>
        </w:rPr>
        <w:t xml:space="preserve">סמוך לשעה </w:t>
      </w:r>
      <w:r>
        <w:rPr>
          <w:rFonts w:cs="Century" w:ascii="Century" w:hAnsi="Century"/>
        </w:rPr>
        <w:t>22:00</w:t>
      </w:r>
      <w:r>
        <w:rPr>
          <w:rFonts w:cs="Century" w:ascii="Century" w:hAnsi="Century"/>
          <w:rtl w:val="true"/>
        </w:rPr>
        <w:t xml:space="preserve"> </w:t>
      </w:r>
      <w:r>
        <w:rPr>
          <w:rFonts w:ascii="Century" w:hAnsi="Century" w:cs="Century"/>
          <w:rtl w:val="true"/>
        </w:rPr>
        <w:t xml:space="preserve">הציתו המערער ואדם נוסף שהיה עימו </w:t>
      </w:r>
      <w:r>
        <w:rPr>
          <w:rFonts w:cs="Century" w:ascii="Century" w:hAnsi="Century"/>
          <w:rtl w:val="true"/>
        </w:rPr>
        <w:t>(</w:t>
      </w:r>
      <w:r>
        <w:rPr>
          <w:rFonts w:ascii="Century" w:hAnsi="Century" w:cs="Century"/>
          <w:rtl w:val="true"/>
        </w:rPr>
        <w:t>המערער ב</w:t>
      </w:r>
      <w:hyperlink r:id="rId1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6390/17</w:t>
        </w:r>
      </w:hyperlink>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שייקרא להלן</w:t>
      </w:r>
      <w:r>
        <w:rPr>
          <w:rFonts w:cs="Century" w:ascii="Century" w:hAnsi="Century"/>
          <w:rtl w:val="true"/>
        </w:rPr>
        <w:t xml:space="preserve">: </w:t>
      </w:r>
      <w:r>
        <w:rPr>
          <w:rFonts w:ascii="Century" w:hAnsi="Century" w:cs="Miriam"/>
          <w:b/>
          <w:b/>
          <w:spacing w:val="0"/>
          <w:szCs w:val="24"/>
          <w:rtl w:val="true"/>
        </w:rPr>
        <w:t>האחר</w:t>
      </w:r>
      <w:r>
        <w:rPr>
          <w:rFonts w:cs="Century" w:ascii="Century" w:hAnsi="Century"/>
          <w:rtl w:val="true"/>
        </w:rPr>
        <w:t xml:space="preserve">) </w:t>
      </w:r>
      <w:r>
        <w:rPr>
          <w:rFonts w:ascii="Century" w:hAnsi="Century" w:cs="Century"/>
          <w:rtl w:val="true"/>
        </w:rPr>
        <w:t>צמחייה בשדה קוצים</w:t>
      </w:r>
      <w:r>
        <w:rPr>
          <w:rFonts w:cs="Century" w:ascii="Century" w:hAnsi="Century"/>
          <w:rtl w:val="true"/>
        </w:rPr>
        <w:t xml:space="preserve">, </w:t>
      </w:r>
      <w:r>
        <w:rPr>
          <w:rFonts w:ascii="Century" w:hAnsi="Century" w:cs="Century"/>
          <w:rtl w:val="true"/>
        </w:rPr>
        <w:t>הגובל ביער ברושים</w:t>
      </w:r>
      <w:r>
        <w:rPr>
          <w:rFonts w:cs="Century" w:ascii="Century" w:hAnsi="Century"/>
          <w:rtl w:val="true"/>
        </w:rPr>
        <w:t xml:space="preserve">, </w:t>
      </w:r>
      <w:r>
        <w:rPr>
          <w:rFonts w:ascii="Century" w:hAnsi="Century" w:cs="Century"/>
          <w:rtl w:val="true"/>
        </w:rPr>
        <w:t>כ</w:t>
      </w:r>
      <w:r>
        <w:rPr>
          <w:rFonts w:cs="Century" w:ascii="Century" w:hAnsi="Century"/>
          <w:rtl w:val="true"/>
        </w:rPr>
        <w:t>-</w:t>
      </w:r>
      <w:r>
        <w:rPr>
          <w:rFonts w:cs="Century" w:ascii="Century" w:hAnsi="Century"/>
        </w:rPr>
        <w:t>17</w:t>
      </w:r>
      <w:r>
        <w:rPr>
          <w:rFonts w:cs="Century" w:ascii="Century" w:hAnsi="Century"/>
          <w:rtl w:val="true"/>
        </w:rPr>
        <w:t xml:space="preserve"> </w:t>
      </w:r>
      <w:r>
        <w:rPr>
          <w:rFonts w:ascii="Century" w:hAnsi="Century" w:cs="Century"/>
          <w:rtl w:val="true"/>
        </w:rPr>
        <w:t>מטר מגדר הכניסה ליישוב מי עמי</w:t>
      </w:r>
      <w:r>
        <w:rPr>
          <w:rFonts w:cs="Century" w:ascii="Century" w:hAnsi="Century"/>
          <w:rtl w:val="true"/>
        </w:rPr>
        <w:t xml:space="preserve">. </w:t>
      </w:r>
      <w:r>
        <w:rPr>
          <w:rFonts w:ascii="Century" w:hAnsi="Century" w:cs="Century"/>
          <w:rtl w:val="true"/>
        </w:rPr>
        <w:t>השניים</w:t>
      </w:r>
      <w:r>
        <w:rPr>
          <w:rFonts w:cs="Century" w:ascii="Century" w:hAnsi="Century"/>
          <w:rtl w:val="true"/>
        </w:rPr>
        <w:t xml:space="preserve">, </w:t>
      </w:r>
      <w:r>
        <w:rPr>
          <w:rFonts w:ascii="Century" w:hAnsi="Century" w:cs="Century"/>
          <w:rtl w:val="true"/>
        </w:rPr>
        <w:t>שהגיעו למקום ברכב בו נהג האחר</w:t>
      </w:r>
      <w:r>
        <w:rPr>
          <w:rFonts w:cs="Century" w:ascii="Century" w:hAnsi="Century"/>
          <w:rtl w:val="true"/>
        </w:rPr>
        <w:t xml:space="preserve">, </w:t>
      </w:r>
      <w:r>
        <w:rPr>
          <w:rFonts w:ascii="Century" w:hAnsi="Century" w:cs="Century"/>
          <w:rtl w:val="true"/>
        </w:rPr>
        <w:t>פירקו מצית שהיה ברשותם ובאמצעות מצית נוסף הדליקו להבה בסמוך לפתח יציאת הגז מהמצית שפירקו ולאחר שהתלקחה האש</w:t>
      </w:r>
      <w:r>
        <w:rPr>
          <w:rFonts w:cs="Century" w:ascii="Century" w:hAnsi="Century"/>
          <w:rtl w:val="true"/>
        </w:rPr>
        <w:t xml:space="preserve">, </w:t>
      </w:r>
      <w:r>
        <w:rPr>
          <w:rFonts w:ascii="Century" w:hAnsi="Century" w:cs="Century"/>
          <w:rtl w:val="true"/>
        </w:rPr>
        <w:t>נסעו מהמקום</w:t>
      </w:r>
      <w:r>
        <w:rPr>
          <w:rFonts w:cs="Century" w:ascii="Century" w:hAnsi="Century"/>
          <w:rtl w:val="true"/>
        </w:rPr>
        <w:t xml:space="preserve">. </w:t>
      </w:r>
      <w:r>
        <w:rPr>
          <w:rFonts w:ascii="Century" w:hAnsi="Century" w:cs="Century"/>
          <w:rtl w:val="true"/>
        </w:rPr>
        <w:t>רכב ביטחון של היישוב</w:t>
      </w:r>
      <w:r>
        <w:rPr>
          <w:rFonts w:cs="Century" w:ascii="Century" w:hAnsi="Century"/>
          <w:rtl w:val="true"/>
        </w:rPr>
        <w:t xml:space="preserve">, </w:t>
      </w:r>
      <w:r>
        <w:rPr>
          <w:rFonts w:ascii="Century" w:hAnsi="Century" w:cs="Century"/>
          <w:rtl w:val="true"/>
        </w:rPr>
        <w:t>שנוסעיו הבחינו במתרחש</w:t>
      </w:r>
      <w:r>
        <w:rPr>
          <w:rFonts w:cs="Century" w:ascii="Century" w:hAnsi="Century"/>
          <w:rtl w:val="true"/>
        </w:rPr>
        <w:t xml:space="preserve">, </w:t>
      </w:r>
      <w:r>
        <w:rPr>
          <w:rFonts w:ascii="Century" w:hAnsi="Century" w:cs="Century"/>
          <w:rtl w:val="true"/>
        </w:rPr>
        <w:t>החל דולק אחריהם כאשר האחר מגביר את מהירות הנסיעה כדי להימלט</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tab/>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האש שהבעירו התפשטה לשדה הקוצים ושרפה צמחייה על פני שטח שלכ</w:t>
      </w:r>
      <w:r>
        <w:rPr>
          <w:rFonts w:cs="Century" w:ascii="Century" w:hAnsi="Century"/>
          <w:rtl w:val="true"/>
        </w:rPr>
        <w:t>-</w:t>
      </w:r>
      <w:r>
        <w:rPr>
          <w:rFonts w:cs="Century" w:ascii="Century" w:hAnsi="Century"/>
        </w:rPr>
        <w:t>350</w:t>
      </w:r>
      <w:r>
        <w:rPr>
          <w:rFonts w:cs="Century" w:ascii="Century" w:hAnsi="Century"/>
          <w:rtl w:val="true"/>
        </w:rPr>
        <w:t xml:space="preserve"> </w:t>
      </w:r>
      <w:r>
        <w:rPr>
          <w:rFonts w:ascii="Century" w:hAnsi="Century" w:cs="Century"/>
          <w:rtl w:val="true"/>
        </w:rPr>
        <w:t>מ</w:t>
      </w:r>
      <w:r>
        <w:rPr>
          <w:rFonts w:cs="Century" w:ascii="Century" w:hAnsi="Century"/>
          <w:rtl w:val="true"/>
        </w:rPr>
        <w:t>"</w:t>
      </w:r>
      <w:r>
        <w:rPr>
          <w:rFonts w:ascii="Century" w:hAnsi="Century" w:cs="Century"/>
          <w:rtl w:val="true"/>
        </w:rPr>
        <w:t>ר</w:t>
      </w:r>
      <w:r>
        <w:rPr>
          <w:rFonts w:cs="Century" w:ascii="Century" w:hAnsi="Century"/>
          <w:rtl w:val="true"/>
        </w:rPr>
        <w:t xml:space="preserve">, </w:t>
      </w:r>
      <w:r>
        <w:rPr>
          <w:rFonts w:ascii="Century" w:hAnsi="Century" w:cs="Century"/>
          <w:rtl w:val="true"/>
        </w:rPr>
        <w:t>עד שכובתה על ידי כוחות שהוזעקו למקום</w:t>
      </w:r>
      <w:r>
        <w:rPr>
          <w:rFonts w:cs="Century" w:ascii="Century" w:hAnsi="Century"/>
          <w:rtl w:val="true"/>
        </w:rPr>
        <w:t xml:space="preserve">. </w:t>
      </w:r>
      <w:r>
        <w:rPr>
          <w:rFonts w:ascii="Century" w:hAnsi="Century" w:cs="Century"/>
          <w:rtl w:val="true"/>
        </w:rPr>
        <w:t>בעובדות כתב האישום צויין כי בתקופה זו פרצו באיזורים שונים ברחבי הארץ דליקות שכילו צמחייה וגרמו נזק רב לרכוש בשל יובש ורוחות חזקות</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Pr>
        <w:t>3</w:t>
      </w:r>
      <w:r>
        <w:rPr>
          <w:rFonts w:cs="Century" w:ascii="Century" w:hAnsi="Century"/>
          <w:rtl w:val="true"/>
        </w:rPr>
        <w:t>.</w:t>
        <w:tab/>
      </w:r>
      <w:r>
        <w:rPr>
          <w:rFonts w:ascii="Century" w:hAnsi="Century" w:cs="Century"/>
          <w:rtl w:val="true"/>
        </w:rPr>
        <w:t>בית המשפט קמא גזר על המערער</w:t>
      </w:r>
      <w:r>
        <w:rPr>
          <w:rFonts w:cs="Century" w:ascii="Century" w:hAnsi="Century"/>
          <w:rtl w:val="true"/>
        </w:rPr>
        <w:t xml:space="preserve">, </w:t>
      </w:r>
      <w:r>
        <w:rPr>
          <w:rFonts w:ascii="Century" w:hAnsi="Century" w:cs="Century"/>
          <w:rtl w:val="true"/>
        </w:rPr>
        <w:t xml:space="preserve">שהיה בן </w:t>
      </w:r>
      <w:r>
        <w:rPr>
          <w:rFonts w:cs="Century" w:ascii="Century" w:hAnsi="Century"/>
        </w:rPr>
        <w:t>18</w:t>
      </w:r>
      <w:r>
        <w:rPr>
          <w:rFonts w:cs="Century" w:ascii="Century" w:hAnsi="Century"/>
          <w:rtl w:val="true"/>
        </w:rPr>
        <w:t xml:space="preserve"> </w:t>
      </w:r>
      <w:r>
        <w:rPr>
          <w:rFonts w:ascii="Century" w:hAnsi="Century" w:cs="Century"/>
          <w:rtl w:val="true"/>
        </w:rPr>
        <w:t>וארבעה חודשים בעת המעשה</w:t>
      </w:r>
      <w:r>
        <w:rPr>
          <w:rFonts w:cs="Century" w:ascii="Century" w:hAnsi="Century"/>
          <w:rtl w:val="true"/>
        </w:rPr>
        <w:t xml:space="preserve">, </w:t>
      </w:r>
      <w:r>
        <w:rPr>
          <w:rFonts w:cs="Century" w:ascii="Century" w:hAnsi="Century"/>
        </w:rPr>
        <w:t>24</w:t>
      </w:r>
      <w:r>
        <w:rPr>
          <w:rFonts w:cs="Century" w:ascii="Century" w:hAnsi="Century"/>
          <w:rtl w:val="true"/>
        </w:rPr>
        <w:t xml:space="preserve"> </w:t>
      </w:r>
      <w:r>
        <w:rPr>
          <w:rFonts w:ascii="Century" w:hAnsi="Century" w:cs="Century"/>
          <w:rtl w:val="true"/>
        </w:rPr>
        <w:t>חודשי מאסר</w:t>
      </w:r>
      <w:r>
        <w:rPr>
          <w:rFonts w:cs="Century" w:ascii="Century" w:hAnsi="Century"/>
          <w:rtl w:val="true"/>
        </w:rPr>
        <w:t xml:space="preserve">, </w:t>
      </w:r>
      <w:r>
        <w:rPr>
          <w:rFonts w:ascii="Century" w:hAnsi="Century" w:cs="Century"/>
          <w:rtl w:val="true"/>
        </w:rPr>
        <w:t>בניכוי תקופת מעצרו ומחצית מתקופת מעצרו באיזוק אלקטרוני</w:t>
      </w:r>
      <w:r>
        <w:rPr>
          <w:rFonts w:cs="Century" w:ascii="Century" w:hAnsi="Century"/>
          <w:rtl w:val="true"/>
        </w:rPr>
        <w:t xml:space="preserve">, </w:t>
      </w:r>
      <w:r>
        <w:rPr>
          <w:rFonts w:cs="Century" w:ascii="Century" w:hAnsi="Century"/>
        </w:rPr>
        <w:t>12</w:t>
      </w:r>
      <w:r>
        <w:rPr>
          <w:rFonts w:cs="Century" w:ascii="Century" w:hAnsi="Century"/>
          <w:rtl w:val="true"/>
        </w:rPr>
        <w:t xml:space="preserve"> </w:t>
      </w:r>
      <w:r>
        <w:rPr>
          <w:rFonts w:ascii="Century" w:hAnsi="Century" w:cs="Century"/>
          <w:rtl w:val="true"/>
        </w:rPr>
        <w:t xml:space="preserve">חודשי מאסר על תנאי למשך שלוש שנים וקנס כספי בסך </w:t>
      </w:r>
      <w:r>
        <w:rPr>
          <w:rFonts w:cs="Century" w:ascii="Century" w:hAnsi="Century"/>
        </w:rPr>
        <w:t>10,000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על האחר</w:t>
      </w:r>
      <w:r>
        <w:rPr>
          <w:rFonts w:cs="Century" w:ascii="Century" w:hAnsi="Century"/>
          <w:rtl w:val="true"/>
        </w:rPr>
        <w:t xml:space="preserve">, </w:t>
      </w:r>
      <w:r>
        <w:rPr>
          <w:rFonts w:ascii="Century" w:hAnsi="Century" w:cs="Century"/>
          <w:rtl w:val="true"/>
        </w:rPr>
        <w:t xml:space="preserve">קטין שהיה בעת המעשה על סף גיל </w:t>
      </w:r>
      <w:r>
        <w:rPr>
          <w:rFonts w:cs="Century" w:ascii="Century" w:hAnsi="Century"/>
        </w:rPr>
        <w:t>18</w:t>
      </w:r>
      <w:r>
        <w:rPr>
          <w:rFonts w:cs="Century" w:ascii="Century" w:hAnsi="Century"/>
          <w:rtl w:val="true"/>
        </w:rPr>
        <w:t xml:space="preserve">, </w:t>
      </w:r>
      <w:r>
        <w:rPr>
          <w:rFonts w:ascii="Century" w:hAnsi="Century" w:cs="Century"/>
          <w:rtl w:val="true"/>
        </w:rPr>
        <w:t xml:space="preserve">נגזרו </w:t>
      </w:r>
      <w:r>
        <w:rPr>
          <w:rFonts w:cs="Century" w:ascii="Century" w:hAnsi="Century"/>
        </w:rPr>
        <w:t>20</w:t>
      </w:r>
      <w:r>
        <w:rPr>
          <w:rFonts w:cs="Century" w:ascii="Century" w:hAnsi="Century"/>
          <w:rtl w:val="true"/>
        </w:rPr>
        <w:t xml:space="preserve"> </w:t>
      </w:r>
      <w:r>
        <w:rPr>
          <w:rFonts w:ascii="Century" w:hAnsi="Century" w:cs="Century"/>
          <w:rtl w:val="true"/>
        </w:rPr>
        <w:t>חודשי מאסר</w:t>
      </w:r>
      <w:r>
        <w:rPr>
          <w:rFonts w:cs="Century" w:ascii="Century" w:hAnsi="Century"/>
          <w:rtl w:val="true"/>
        </w:rPr>
        <w:t xml:space="preserve">, </w:t>
      </w:r>
      <w:r>
        <w:rPr>
          <w:rFonts w:ascii="Century" w:hAnsi="Century" w:cs="Century"/>
          <w:rtl w:val="true"/>
        </w:rPr>
        <w:t>בניכוי ימי מעצרו ומחצית מתקופת מעצרו באיזוק אלקטרוני</w:t>
      </w:r>
      <w:r>
        <w:rPr>
          <w:rFonts w:cs="Century" w:ascii="Century" w:hAnsi="Century"/>
          <w:rtl w:val="true"/>
        </w:rPr>
        <w:t xml:space="preserve">, </w:t>
      </w:r>
      <w:r>
        <w:rPr>
          <w:rFonts w:cs="Century" w:ascii="Century" w:hAnsi="Century"/>
        </w:rPr>
        <w:t>12</w:t>
      </w:r>
      <w:r>
        <w:rPr>
          <w:rFonts w:cs="Century" w:ascii="Century" w:hAnsi="Century"/>
          <w:rtl w:val="true"/>
        </w:rPr>
        <w:t xml:space="preserve"> </w:t>
      </w:r>
      <w:r>
        <w:rPr>
          <w:rFonts w:ascii="Century" w:hAnsi="Century" w:cs="Century"/>
          <w:rtl w:val="true"/>
        </w:rPr>
        <w:t xml:space="preserve">חודשי מאסר על תנאי וקנס בסך </w:t>
      </w:r>
      <w:r>
        <w:rPr>
          <w:rFonts w:cs="Century" w:ascii="Century" w:hAnsi="Century"/>
        </w:rPr>
        <w:t>10,000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w:t>
      </w:r>
      <w:r>
        <w:rPr>
          <w:rFonts w:cs="Century" w:ascii="Century" w:hAnsi="Century"/>
          <w:rtl w:val="true"/>
        </w:rPr>
        <w:t xml:space="preserve">. </w:t>
      </w:r>
      <w:r>
        <w:rPr>
          <w:rFonts w:ascii="Century" w:hAnsi="Century" w:cs="Century"/>
          <w:rtl w:val="true"/>
        </w:rPr>
        <w:t>ערעורו של האחר נדון בפנינו במאוחד עם המערער כאן</w:t>
      </w:r>
      <w:r>
        <w:rPr>
          <w:rFonts w:cs="Century" w:ascii="Century" w:hAnsi="Century"/>
          <w:rtl w:val="true"/>
        </w:rPr>
        <w:t xml:space="preserve">, </w:t>
      </w:r>
      <w:r>
        <w:rPr>
          <w:rFonts w:ascii="Century" w:hAnsi="Century" w:cs="Century"/>
          <w:rtl w:val="true"/>
        </w:rPr>
        <w:t>אולם הדיון בעניינו נדחה לצורך קבלת תסקיר משלים מטעם שירות המבחן</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tab/>
      </w:r>
    </w:p>
    <w:p>
      <w:pPr>
        <w:pStyle w:val="Ruller4"/>
        <w:ind w:end="0"/>
        <w:jc w:val="both"/>
        <w:rPr>
          <w:rFonts w:ascii="Century" w:hAnsi="Century" w:cs="Century"/>
        </w:rPr>
      </w:pPr>
      <w:r>
        <w:rPr>
          <w:rFonts w:cs="Century" w:ascii="Century" w:hAnsi="Century"/>
        </w:rPr>
        <w:t>4</w:t>
      </w:r>
      <w:r>
        <w:rPr>
          <w:rFonts w:cs="Century" w:ascii="Century" w:hAnsi="Century"/>
          <w:rtl w:val="true"/>
        </w:rPr>
        <w:t>.</w:t>
        <w:tab/>
      </w:r>
      <w:r>
        <w:rPr>
          <w:rFonts w:ascii="Century" w:hAnsi="Century" w:cs="Century"/>
          <w:rtl w:val="true"/>
        </w:rPr>
        <w:t>המערער משיג על חומרת העונש ומבקש לאמץ את המלצת שירות המבחן ולקצר את עונש המאסר כך שיוכל לרצותו בעבודות שירות וכן לבטל את הקנס שהוטל עליו או</w:t>
      </w:r>
      <w:r>
        <w:rPr>
          <w:rFonts w:cs="Century" w:ascii="Century" w:hAnsi="Century"/>
          <w:rtl w:val="true"/>
        </w:rPr>
        <w:t xml:space="preserve">, </w:t>
      </w:r>
      <w:r>
        <w:rPr>
          <w:rFonts w:ascii="Century" w:hAnsi="Century" w:cs="Century"/>
          <w:rtl w:val="true"/>
        </w:rPr>
        <w:t>לכל הפחות</w:t>
      </w:r>
      <w:r>
        <w:rPr>
          <w:rFonts w:cs="Century" w:ascii="Century" w:hAnsi="Century"/>
          <w:rtl w:val="true"/>
        </w:rPr>
        <w:t xml:space="preserve">, </w:t>
      </w:r>
      <w:r>
        <w:rPr>
          <w:rFonts w:ascii="Century" w:hAnsi="Century" w:cs="Century"/>
          <w:rtl w:val="true"/>
        </w:rPr>
        <w:t>להפחיתו</w:t>
      </w:r>
      <w:r>
        <w:rPr>
          <w:rFonts w:cs="Century" w:ascii="Century" w:hAnsi="Century"/>
          <w:rtl w:val="true"/>
        </w:rPr>
        <w:t xml:space="preserve">. </w:t>
      </w:r>
      <w:r>
        <w:rPr>
          <w:rFonts w:ascii="Century" w:hAnsi="Century" w:cs="Century"/>
          <w:rtl w:val="true"/>
        </w:rPr>
        <w:t>טענותיו של המערער מכוונות נגד קביעותיו של בית המשפט קמא כי יש להעלות את רמת הענישה</w:t>
      </w:r>
      <w:r>
        <w:rPr>
          <w:rFonts w:cs="Century" w:ascii="Century" w:hAnsi="Century"/>
          <w:rtl w:val="true"/>
        </w:rPr>
        <w:t xml:space="preserve">, </w:t>
      </w:r>
      <w:r>
        <w:rPr>
          <w:rFonts w:ascii="Century" w:hAnsi="Century" w:cs="Century"/>
          <w:rtl w:val="true"/>
        </w:rPr>
        <w:t>ונגד המשקל הנמוך</w:t>
      </w:r>
      <w:r>
        <w:rPr>
          <w:rFonts w:cs="Century" w:ascii="Century" w:hAnsi="Century"/>
          <w:rtl w:val="true"/>
        </w:rPr>
        <w:t xml:space="preserve">, </w:t>
      </w:r>
      <w:r>
        <w:rPr>
          <w:rFonts w:ascii="Century" w:hAnsi="Century" w:cs="Century"/>
          <w:rtl w:val="true"/>
        </w:rPr>
        <w:t>לשיטתו</w:t>
      </w:r>
      <w:r>
        <w:rPr>
          <w:rFonts w:cs="Century" w:ascii="Century" w:hAnsi="Century"/>
          <w:rtl w:val="true"/>
        </w:rPr>
        <w:t xml:space="preserve">, </w:t>
      </w:r>
      <w:r>
        <w:rPr>
          <w:rFonts w:ascii="Century" w:hAnsi="Century" w:cs="Century"/>
          <w:rtl w:val="true"/>
        </w:rPr>
        <w:t>שניתן לנסיבותיו האישיות ולפוטנציאל השיקומי של המערער כבגיר</w:t>
      </w:r>
      <w:r>
        <w:rPr>
          <w:rFonts w:cs="Century" w:ascii="Century" w:hAnsi="Century"/>
          <w:rtl w:val="true"/>
        </w:rPr>
        <w:t>-</w:t>
      </w:r>
      <w:r>
        <w:rPr>
          <w:rFonts w:ascii="Century" w:hAnsi="Century" w:cs="Century"/>
          <w:rtl w:val="true"/>
        </w:rPr>
        <w:t xml:space="preserve">צעיר כבן </w:t>
      </w:r>
      <w:r>
        <w:rPr>
          <w:rFonts w:cs="Century" w:ascii="Century" w:hAnsi="Century"/>
        </w:rPr>
        <w:t>19</w:t>
      </w:r>
      <w:r>
        <w:rPr>
          <w:rFonts w:cs="Century" w:ascii="Century" w:hAnsi="Century"/>
          <w:rtl w:val="true"/>
        </w:rPr>
        <w:t xml:space="preserve"> (</w:t>
      </w:r>
      <w:r>
        <w:rPr>
          <w:rFonts w:ascii="Century" w:hAnsi="Century" w:cs="Century"/>
          <w:rtl w:val="true"/>
        </w:rPr>
        <w:t xml:space="preserve">בעת ביצוע העבירה היה בן </w:t>
      </w:r>
      <w:r>
        <w:rPr>
          <w:rFonts w:cs="Century" w:ascii="Century" w:hAnsi="Century"/>
        </w:rPr>
        <w:t>18</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4</w:t>
      </w:r>
      <w:r>
        <w:rPr>
          <w:rFonts w:cs="Century" w:ascii="Century" w:hAnsi="Century"/>
          <w:rtl w:val="true"/>
        </w:rPr>
        <w:t xml:space="preserve"> </w:t>
      </w:r>
      <w:r>
        <w:rPr>
          <w:rFonts w:ascii="Century" w:hAnsi="Century" w:cs="Century"/>
          <w:rtl w:val="true"/>
        </w:rPr>
        <w:t>חודשים</w:t>
      </w:r>
      <w:r>
        <w:rPr>
          <w:rFonts w:cs="Century" w:ascii="Century" w:hAnsi="Century"/>
          <w:rtl w:val="true"/>
        </w:rPr>
        <w:t xml:space="preserve">), </w:t>
      </w:r>
      <w:r>
        <w:rPr>
          <w:rFonts w:ascii="Century" w:hAnsi="Century" w:cs="Century"/>
          <w:rtl w:val="true"/>
        </w:rPr>
        <w:t>ללא עבר פלילי</w:t>
      </w:r>
      <w:r>
        <w:rPr>
          <w:rFonts w:cs="Century" w:ascii="Century" w:hAnsi="Century"/>
          <w:rtl w:val="true"/>
        </w:rPr>
        <w:t xml:space="preserve">, </w:t>
      </w:r>
      <w:r>
        <w:rPr>
          <w:rFonts w:ascii="Century" w:hAnsi="Century" w:cs="Century"/>
          <w:rtl w:val="true"/>
        </w:rPr>
        <w:t>העובד למחייתו ומשמש כמפרנס היחיד של משפחתו וכן למצבה הכלכלי של משפחתו</w:t>
      </w:r>
      <w:r>
        <w:rPr>
          <w:rFonts w:cs="Century" w:ascii="Century" w:hAnsi="Century"/>
          <w:rtl w:val="true"/>
        </w:rPr>
        <w:t xml:space="preserve">. </w:t>
      </w:r>
      <w:r>
        <w:rPr>
          <w:rFonts w:ascii="Century" w:hAnsi="Century" w:cs="Century"/>
          <w:rtl w:val="true"/>
        </w:rPr>
        <w:t>כמו כן מלין המערער על קביעותיו של בית המשפט קמא לפיהן נטל אחריות באופן מילולי בלבד ובציע את המעשה מתוך הכנה מוקדמת וכוונה נחושה להצית שטח סמוך ליישוב מאוכלס בתקופה בה השתוללו שריפות רבות</w:t>
      </w:r>
      <w:r>
        <w:rPr>
          <w:rFonts w:cs="Century" w:ascii="Century" w:hAnsi="Century"/>
          <w:rtl w:val="true"/>
        </w:rPr>
        <w:t xml:space="preserve">, </w:t>
      </w:r>
      <w:r>
        <w:rPr>
          <w:rFonts w:ascii="Century" w:hAnsi="Century" w:cs="Century"/>
          <w:rtl w:val="true"/>
        </w:rPr>
        <w:t>תוך דחיית הסבריו כי המדובר היה במעשה קונדס</w:t>
      </w:r>
      <w:r>
        <w:rPr>
          <w:rFonts w:cs="Century" w:ascii="Century" w:hAnsi="Century"/>
          <w:rtl w:val="true"/>
        </w:rPr>
        <w:t xml:space="preserve">. </w:t>
      </w:r>
      <w:r>
        <w:rPr>
          <w:rFonts w:ascii="Century" w:hAnsi="Century" w:cs="Century"/>
          <w:rtl w:val="true"/>
        </w:rPr>
        <w:t>עוד טוען המערער כי לא ניתן משקל ראוי להודאתו שניתנה בהזדמנות הראשונה בחקירתו על ידי השב</w:t>
      </w:r>
      <w:r>
        <w:rPr>
          <w:rFonts w:cs="Century" w:ascii="Century" w:hAnsi="Century"/>
          <w:rtl w:val="true"/>
        </w:rPr>
        <w:t>"</w:t>
      </w:r>
      <w:r>
        <w:rPr>
          <w:rFonts w:ascii="Century" w:hAnsi="Century" w:cs="Century"/>
          <w:rtl w:val="true"/>
        </w:rPr>
        <w:t>כ עוד בטרם קיבל ייעוץ משפטי  כמו גם לחרטתו</w:t>
      </w:r>
      <w:r>
        <w:rPr>
          <w:rFonts w:cs="Century" w:ascii="Century" w:hAnsi="Century"/>
          <w:rtl w:val="true"/>
        </w:rPr>
        <w:t xml:space="preserve">. </w:t>
      </w:r>
      <w:r>
        <w:rPr>
          <w:rFonts w:ascii="Century" w:hAnsi="Century" w:cs="Century"/>
          <w:rtl w:val="true"/>
        </w:rPr>
        <w:t>עוד טען כי בית המשפט קמא נקלע לכלל טעות כאשר ציין כי לפי התסקיר קיימת רמת סיכון גבוהה להישנות התנהגות דומה בעתיד</w:t>
      </w:r>
      <w:r>
        <w:rPr>
          <w:rFonts w:cs="Century" w:ascii="Century" w:hAnsi="Century"/>
          <w:rtl w:val="true"/>
        </w:rPr>
        <w:t xml:space="preserve">, </w:t>
      </w:r>
      <w:r>
        <w:rPr>
          <w:rFonts w:ascii="Century" w:hAnsi="Century" w:cs="Century"/>
          <w:rtl w:val="true"/>
        </w:rPr>
        <w:t>בשעה שנקבע כי רמת הסיכון נמוכה</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עמד המערער על כך שלמרות התוצאות החמורות שעלולות היו להיגרם</w:t>
      </w:r>
      <w:r>
        <w:rPr>
          <w:rFonts w:cs="Century" w:ascii="Century" w:hAnsi="Century"/>
          <w:rtl w:val="true"/>
        </w:rPr>
        <w:t xml:space="preserve">, </w:t>
      </w:r>
      <w:r>
        <w:rPr>
          <w:rFonts w:ascii="Century" w:hAnsi="Century" w:cs="Century"/>
          <w:rtl w:val="true"/>
        </w:rPr>
        <w:t>לא נגרם נזק לאדם או לרכוש</w:t>
      </w:r>
      <w:r>
        <w:rPr>
          <w:rFonts w:cs="Century" w:ascii="Century" w:hAnsi="Century"/>
          <w:rtl w:val="true"/>
        </w:rPr>
        <w:t xml:space="preserve">. </w:t>
      </w:r>
      <w:r>
        <w:rPr>
          <w:rFonts w:ascii="Century" w:hAnsi="Century" w:cs="Century"/>
          <w:rtl w:val="true"/>
        </w:rPr>
        <w:t>עוד ציין כי המערער מבוגר מהאחר במספר חודשים בלבד ולא היה מקום לאבחן בין השניים</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Pr>
        <w:t>5</w:t>
      </w:r>
      <w:r>
        <w:rPr>
          <w:rFonts w:cs="Century" w:ascii="Century" w:hAnsi="Century"/>
          <w:rtl w:val="true"/>
        </w:rPr>
        <w:t>.</w:t>
        <w:tab/>
      </w:r>
      <w:r>
        <w:rPr>
          <w:rFonts w:ascii="Century" w:hAnsi="Century" w:cs="Century"/>
          <w:rtl w:val="true"/>
        </w:rPr>
        <w:t>המשיבה ביקשה לדחות את הערעור</w:t>
      </w:r>
      <w:r>
        <w:rPr>
          <w:rFonts w:cs="Century" w:ascii="Century" w:hAnsi="Century"/>
          <w:rtl w:val="true"/>
        </w:rPr>
        <w:t xml:space="preserve">. </w:t>
      </w:r>
      <w:r>
        <w:rPr>
          <w:rFonts w:ascii="Century" w:hAnsi="Century" w:cs="Century"/>
          <w:rtl w:val="true"/>
        </w:rPr>
        <w:t>לשיטתה</w:t>
      </w:r>
      <w:r>
        <w:rPr>
          <w:rFonts w:cs="Century" w:ascii="Century" w:hAnsi="Century"/>
          <w:rtl w:val="true"/>
        </w:rPr>
        <w:t xml:space="preserve">, </w:t>
      </w:r>
      <w:r>
        <w:rPr>
          <w:rFonts w:ascii="Century" w:hAnsi="Century" w:cs="Century"/>
          <w:rtl w:val="true"/>
        </w:rPr>
        <w:t>העונש שהוטל על המערער הוא עונש הולם לנוכח פוטנציאל הנזק הגבוה הגלום במעשה</w:t>
      </w:r>
      <w:r>
        <w:rPr>
          <w:rFonts w:cs="Century" w:ascii="Century" w:hAnsi="Century"/>
          <w:rtl w:val="true"/>
        </w:rPr>
        <w:t xml:space="preserve">, </w:t>
      </w:r>
      <w:r>
        <w:rPr>
          <w:rFonts w:ascii="Century" w:hAnsi="Century" w:cs="Century"/>
          <w:rtl w:val="true"/>
        </w:rPr>
        <w:t>שלא ניתן לראות בו משום מעשה קונדס אלא מעשה מכוון של שליחת אש בשדה קוצים ואף כי לא קדמה לו הכנה שכללה הצטיידות בדלק הרי שאין המדובר במעשה שנעשה בטעות</w:t>
      </w:r>
      <w:r>
        <w:rPr>
          <w:rFonts w:cs="Century" w:ascii="Century" w:hAnsi="Century"/>
          <w:rtl w:val="true"/>
        </w:rPr>
        <w:t xml:space="preserve">. </w:t>
      </w:r>
      <w:r>
        <w:rPr>
          <w:rFonts w:ascii="Century" w:hAnsi="Century" w:cs="Century"/>
          <w:rtl w:val="true"/>
        </w:rPr>
        <w:t>מכל מקום</w:t>
      </w:r>
      <w:r>
        <w:rPr>
          <w:rFonts w:cs="Century" w:ascii="Century" w:hAnsi="Century"/>
          <w:rtl w:val="true"/>
        </w:rPr>
        <w:t xml:space="preserve">, </w:t>
      </w:r>
      <w:r>
        <w:rPr>
          <w:rFonts w:ascii="Century" w:hAnsi="Century" w:cs="Century"/>
          <w:rtl w:val="true"/>
        </w:rPr>
        <w:t>דינו של המערער לא נגזר לחומרה בשל הערכת רמת הסיכון להישנות מעשים דומים והוא אף זכה מן ההפקר בשל ניכוי מחצית מתקופת המעצר באיזוק אלקטרוני</w:t>
      </w:r>
      <w:r>
        <w:rPr>
          <w:rFonts w:cs="Century" w:ascii="Century" w:hAnsi="Century"/>
          <w:rtl w:val="true"/>
        </w:rPr>
        <w:t xml:space="preserve">, </w:t>
      </w:r>
      <w:r>
        <w:rPr>
          <w:rFonts w:ascii="Century" w:hAnsi="Century" w:cs="Century"/>
          <w:rtl w:val="true"/>
        </w:rPr>
        <w:t>אף ששיעור ניכוי כזה אינו מקובל</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Pr>
        <w:t>6</w:t>
      </w:r>
      <w:r>
        <w:rPr>
          <w:rFonts w:cs="Century" w:ascii="Century" w:hAnsi="Century"/>
          <w:rtl w:val="true"/>
        </w:rPr>
        <w:t>.</w:t>
        <w:tab/>
      </w:r>
      <w:r>
        <w:rPr>
          <w:rFonts w:ascii="Century" w:hAnsi="Century" w:cs="Century"/>
          <w:rtl w:val="true"/>
        </w:rPr>
        <w:t>בדיון בפנינו אישרה נציגת שירות המבחן כי הערכת שירות המבחן בבית המשפט קמא היתה כי רמת הסיכון להישנות היא נמוכה ביותר וציינה כי דרוש ליווי טיפולי כדי לצמצמו</w:t>
      </w:r>
      <w:r>
        <w:rPr>
          <w:rFonts w:cs="Century" w:ascii="Century" w:hAnsi="Century"/>
          <w:rtl w:val="true"/>
        </w:rPr>
        <w:t xml:space="preserve">. </w:t>
      </w:r>
      <w:r>
        <w:rPr>
          <w:rFonts w:ascii="Century" w:hAnsi="Century" w:cs="Century"/>
          <w:rtl w:val="true"/>
        </w:rPr>
        <w:t>כמו כן הוגש תסקיר משלים ממנו עולה כי שירות המבחן נמנע ממתן המלצה לענישה טיפולית לנוכח התרשמות השירות מקשייו להתחבר רגשית לחומרת מעשיו ולהשלכותיהם</w:t>
      </w:r>
      <w:r>
        <w:rPr>
          <w:rFonts w:cs="Century" w:ascii="Century" w:hAnsi="Century"/>
          <w:rtl w:val="true"/>
        </w:rPr>
        <w:t xml:space="preserve">, </w:t>
      </w:r>
      <w:r>
        <w:rPr>
          <w:rFonts w:ascii="Century" w:hAnsi="Century" w:cs="Century"/>
          <w:rtl w:val="true"/>
        </w:rPr>
        <w:t>מקשייו בהפעלת שיקול דעת ונטייתו להיגרר אחרי אחרים והקושי לנהל עימו תקשורת פתוחה באשר לסיבות למעשיו וכן לנוכח עמדתו השוללת צורך טיפולי</w:t>
      </w:r>
      <w:r>
        <w:rPr>
          <w:rFonts w:cs="Century" w:ascii="Century" w:hAnsi="Century"/>
          <w:rtl w:val="true"/>
        </w:rPr>
        <w:t xml:space="preserve">. </w:t>
      </w:r>
      <w:r>
        <w:rPr>
          <w:rFonts w:ascii="Century" w:hAnsi="Century" w:cs="Century"/>
          <w:rtl w:val="true"/>
        </w:rPr>
        <w:t>שירות המבחן ציין כי המערער התקשה להסביר לגורמי הטיפול בשב</w:t>
      </w:r>
      <w:r>
        <w:rPr>
          <w:rFonts w:cs="Century" w:ascii="Century" w:hAnsi="Century"/>
          <w:rtl w:val="true"/>
        </w:rPr>
        <w:t>"</w:t>
      </w:r>
      <w:r>
        <w:rPr>
          <w:rFonts w:ascii="Century" w:hAnsi="Century" w:cs="Century"/>
          <w:rtl w:val="true"/>
        </w:rPr>
        <w:t>ס מה הרקע לביצוע המעשים וטען כי עשה זאת מתוך חשיבה ילדותית</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Pr>
        <w:t>7</w:t>
      </w:r>
      <w:r>
        <w:rPr>
          <w:rFonts w:cs="Century" w:ascii="Century" w:hAnsi="Century"/>
          <w:rtl w:val="true"/>
        </w:rPr>
        <w:t>.</w:t>
        <w:tab/>
      </w:r>
      <w:r>
        <w:rPr>
          <w:rFonts w:ascii="Century" w:hAnsi="Century" w:cs="Century"/>
          <w:rtl w:val="true"/>
        </w:rPr>
        <w:t>לאחר עיון בנימוקי הערעור ובגזר דינו של בית המשפט המחוזי ולאחר שנשמעו טיעוני הצדדים</w:t>
      </w:r>
      <w:r>
        <w:rPr>
          <w:rFonts w:cs="Century" w:ascii="Century" w:hAnsi="Century"/>
          <w:rtl w:val="true"/>
        </w:rPr>
        <w:t xml:space="preserve">, </w:t>
      </w:r>
      <w:r>
        <w:rPr>
          <w:rFonts w:ascii="Century" w:hAnsi="Century" w:cs="Century"/>
          <w:rtl w:val="true"/>
        </w:rPr>
        <w:t>הגעתי לכלל מסקנה כי דין הערעור להתקבל</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pPr>
      <w:r>
        <w:rPr>
          <w:rFonts w:cs="Century" w:ascii="Century" w:hAnsi="Century"/>
        </w:rPr>
        <w:t>8</w:t>
      </w:r>
      <w:r>
        <w:rPr>
          <w:rFonts w:cs="Century" w:ascii="Century" w:hAnsi="Century"/>
          <w:rtl w:val="true"/>
        </w:rPr>
        <w:t>.</w:t>
        <w:tab/>
      </w:r>
      <w:r>
        <w:rPr>
          <w:rFonts w:ascii="Century" w:hAnsi="Century" w:cs="Century"/>
          <w:rtl w:val="true"/>
        </w:rPr>
        <w:t>כידוע</w:t>
      </w:r>
      <w:r>
        <w:rPr>
          <w:rFonts w:cs="Century" w:ascii="Century" w:hAnsi="Century"/>
          <w:rtl w:val="true"/>
        </w:rPr>
        <w:t xml:space="preserve">, </w:t>
      </w:r>
      <w:r>
        <w:rPr>
          <w:rFonts w:ascii="Century" w:hAnsi="Century" w:cs="Century"/>
          <w:rtl w:val="true"/>
        </w:rPr>
        <w:t>על פי הכלל הנקוט בידינו</w:t>
      </w:r>
      <w:r>
        <w:rPr>
          <w:rFonts w:cs="Century" w:ascii="Century" w:hAnsi="Century"/>
          <w:rtl w:val="true"/>
        </w:rPr>
        <w:t xml:space="preserve">, </w:t>
      </w:r>
      <w:r>
        <w:rPr>
          <w:rFonts w:ascii="Century" w:hAnsi="Century" w:cs="Century"/>
          <w:rtl w:val="true"/>
        </w:rPr>
        <w:t>אין ערכאת הערעור מתערבת בענישה אלא במקרים חריגים שעניינם טעות מהותית בגזר דינה של הערכאה הדיונית או</w:t>
      </w:r>
      <w:r>
        <w:rPr>
          <w:rFonts w:ascii="Century" w:hAnsi="Century" w:cs="Century"/>
          <w:rtl w:val="true"/>
        </w:rPr>
        <w:t xml:space="preserve"> </w:t>
      </w:r>
      <w:r>
        <w:rPr>
          <w:rFonts w:ascii="Century" w:hAnsi="Century" w:cs="Century"/>
          <w:rtl w:val="true"/>
        </w:rPr>
        <w:t xml:space="preserve">חריגה במידה ניכרת מרמת הענישה הנוהגת או הראויה במקרים דומים </w:t>
      </w:r>
      <w:r>
        <w:rPr>
          <w:rFonts w:cs="Century" w:ascii="Century" w:hAnsi="Century"/>
          <w:rtl w:val="true"/>
        </w:rPr>
        <w:t>(</w:t>
      </w:r>
      <w:hyperlink r:id="rId1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8317/16</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אלקיעאן</w:t>
      </w:r>
      <w:r>
        <w:rPr>
          <w:rFonts w:ascii="Century" w:hAnsi="Century" w:eastAsia="Century" w:cs="Century"/>
          <w:b/>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4.6.2017</w:t>
      </w:r>
      <w:r>
        <w:rPr>
          <w:rFonts w:cs="Century" w:ascii="Century" w:hAnsi="Century"/>
          <w:rtl w:val="true"/>
        </w:rPr>
        <w:t xml:space="preserve">)). </w:t>
      </w:r>
      <w:r>
        <w:rPr>
          <w:rFonts w:ascii="Century" w:hAnsi="Century" w:cs="Century"/>
          <w:rtl w:val="true"/>
        </w:rPr>
        <w:t>יחד עם זאת</w:t>
      </w:r>
      <w:r>
        <w:rPr>
          <w:rFonts w:cs="Century" w:ascii="Century" w:hAnsi="Century"/>
          <w:rtl w:val="true"/>
        </w:rPr>
        <w:t xml:space="preserve">, </w:t>
      </w:r>
      <w:r>
        <w:rPr>
          <w:rFonts w:ascii="Century" w:hAnsi="Century" w:cs="Century"/>
          <w:rtl w:val="true"/>
        </w:rPr>
        <w:t>וכפי שנקבע ב</w:t>
      </w:r>
      <w:hyperlink r:id="rId1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6347/12</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מרה</w:t>
      </w:r>
      <w:r>
        <w:rPr>
          <w:rFonts w:ascii="Century" w:hAnsi="Century" w:eastAsia="Century" w:cs="Century"/>
          <w:b/>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13.5.2013</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5"/>
        <w:ind w:end="1282"/>
        <w:jc w:val="both"/>
        <w:rPr/>
      </w:pPr>
      <w:r>
        <w:rPr>
          <w:rFonts w:eastAsia="Arial TUR;Arial" w:cs="Arial TUR;Arial"/>
          <w:rtl w:val="true"/>
        </w:rPr>
        <w:t xml:space="preserve"> </w:t>
      </w:r>
      <w:r>
        <w:rPr>
          <w:rtl w:val="true"/>
        </w:rPr>
        <w:t>"</w:t>
      </w:r>
      <w:r>
        <w:rPr>
          <w:rtl w:val="true"/>
        </w:rPr>
        <w:t>כלל</w:t>
      </w:r>
      <w:r>
        <w:rPr>
          <w:rFonts w:eastAsia="Arial TUR;Arial" w:cs="Arial TUR;Arial"/>
          <w:rtl w:val="true"/>
        </w:rPr>
        <w:t xml:space="preserve"> </w:t>
      </w:r>
      <w:r>
        <w:rPr>
          <w:rtl w:val="true"/>
        </w:rPr>
        <w:t>ההתערבות</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קובע</w:t>
      </w:r>
      <w:r>
        <w:rPr>
          <w:rFonts w:eastAsia="Arial TUR;Arial" w:cs="Arial TUR;Arial"/>
          <w:rtl w:val="true"/>
        </w:rPr>
        <w:t xml:space="preserve"> </w:t>
      </w:r>
      <w:r>
        <w:rPr>
          <w:rtl w:val="true"/>
        </w:rPr>
        <w:t>חריג</w:t>
      </w:r>
      <w:r>
        <w:rPr>
          <w:rtl w:val="true"/>
        </w:rPr>
        <w:t xml:space="preserve">, </w:t>
      </w:r>
      <w:r>
        <w:rPr>
          <w:rtl w:val="true"/>
        </w:rPr>
        <w:t>ומאפשר</w:t>
      </w:r>
      <w:r>
        <w:rPr>
          <w:rFonts w:eastAsia="Arial TUR;Arial" w:cs="Arial TUR;Arial"/>
          <w:rtl w:val="true"/>
        </w:rPr>
        <w:t xml:space="preserve"> </w:t>
      </w:r>
      <w:r>
        <w:rPr>
          <w:rtl w:val="true"/>
        </w:rPr>
        <w:t>לערכאת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בגזר</w:t>
      </w:r>
      <w:r>
        <w:rPr>
          <w:rFonts w:eastAsia="Arial TUR;Arial" w:cs="Arial TUR;Arial"/>
          <w:rtl w:val="true"/>
        </w:rPr>
        <w:t xml:space="preserve"> </w:t>
      </w:r>
      <w:r>
        <w:rPr>
          <w:rtl w:val="true"/>
        </w:rPr>
        <w:t>הדין</w:t>
      </w:r>
      <w:r>
        <w:rPr>
          <w:rtl w:val="true"/>
        </w:rPr>
        <w:t xml:space="preserve">, </w:t>
      </w:r>
      <w:r>
        <w:rPr>
          <w:rtl w:val="true"/>
        </w:rPr>
        <w:t>מקום</w:t>
      </w:r>
      <w:r>
        <w:rPr>
          <w:rFonts w:eastAsia="Arial TUR;Arial" w:cs="Arial TUR;Arial"/>
          <w:rtl w:val="true"/>
        </w:rPr>
        <w:t xml:space="preserve"> </w:t>
      </w:r>
      <w:r>
        <w:rPr>
          <w:rtl w:val="true"/>
        </w:rPr>
        <w:t>שהאיזון</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כשלעצמן</w:t>
      </w:r>
      <w:r>
        <w:rPr>
          <w:rFonts w:eastAsia="Arial TUR;Arial" w:cs="Arial TUR;Arial"/>
          <w:rtl w:val="true"/>
        </w:rPr>
        <w:t xml:space="preserve"> </w:t>
      </w:r>
      <w:r>
        <w:rPr>
          <w:rtl w:val="true"/>
        </w:rPr>
        <w:t>ובנסיבות</w:t>
      </w:r>
      <w:r>
        <w:rPr>
          <w:rFonts w:eastAsia="Arial TUR;Arial" w:cs="Arial TUR;Arial"/>
          <w:rtl w:val="true"/>
        </w:rPr>
        <w:t xml:space="preserve"> </w:t>
      </w:r>
      <w:r>
        <w:rPr>
          <w:rtl w:val="true"/>
        </w:rPr>
        <w:t>העניין</w:t>
      </w:r>
      <w:r>
        <w:rPr>
          <w:rtl w:val="true"/>
        </w:rPr>
        <w:t xml:space="preserve">, </w:t>
      </w:r>
      <w:r>
        <w:rPr>
          <w:rtl w:val="true"/>
        </w:rPr>
        <w:t>אל</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שיקולים</w:t>
      </w:r>
      <w:r>
        <w:rPr>
          <w:rFonts w:eastAsia="Arial TUR;Arial" w:cs="Arial TUR;Arial"/>
          <w:rtl w:val="true"/>
        </w:rPr>
        <w:t xml:space="preserve"> </w:t>
      </w:r>
      <w:r>
        <w:rPr>
          <w:rtl w:val="true"/>
        </w:rPr>
        <w:t>פרטניים</w:t>
      </w:r>
      <w:r>
        <w:rPr>
          <w:rFonts w:eastAsia="Arial TUR;Arial" w:cs="Arial TUR;Arial"/>
          <w:rtl w:val="true"/>
        </w:rPr>
        <w:t xml:space="preserve"> </w:t>
      </w:r>
      <w:r>
        <w:rPr>
          <w:rtl w:val="true"/>
        </w:rPr>
        <w:t>שעניינם</w:t>
      </w:r>
      <w:r>
        <w:rPr>
          <w:rFonts w:eastAsia="Arial TUR;Arial" w:cs="Arial TUR;Arial"/>
          <w:rtl w:val="true"/>
        </w:rPr>
        <w:t xml:space="preserve"> </w:t>
      </w:r>
      <w:r>
        <w:rPr>
          <w:rtl w:val="true"/>
        </w:rPr>
        <w:t>העבריין</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w:t>
      </w:r>
      <w:r>
        <w:rPr>
          <w:rtl w:val="true"/>
        </w:rPr>
        <w:t>כדוגמת</w:t>
      </w:r>
      <w:r>
        <w:rPr>
          <w:rFonts w:eastAsia="Arial TUR;Arial" w:cs="Arial TUR;Arial"/>
          <w:rtl w:val="true"/>
        </w:rPr>
        <w:t xml:space="preserve"> </w:t>
      </w:r>
      <w:r>
        <w:rPr>
          <w:rtl w:val="true"/>
        </w:rPr>
        <w:t>עברו</w:t>
      </w:r>
      <w:r>
        <w:rPr>
          <w:rFonts w:eastAsia="Arial TUR;Arial" w:cs="Arial TUR;Arial"/>
          <w:rtl w:val="true"/>
        </w:rPr>
        <w:t xml:space="preserve"> </w:t>
      </w:r>
      <w:r>
        <w:rPr>
          <w:rtl w:val="true"/>
        </w:rPr>
        <w:t>הפלילי</w:t>
      </w:r>
      <w:r>
        <w:rPr>
          <w:rtl w:val="true"/>
        </w:rPr>
        <w:t xml:space="preserve">, </w:t>
      </w:r>
      <w:r>
        <w:rPr>
          <w:rtl w:val="true"/>
        </w:rPr>
        <w:t>נסיבות</w:t>
      </w:r>
      <w:r>
        <w:rPr>
          <w:rFonts w:eastAsia="Arial TUR;Arial" w:cs="Arial TUR;Arial"/>
          <w:rtl w:val="true"/>
        </w:rPr>
        <w:t xml:space="preserve"> </w:t>
      </w:r>
      <w:r>
        <w:rPr>
          <w:rtl w:val="true"/>
        </w:rPr>
        <w:t>חייו</w:t>
      </w:r>
      <w:r>
        <w:rPr>
          <w:rtl w:val="true"/>
        </w:rPr>
        <w:t xml:space="preserve">, </w:t>
      </w:r>
      <w:r>
        <w:rPr>
          <w:rtl w:val="true"/>
        </w:rPr>
        <w:t>הסיכוי</w:t>
      </w:r>
      <w:r>
        <w:rPr>
          <w:rFonts w:eastAsia="Arial TUR;Arial" w:cs="Arial TUR;Arial"/>
          <w:rtl w:val="true"/>
        </w:rPr>
        <w:t xml:space="preserve"> </w:t>
      </w:r>
      <w:r>
        <w:rPr>
          <w:rtl w:val="true"/>
        </w:rPr>
        <w:t>לשיקום</w:t>
      </w:r>
      <w:r>
        <w:rPr>
          <w:rtl w:val="true"/>
        </w:rPr>
        <w:t xml:space="preserve">), </w:t>
      </w:r>
      <w:r>
        <w:rPr>
          <w:rtl w:val="true"/>
        </w:rPr>
        <w:t>מחייבים</w:t>
      </w:r>
      <w:r>
        <w:rPr>
          <w:rFonts w:eastAsia="Arial TUR;Arial" w:cs="Arial TUR;Arial"/>
          <w:rtl w:val="true"/>
        </w:rPr>
        <w:t xml:space="preserve"> </w:t>
      </w:r>
      <w:r>
        <w:rPr>
          <w:rtl w:val="true"/>
        </w:rPr>
        <w:t>גזירת</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קל</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חמור</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מזה</w:t>
      </w:r>
      <w:r>
        <w:rPr>
          <w:rFonts w:eastAsia="Arial TUR;Arial" w:cs="Arial TUR;Arial"/>
          <w:rtl w:val="true"/>
        </w:rPr>
        <w:t xml:space="preserve"> </w:t>
      </w:r>
      <w:r>
        <w:rPr>
          <w:rtl w:val="true"/>
        </w:rPr>
        <w:t>שקבעה</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הדיונית</w:t>
      </w:r>
      <w:r>
        <w:rPr>
          <w:rFonts w:eastAsia="Arial TUR;Arial" w:cs="Arial TUR;Arial"/>
          <w:rtl w:val="true"/>
        </w:rPr>
        <w:t xml:space="preserve"> </w:t>
      </w:r>
      <w:r>
        <w:rPr>
          <w:rtl w:val="true"/>
        </w:rPr>
        <w:t>(</w:t>
      </w:r>
      <w:r>
        <w:rPr>
          <w:rtl w:val="true"/>
        </w:rPr>
        <w:t>ראו</w:t>
      </w:r>
      <w:r>
        <w:rPr>
          <w:rtl w:val="true"/>
        </w:rPr>
        <w:t xml:space="preserve">: </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4330/12</w:t>
        </w:r>
      </w:hyperlink>
      <w:r>
        <w:rPr>
          <w:rtl w:val="true"/>
        </w:rPr>
        <w:t xml:space="preserve"> </w:t>
      </w:r>
      <w:r>
        <w:rPr>
          <w:rFonts w:ascii="Times New Roman" w:hAnsi="Times New Roman" w:cs="Miriam"/>
          <w:spacing w:val="0"/>
          <w:sz w:val="28"/>
          <w:sz w:val="28"/>
          <w:szCs w:val="24"/>
          <w:rtl w:val="true"/>
        </w:rPr>
        <w:t>דעאס</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5.11.2012</w:t>
      </w:r>
      <w:r>
        <w:rPr>
          <w:rtl w:val="true"/>
        </w:rPr>
        <w:t xml:space="preserve">); </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4632/07</w:t>
        </w:r>
        <w:r>
          <w:rPr>
            <w:rStyle w:val="Hyperlink"/>
            <w:color w:val="0000FF"/>
            <w:u w:val="single"/>
            <w:rtl w:val="true"/>
          </w:rPr>
          <w:t xml:space="preserve"> </w:t>
        </w:r>
      </w:hyperlink>
      <w:r>
        <w:rPr>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יאיר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אזרי</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31.10.2007</w:t>
      </w:r>
      <w:r>
        <w:rPr>
          <w:rtl w:val="true"/>
        </w:rPr>
        <w:t xml:space="preserve">); </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6747/11</w:t>
        </w:r>
      </w:hyperlink>
      <w:r>
        <w:rPr>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רקיק</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3.1.2013</w:t>
      </w:r>
      <w:r>
        <w:rPr>
          <w:rtl w:val="true"/>
        </w:rPr>
        <w:t>)"</w:t>
      </w:r>
      <w:r>
        <w:rPr>
          <w:rFonts w:cs="Helvetica" w:ascii="Helvetica" w:hAnsi="Helvetica"/>
          <w:color w:val="333333"/>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Pr>
        <w:t>9</w:t>
      </w:r>
      <w:r>
        <w:rPr>
          <w:rFonts w:cs="Century" w:ascii="Century" w:hAnsi="Century"/>
          <w:rtl w:val="true"/>
        </w:rPr>
        <w:t>.</w:t>
        <w:tab/>
      </w:r>
      <w:r>
        <w:rPr>
          <w:rFonts w:ascii="Century" w:hAnsi="Century" w:cs="Century"/>
          <w:rtl w:val="true"/>
        </w:rPr>
        <w:t>אין חולק כי עבירת ההצתה היא עבירה חמורה הנושאת בצידה עונשים לתקופות מאסר ארוכות</w:t>
      </w:r>
      <w:r>
        <w:rPr>
          <w:rFonts w:cs="Century" w:ascii="Century" w:hAnsi="Century"/>
          <w:rtl w:val="true"/>
        </w:rPr>
        <w:t xml:space="preserve">, </w:t>
      </w:r>
      <w:r>
        <w:rPr>
          <w:rFonts w:ascii="Century" w:hAnsi="Century" w:cs="Century"/>
          <w:rtl w:val="true"/>
        </w:rPr>
        <w:t>בייחוד כך על פי סיפת הסעיף</w:t>
      </w:r>
      <w:r>
        <w:rPr>
          <w:rFonts w:cs="Century" w:ascii="Century" w:hAnsi="Century"/>
          <w:rtl w:val="true"/>
        </w:rPr>
        <w:t xml:space="preserve">, </w:t>
      </w:r>
      <w:r>
        <w:rPr>
          <w:rFonts w:ascii="Century" w:hAnsi="Century" w:cs="Century"/>
          <w:rtl w:val="true"/>
        </w:rPr>
        <w:t>שבה הורשע המערער</w:t>
      </w:r>
      <w:r>
        <w:rPr>
          <w:rFonts w:cs="Century" w:ascii="Century" w:hAnsi="Century"/>
          <w:rtl w:val="true"/>
        </w:rPr>
        <w:t xml:space="preserve">, </w:t>
      </w:r>
      <w:r>
        <w:rPr>
          <w:rFonts w:ascii="Century" w:hAnsi="Century" w:cs="Century"/>
          <w:rtl w:val="true"/>
        </w:rPr>
        <w:t>ועניינה במי ששילח אש בדבר לא לו במטרה</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לפגוע באתר טבע או בצמחייה והעונש בצידה הוא עשרים שנות מאסר</w:t>
      </w:r>
      <w:r>
        <w:rPr>
          <w:rFonts w:cs="Century" w:ascii="Century" w:hAnsi="Century"/>
          <w:rtl w:val="true"/>
        </w:rPr>
        <w:t xml:space="preserve">. </w:t>
      </w:r>
      <w:r>
        <w:rPr>
          <w:rFonts w:ascii="Century" w:hAnsi="Century" w:cs="Century"/>
          <w:rtl w:val="true"/>
        </w:rPr>
        <w:t>ככלל</w:t>
      </w:r>
      <w:r>
        <w:rPr>
          <w:rFonts w:cs="Century" w:ascii="Century" w:hAnsi="Century"/>
          <w:rtl w:val="true"/>
        </w:rPr>
        <w:t xml:space="preserve">, </w:t>
      </w:r>
      <w:r>
        <w:rPr>
          <w:rFonts w:ascii="Century" w:hAnsi="Century" w:cs="Century"/>
          <w:rtl w:val="true"/>
        </w:rPr>
        <w:t>בעבירות ההצתה לסוגיהן</w:t>
      </w:r>
      <w:r>
        <w:rPr>
          <w:rFonts w:cs="Century" w:ascii="Century" w:hAnsi="Century"/>
          <w:rtl w:val="true"/>
        </w:rPr>
        <w:t xml:space="preserve">, </w:t>
      </w:r>
      <w:r>
        <w:rPr>
          <w:rFonts w:ascii="Century" w:hAnsi="Century" w:cs="Century"/>
          <w:rtl w:val="true"/>
        </w:rPr>
        <w:t>לרבות בחלופה המחמירה פחות שברישת הסעיף</w:t>
      </w:r>
      <w:r>
        <w:rPr>
          <w:rFonts w:cs="Century" w:ascii="Century" w:hAnsi="Century"/>
          <w:rtl w:val="true"/>
        </w:rPr>
        <w:t xml:space="preserve">, </w:t>
      </w:r>
      <w:r>
        <w:rPr>
          <w:rFonts w:ascii="Century" w:hAnsi="Century" w:cs="Century"/>
          <w:rtl w:val="true"/>
        </w:rPr>
        <w:t xml:space="preserve">נהוגה ענישה ממשית של מאסרים בפועל לריצוי מאחורי סורג ובריח כביטוי לסיכון הרב הגלום בה לחיי אדם ולרכוש לנוכח הקושי לשלוט בהיקף הנזקים שהיא עלולה לגרום </w:t>
      </w:r>
      <w:r>
        <w:rPr>
          <w:rFonts w:cs="Century" w:ascii="Century" w:hAnsi="Century"/>
          <w:rtl w:val="true"/>
        </w:rPr>
        <w:t>(</w:t>
      </w:r>
      <w:hyperlink r:id="rId1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8659/13</w:t>
        </w:r>
      </w:hyperlink>
      <w:r>
        <w:rPr>
          <w:rFonts w:cs="Century" w:ascii="Century" w:hAnsi="Century"/>
          <w:rtl w:val="true"/>
        </w:rPr>
        <w:t xml:space="preserve"> </w:t>
      </w:r>
      <w:r>
        <w:rPr>
          <w:rFonts w:ascii="Century" w:hAnsi="Century" w:cs="Miriam"/>
          <w:b/>
          <w:b/>
          <w:spacing w:val="0"/>
          <w:szCs w:val="24"/>
          <w:rtl w:val="true"/>
        </w:rPr>
        <w:t>אלמליח</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Miriam" w:ascii="Century" w:hAnsi="Century"/>
          <w:b/>
          <w:spacing w:val="0"/>
          <w:szCs w:val="24"/>
          <w:rtl w:val="true"/>
        </w:rPr>
        <w:t>(</w:t>
      </w:r>
      <w:r>
        <w:rPr>
          <w:rFonts w:cs="Century" w:ascii="Century" w:hAnsi="Century"/>
        </w:rPr>
        <w:t>14.5.2014</w:t>
      </w:r>
      <w:r>
        <w:rPr>
          <w:rFonts w:cs="Century" w:ascii="Century" w:hAnsi="Century"/>
          <w:rtl w:val="true"/>
        </w:rPr>
        <w:t xml:space="preserve">), </w:t>
      </w:r>
      <w:hyperlink r:id="rId1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4761/15</w:t>
        </w:r>
      </w:hyperlink>
      <w:r>
        <w:rPr>
          <w:rFonts w:cs="Century" w:ascii="Century" w:hAnsi="Century"/>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ורבאן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23.11.2015</w:t>
      </w:r>
      <w:r>
        <w:rPr>
          <w:rFonts w:cs="Century" w:ascii="Century" w:hAnsi="Century"/>
          <w:rtl w:val="true"/>
        </w:rPr>
        <w:t xml:space="preserve">), </w:t>
      </w:r>
      <w:hyperlink r:id="rId1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6720/16</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ascii="Century" w:hAnsi="Century" w:cs="Century"/>
          <w:rtl w:val="true"/>
        </w:rPr>
        <w:t>להלן</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פלוני</w:t>
      </w:r>
      <w:r>
        <w:rPr>
          <w:rFonts w:cs="Century" w:ascii="Century" w:hAnsi="Century"/>
          <w:rtl w:val="true"/>
        </w:rPr>
        <w:t>) (</w:t>
      </w:r>
      <w:r>
        <w:rPr>
          <w:rFonts w:cs="Century" w:ascii="Century" w:hAnsi="Century"/>
        </w:rPr>
        <w:t>7.3.2017</w:t>
      </w:r>
      <w:r>
        <w:rPr>
          <w:rFonts w:cs="Century" w:ascii="Century" w:hAnsi="Century"/>
          <w:rtl w:val="true"/>
        </w:rPr>
        <w:t xml:space="preserve">)). </w:t>
      </w:r>
      <w:r>
        <w:rPr>
          <w:rFonts w:ascii="Century" w:hAnsi="Century" w:cs="Century"/>
          <w:rtl w:val="true"/>
        </w:rPr>
        <w:t>עונשי מאסר לריצוי בעבודות שירות הוטלו על מי שהורשעו בעבירה זו</w:t>
      </w:r>
      <w:r>
        <w:rPr>
          <w:rFonts w:cs="Century" w:ascii="Century" w:hAnsi="Century"/>
          <w:rtl w:val="true"/>
        </w:rPr>
        <w:t xml:space="preserve">, </w:t>
      </w:r>
      <w:r>
        <w:rPr>
          <w:rFonts w:ascii="Century" w:hAnsi="Century" w:cs="Century"/>
          <w:rtl w:val="true"/>
        </w:rPr>
        <w:t xml:space="preserve">במקרים חריגים שהצדיקו זאת לנוכח שיקולי שיקום משמעותיים </w:t>
      </w:r>
      <w:r>
        <w:rPr>
          <w:rFonts w:cs="Century" w:ascii="Century" w:hAnsi="Century"/>
          <w:rtl w:val="true"/>
        </w:rPr>
        <w:t>(</w:t>
      </w:r>
      <w:hyperlink r:id="rId1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1951/14</w:t>
        </w:r>
      </w:hyperlink>
      <w:r>
        <w:rPr>
          <w:rFonts w:cs="Century" w:ascii="Century" w:hAnsi="Century"/>
          <w:rtl w:val="true"/>
        </w:rPr>
        <w:t xml:space="preserve"> </w:t>
      </w:r>
      <w:r>
        <w:rPr>
          <w:rFonts w:ascii="Century" w:hAnsi="Century" w:cs="Miriam"/>
          <w:b/>
          <w:b/>
          <w:spacing w:val="0"/>
          <w:szCs w:val="24"/>
          <w:rtl w:val="true"/>
        </w:rPr>
        <w:t>מקונן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15.2.2015</w:t>
      </w:r>
      <w:r>
        <w:rPr>
          <w:rFonts w:cs="Century" w:ascii="Century" w:hAnsi="Century"/>
          <w:rtl w:val="true"/>
        </w:rPr>
        <w:t xml:space="preserve">) </w:t>
      </w:r>
      <w:r>
        <w:rPr>
          <w:rFonts w:ascii="Century" w:hAnsi="Century" w:cs="Century"/>
          <w:rtl w:val="true"/>
        </w:rPr>
        <w:t xml:space="preserve">ואלו הם פני הדברים גם בפסקי הדין שהוגשו לעיוננו מטעמו של המערער </w:t>
      </w:r>
      <w:r>
        <w:rPr>
          <w:rFonts w:cs="Century" w:ascii="Century" w:hAnsi="Century"/>
          <w:rtl w:val="true"/>
        </w:rPr>
        <w:t>(</w:t>
      </w:r>
      <w:hyperlink r:id="rId2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4311/12</w:t>
        </w:r>
      </w:hyperlink>
      <w:r>
        <w:rPr>
          <w:rFonts w:cs="Century" w:ascii="Century" w:hAnsi="Century"/>
          <w:rtl w:val="true"/>
        </w:rPr>
        <w:t xml:space="preserve"> </w:t>
      </w:r>
      <w:r>
        <w:rPr>
          <w:rFonts w:ascii="Century" w:hAnsi="Century" w:cs="Miriam"/>
          <w:b/>
          <w:b/>
          <w:spacing w:val="0"/>
          <w:szCs w:val="24"/>
          <w:rtl w:val="true"/>
        </w:rPr>
        <w:t>סורי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Miriam" w:ascii="Century" w:hAnsi="Century"/>
          <w:b/>
          <w:spacing w:val="0"/>
          <w:szCs w:val="24"/>
          <w:rtl w:val="true"/>
        </w:rPr>
        <w:t xml:space="preserve"> </w:t>
      </w:r>
      <w:r>
        <w:rPr>
          <w:rFonts w:cs="Century" w:ascii="Century" w:hAnsi="Century"/>
        </w:rPr>
        <w:t>8.11.2012</w:t>
      </w:r>
      <w:r>
        <w:rPr>
          <w:rFonts w:cs="Century" w:ascii="Century" w:hAnsi="Century"/>
          <w:rtl w:val="true"/>
        </w:rPr>
        <w:t xml:space="preserve">), </w:t>
      </w:r>
      <w:hyperlink r:id="rId2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8501/09</w:t>
        </w:r>
      </w:hyperlink>
      <w:r>
        <w:rPr>
          <w:rFonts w:cs="Century" w:ascii="Century" w:hAnsi="Century"/>
          <w:rtl w:val="true"/>
        </w:rPr>
        <w:t xml:space="preserve"> </w:t>
      </w:r>
      <w:r>
        <w:rPr>
          <w:rFonts w:ascii="Century" w:hAnsi="Century" w:cs="Miriam"/>
          <w:b/>
          <w:b/>
          <w:spacing w:val="0"/>
          <w:szCs w:val="24"/>
          <w:rtl w:val="true"/>
        </w:rPr>
        <w:t>בוכרע</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10.8.2010</w:t>
      </w:r>
      <w:r>
        <w:rPr>
          <w:rFonts w:cs="Century" w:ascii="Century" w:hAnsi="Century"/>
          <w:rtl w:val="true"/>
        </w:rPr>
        <w:t xml:space="preserve">)). </w:t>
      </w:r>
      <w:r>
        <w:rPr>
          <w:rFonts w:ascii="Century" w:hAnsi="Century" w:cs="Century"/>
          <w:rtl w:val="true"/>
        </w:rPr>
        <w:t>שיקולים אלו אינם קיימים בעניינו של המערער</w:t>
      </w:r>
      <w:r>
        <w:rPr>
          <w:rFonts w:cs="Century" w:ascii="Century" w:hAnsi="Century"/>
          <w:rtl w:val="true"/>
        </w:rPr>
        <w:t xml:space="preserve">, </w:t>
      </w:r>
      <w:r>
        <w:rPr>
          <w:rFonts w:ascii="Century" w:hAnsi="Century" w:cs="Century"/>
          <w:rtl w:val="true"/>
        </w:rPr>
        <w:t>כפי שעמד על כך בית המשפט קמא</w:t>
      </w:r>
      <w:r>
        <w:rPr>
          <w:rFonts w:cs="Century" w:ascii="Century" w:hAnsi="Century"/>
          <w:rtl w:val="true"/>
        </w:rPr>
        <w:t xml:space="preserve">, </w:t>
      </w:r>
      <w:r>
        <w:rPr>
          <w:rFonts w:ascii="Century" w:hAnsi="Century" w:cs="Century"/>
          <w:rtl w:val="true"/>
        </w:rPr>
        <w:t>כשציין שעל פי התרשמות שירות המבחן המערער מתקשה לקחת אחריות מלאה</w:t>
      </w:r>
      <w:r>
        <w:rPr>
          <w:rFonts w:cs="Century" w:ascii="Century" w:hAnsi="Century"/>
          <w:rtl w:val="true"/>
        </w:rPr>
        <w:t xml:space="preserve">, </w:t>
      </w:r>
      <w:r>
        <w:rPr>
          <w:rFonts w:ascii="Century" w:hAnsi="Century" w:cs="Century"/>
          <w:rtl w:val="true"/>
        </w:rPr>
        <w:t>כזו הכוללת רגשות חרטה ובושה</w:t>
      </w:r>
      <w:r>
        <w:rPr>
          <w:rFonts w:cs="Century" w:ascii="Century" w:hAnsi="Century"/>
          <w:rtl w:val="true"/>
        </w:rPr>
        <w:t xml:space="preserve">, </w:t>
      </w:r>
      <w:r>
        <w:rPr>
          <w:rFonts w:ascii="Century" w:hAnsi="Century" w:cs="Century"/>
          <w:rtl w:val="true"/>
        </w:rPr>
        <w:t>אלא נוטל אחריות פורמלית בלבד</w:t>
      </w:r>
      <w:r>
        <w:rPr>
          <w:rFonts w:cs="Century" w:ascii="Century" w:hAnsi="Century"/>
          <w:rtl w:val="true"/>
        </w:rPr>
        <w:t xml:space="preserve">. </w:t>
      </w:r>
      <w:r>
        <w:rPr>
          <w:rFonts w:ascii="Century" w:hAnsi="Century" w:cs="Century"/>
          <w:rtl w:val="true"/>
        </w:rPr>
        <w:t>עוד התרשם שירות המבחן כי ברקע המעשה עומדת נטייתו להיגררות חברתית וציין כי לא ניתן לשלול כי ברקע עומדת היגררות במצבים פוליטיים</w:t>
      </w:r>
      <w:r>
        <w:rPr>
          <w:rFonts w:cs="Century" w:ascii="Century" w:hAnsi="Century"/>
          <w:rtl w:val="true"/>
        </w:rPr>
        <w:t xml:space="preserve">, </w:t>
      </w:r>
      <w:r>
        <w:rPr>
          <w:rFonts w:ascii="Century" w:hAnsi="Century" w:cs="Century"/>
          <w:rtl w:val="true"/>
        </w:rPr>
        <w:t>בעוד המערער מצידו שולל צורך טיפולי</w:t>
      </w:r>
      <w:r>
        <w:rPr>
          <w:rFonts w:cs="Century" w:ascii="Century" w:hAnsi="Century"/>
          <w:rtl w:val="true"/>
        </w:rPr>
        <w:t xml:space="preserve">. </w:t>
      </w:r>
      <w:r>
        <w:rPr>
          <w:rFonts w:ascii="Century" w:hAnsi="Century" w:cs="Century"/>
          <w:rtl w:val="true"/>
        </w:rPr>
        <w:t>בנסיבות אלו אין מקום</w:t>
      </w:r>
      <w:r>
        <w:rPr>
          <w:rFonts w:cs="Century" w:ascii="Century" w:hAnsi="Century"/>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להורות על עונש מאסר הניתן לריצוי בעבודות שירות</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Pr>
        <w:t>10</w:t>
      </w:r>
      <w:r>
        <w:rPr>
          <w:rFonts w:cs="Century" w:ascii="Century" w:hAnsi="Century"/>
          <w:rtl w:val="true"/>
        </w:rPr>
        <w:t>.</w:t>
        <w:tab/>
      </w:r>
      <w:r>
        <w:rPr>
          <w:rFonts w:ascii="Century" w:hAnsi="Century" w:cs="Century"/>
          <w:rtl w:val="true"/>
        </w:rPr>
        <w:t>לא כן הדברים באשר למידת העונש</w:t>
      </w:r>
      <w:r>
        <w:rPr>
          <w:rFonts w:cs="Century" w:ascii="Century" w:hAnsi="Century"/>
          <w:rtl w:val="true"/>
        </w:rPr>
        <w:t xml:space="preserve">. </w:t>
      </w:r>
      <w:r>
        <w:rPr>
          <w:rFonts w:ascii="Century" w:hAnsi="Century" w:cs="Century"/>
          <w:rtl w:val="true"/>
        </w:rPr>
        <w:t>מנעד הענישה בעבירות ההצתה הוא רחב ובקביעת מידת העונש בכל מקרה ומקרה יש לקחת בחשבון את תוצאות המעשה</w:t>
      </w:r>
      <w:r>
        <w:rPr>
          <w:rFonts w:cs="Century" w:ascii="Century" w:hAnsi="Century"/>
          <w:rtl w:val="true"/>
        </w:rPr>
        <w:t xml:space="preserve">, </w:t>
      </w:r>
      <w:r>
        <w:rPr>
          <w:rFonts w:ascii="Century" w:hAnsi="Century" w:cs="Century"/>
          <w:rtl w:val="true"/>
        </w:rPr>
        <w:t>את מידת הסיכון שנשקפה בעטיו לחיי אדם ולרכוש</w:t>
      </w:r>
      <w:r>
        <w:rPr>
          <w:rFonts w:cs="Century" w:ascii="Century" w:hAnsi="Century"/>
          <w:rtl w:val="true"/>
        </w:rPr>
        <w:t xml:space="preserve">, </w:t>
      </w:r>
      <w:r>
        <w:rPr>
          <w:rFonts w:ascii="Century" w:hAnsi="Century" w:cs="Century"/>
          <w:rtl w:val="true"/>
        </w:rPr>
        <w:t xml:space="preserve">את קיומו או העדרו של תכנון מוקדם ואת עברו הפלילי של הנאשם </w:t>
      </w:r>
      <w:r>
        <w:rPr>
          <w:rFonts w:cs="Century" w:ascii="Century" w:hAnsi="Century"/>
          <w:rtl w:val="true"/>
        </w:rPr>
        <w:t>(</w:t>
      </w:r>
      <w:hyperlink r:id="rId2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4006/12</w:t>
        </w:r>
        <w:r>
          <w:rPr>
            <w:rStyle w:val="Hyperlink"/>
            <w:rFonts w:cs="Century" w:ascii="Century" w:hAnsi="Century"/>
            <w:color w:val="0000FF"/>
            <w:u w:val="single"/>
            <w:rtl w:val="true"/>
          </w:rPr>
          <w:t xml:space="preserve"> </w:t>
        </w:r>
      </w:hyperlink>
      <w:r>
        <w:rPr>
          <w:rFonts w:cs="Century" w:ascii="Century" w:hAnsi="Century"/>
          <w:rtl w:val="true"/>
        </w:rPr>
        <w:t xml:space="preserve"> </w:t>
      </w:r>
      <w:r>
        <w:rPr>
          <w:rFonts w:ascii="Century" w:hAnsi="Century" w:cs="Miriam"/>
          <w:b/>
          <w:b/>
          <w:spacing w:val="0"/>
          <w:szCs w:val="24"/>
          <w:rtl w:val="true"/>
        </w:rPr>
        <w:t>מלאך</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5.2.2013</w:t>
      </w:r>
      <w:r>
        <w:rPr>
          <w:rFonts w:cs="Century" w:ascii="Century" w:hAnsi="Century"/>
          <w:rtl w:val="true"/>
        </w:rPr>
        <w:t xml:space="preserve">)). </w:t>
      </w:r>
      <w:r>
        <w:rPr>
          <w:rFonts w:ascii="Century" w:hAnsi="Century" w:cs="Century"/>
          <w:rtl w:val="true"/>
        </w:rPr>
        <w:t>כפי שפורט לעיל</w:t>
      </w:r>
      <w:r>
        <w:rPr>
          <w:rFonts w:cs="Century" w:ascii="Century" w:hAnsi="Century"/>
          <w:rtl w:val="true"/>
        </w:rPr>
        <w:t xml:space="preserve">, </w:t>
      </w:r>
      <w:r>
        <w:rPr>
          <w:rFonts w:ascii="Century" w:hAnsi="Century" w:cs="Century"/>
          <w:rtl w:val="true"/>
        </w:rPr>
        <w:t>המערער והאחר הגיעו בסמוך לגדר היישוב והשתמשו במצתים להבערת האש</w:t>
      </w:r>
      <w:r>
        <w:rPr>
          <w:rFonts w:cs="Century" w:ascii="Century" w:hAnsi="Century"/>
          <w:rtl w:val="true"/>
        </w:rPr>
        <w:t xml:space="preserve">. </w:t>
      </w:r>
      <w:r>
        <w:rPr>
          <w:rFonts w:ascii="Century" w:hAnsi="Century" w:cs="Century"/>
          <w:rtl w:val="true"/>
        </w:rPr>
        <w:t>אכן</w:t>
      </w:r>
      <w:r>
        <w:rPr>
          <w:rFonts w:cs="Century" w:ascii="Century" w:hAnsi="Century"/>
          <w:rtl w:val="true"/>
        </w:rPr>
        <w:t xml:space="preserve">, </w:t>
      </w:r>
      <w:r>
        <w:rPr>
          <w:rFonts w:ascii="Century" w:hAnsi="Century" w:cs="Century"/>
          <w:rtl w:val="true"/>
        </w:rPr>
        <w:t>וכפי שעמדה על כך באת כח המשיבה</w:t>
      </w:r>
      <w:r>
        <w:rPr>
          <w:rFonts w:cs="Century" w:ascii="Century" w:hAnsi="Century"/>
          <w:rtl w:val="true"/>
        </w:rPr>
        <w:t xml:space="preserve">, </w:t>
      </w:r>
      <w:r>
        <w:rPr>
          <w:rFonts w:ascii="Century" w:hAnsi="Century" w:cs="Century"/>
          <w:rtl w:val="true"/>
        </w:rPr>
        <w:t>טעות לא היתה כאן</w:t>
      </w:r>
      <w:r>
        <w:rPr>
          <w:rFonts w:cs="Century" w:ascii="Century" w:hAnsi="Century"/>
          <w:rtl w:val="true"/>
        </w:rPr>
        <w:t xml:space="preserve">, </w:t>
      </w:r>
      <w:r>
        <w:rPr>
          <w:rFonts w:ascii="Century" w:hAnsi="Century" w:cs="Century"/>
          <w:rtl w:val="true"/>
        </w:rPr>
        <w:t>אולם גם בהינתן תכנון מוקדם הרי שהמערער והאחר לא הצטיידו בחומרי בעירה משמעותיים יותר</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 xml:space="preserve">הנזק שנגרם בפועל לא היה גבוה והסתכם בשריפת שדה הקוצים אם כי יש מקום לקחת בחשבון </w:t>
      </w:r>
      <w:r>
        <w:rPr>
          <w:rFonts w:ascii="Century" w:hAnsi="Century" w:cs="Century"/>
          <w:rtl w:val="true"/>
        </w:rPr>
        <w:t>–</w:t>
      </w:r>
      <w:r>
        <w:rPr>
          <w:rFonts w:ascii="Century" w:hAnsi="Century" w:cs="Century"/>
          <w:rtl w:val="true"/>
        </w:rPr>
        <w:t xml:space="preserve"> וכפי שציין בית המשפט קמא </w:t>
      </w:r>
      <w:r>
        <w:rPr>
          <w:rFonts w:ascii="Century" w:hAnsi="Century" w:cs="Century"/>
          <w:rtl w:val="true"/>
        </w:rPr>
        <w:t>–</w:t>
      </w:r>
      <w:r>
        <w:rPr>
          <w:rFonts w:ascii="Century" w:hAnsi="Century" w:cs="Century"/>
          <w:rtl w:val="true"/>
        </w:rPr>
        <w:t xml:space="preserve"> כי הנזק עלול היה להיות משמעותי יותר ולהסתיים באסון</w:t>
      </w:r>
      <w:r>
        <w:rPr>
          <w:rFonts w:cs="Century" w:ascii="Century" w:hAnsi="Century"/>
          <w:rtl w:val="true"/>
        </w:rPr>
        <w:t xml:space="preserve">. </w:t>
      </w:r>
      <w:r>
        <w:rPr>
          <w:rFonts w:ascii="Century" w:hAnsi="Century" w:cs="Century"/>
          <w:rtl w:val="true"/>
        </w:rPr>
        <w:t xml:space="preserve">בנסיבות אלה ובהיעדר קביעה חד משמעית כי המעשה בוצע ממניע אידיאולוגי לא ניתן לייחס למעשה את החומרה היתרה במעשים המבוצעים על רקע זה ויש מקום להעמיד את מתחם הענישה </w:t>
      </w:r>
      <w:r>
        <w:rPr>
          <w:rFonts w:ascii="Century" w:hAnsi="Century" w:cs="Century"/>
          <w:rtl w:val="true"/>
        </w:rPr>
        <w:t>על</w:t>
      </w:r>
      <w:r>
        <w:rPr>
          <w:rFonts w:ascii="Century" w:hAnsi="Century" w:cs="Century"/>
          <w:rtl w:val="true"/>
        </w:rPr>
        <w:t xml:space="preserve"> </w:t>
      </w:r>
      <w:r>
        <w:rPr>
          <w:rFonts w:cs="Century" w:ascii="Century" w:hAnsi="Century"/>
        </w:rPr>
        <w:t>30-15</w:t>
      </w:r>
      <w:r>
        <w:rPr>
          <w:rFonts w:cs="Century" w:ascii="Century" w:hAnsi="Century"/>
          <w:rtl w:val="true"/>
        </w:rPr>
        <w:t xml:space="preserve"> </w:t>
      </w:r>
      <w:r>
        <w:rPr>
          <w:rFonts w:ascii="Century" w:hAnsi="Century" w:cs="Century"/>
          <w:rtl w:val="true"/>
        </w:rPr>
        <w:t>חודשי מאסר</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שיקול נוסף לקולה</w:t>
      </w:r>
      <w:r>
        <w:rPr>
          <w:rFonts w:cs="Century" w:ascii="Century" w:hAnsi="Century"/>
          <w:rtl w:val="true"/>
        </w:rPr>
        <w:t xml:space="preserve">, </w:t>
      </w:r>
      <w:r>
        <w:rPr>
          <w:rFonts w:ascii="Century" w:hAnsi="Century" w:cs="Century"/>
          <w:rtl w:val="true"/>
        </w:rPr>
        <w:t>בגדרו של מתחם הענישה</w:t>
      </w:r>
      <w:r>
        <w:rPr>
          <w:rFonts w:cs="Century" w:ascii="Century" w:hAnsi="Century"/>
          <w:rtl w:val="true"/>
        </w:rPr>
        <w:t xml:space="preserve">, </w:t>
      </w:r>
      <w:r>
        <w:rPr>
          <w:rFonts w:ascii="Century" w:hAnsi="Century" w:cs="Century"/>
          <w:rtl w:val="true"/>
        </w:rPr>
        <w:t>נוגע לעובדה כי המערער הוא צעיר ללא עבר פלילי וזו לו מעורבותו הראשונה בפלילים בגינה הוא מרצה עונש מאסר לראשונה בחייו בגין מעשה שביצע חודשים ספורים לאחר הגיעו לגיל בגירות</w:t>
      </w:r>
      <w:r>
        <w:rPr>
          <w:rFonts w:cs="Century" w:ascii="Century" w:hAnsi="Century"/>
          <w:rtl w:val="true"/>
        </w:rPr>
        <w:t xml:space="preserve">. </w:t>
      </w:r>
      <w:r>
        <w:rPr>
          <w:rFonts w:ascii="Century" w:hAnsi="Century" w:cs="Century"/>
          <w:rtl w:val="true"/>
        </w:rPr>
        <w:t>לכך מצטרפת העובדה כי בית המשפט נקלע לכלל טעות בציינו בגזר הדין כי לפי הערכת שירות המבחן מידת הסיכון להישנות התנהגות דומה היא גבוהה בשעה ששירות המבחן העריך אותה כנמוכה</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Pr>
        <w:t>11</w:t>
      </w:r>
      <w:r>
        <w:rPr>
          <w:rFonts w:cs="Century" w:ascii="Century" w:hAnsi="Century"/>
          <w:rtl w:val="true"/>
        </w:rPr>
        <w:t>.</w:t>
        <w:tab/>
      </w:r>
      <w:r>
        <w:rPr>
          <w:rFonts w:ascii="Century" w:hAnsi="Century" w:cs="Century"/>
          <w:rtl w:val="true"/>
        </w:rPr>
        <w:t>בהיקב</w:t>
      </w:r>
      <w:r>
        <w:rPr>
          <w:rFonts w:ascii="Century" w:hAnsi="Century" w:cs="Century"/>
          <w:rtl w:val="true"/>
        </w:rPr>
        <w:t>ץ</w:t>
      </w:r>
      <w:r>
        <w:rPr>
          <w:rFonts w:ascii="Century" w:hAnsi="Century" w:cs="Century"/>
          <w:rtl w:val="true"/>
        </w:rPr>
        <w:t xml:space="preserve"> הדברים האיזון הכולל בעונשו של המערער</w:t>
      </w:r>
      <w:r>
        <w:rPr>
          <w:rFonts w:cs="Century" w:ascii="Century" w:hAnsi="Century"/>
          <w:rtl w:val="true"/>
        </w:rPr>
        <w:t xml:space="preserve">, </w:t>
      </w:r>
      <w:r>
        <w:rPr>
          <w:rFonts w:ascii="Century" w:hAnsi="Century" w:cs="Century"/>
          <w:rtl w:val="true"/>
        </w:rPr>
        <w:t>בין שיקולי חומרת העבירה והגמול הראוי לבין השיקולים הפרטניים ביחס לנסיבות העבירה ולנסיבותיו של המערער עצמו</w:t>
      </w:r>
      <w:r>
        <w:rPr>
          <w:rFonts w:cs="Century" w:ascii="Century" w:hAnsi="Century"/>
          <w:rtl w:val="true"/>
        </w:rPr>
        <w:t xml:space="preserve">, </w:t>
      </w:r>
      <w:r>
        <w:rPr>
          <w:rFonts w:ascii="Century" w:hAnsi="Century" w:cs="Century"/>
          <w:rtl w:val="true"/>
        </w:rPr>
        <w:t>מצדיק התערבות בעונש</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אמת מידה רלוונטית להשוואת מידת העונש מצויה בע</w:t>
      </w:r>
      <w:r>
        <w:rPr>
          <w:rFonts w:cs="Century" w:ascii="Century" w:hAnsi="Century"/>
          <w:rtl w:val="true"/>
        </w:rPr>
        <w:t>"</w:t>
      </w:r>
      <w:r>
        <w:rPr>
          <w:rFonts w:ascii="Century" w:hAnsi="Century" w:cs="Century"/>
          <w:rtl w:val="true"/>
        </w:rPr>
        <w:t xml:space="preserve">פ </w:t>
      </w:r>
      <w:r>
        <w:rPr>
          <w:rFonts w:ascii="Century" w:hAnsi="Century" w:cs="Miriam"/>
          <w:b/>
          <w:b/>
          <w:spacing w:val="0"/>
          <w:szCs w:val="24"/>
          <w:rtl w:val="true"/>
        </w:rPr>
        <w:t>סעד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Century" w:ascii="Century" w:hAnsi="Century"/>
          <w:rtl w:val="true"/>
        </w:rPr>
        <w:t>(</w:t>
      </w:r>
      <w:r>
        <w:rPr>
          <w:rFonts w:cs="Century" w:ascii="Century" w:hAnsi="Century"/>
        </w:rPr>
        <w:t>29.1.2014</w:t>
      </w:r>
      <w:r>
        <w:rPr>
          <w:rFonts w:cs="Century" w:ascii="Century" w:hAnsi="Century"/>
          <w:rtl w:val="true"/>
        </w:rPr>
        <w:t xml:space="preserve">), </w:t>
      </w:r>
      <w:r>
        <w:rPr>
          <w:rFonts w:ascii="Century" w:hAnsi="Century" w:cs="Century"/>
          <w:rtl w:val="true"/>
        </w:rPr>
        <w:t>שם הועמדו עונשיהם של ארבעה צעירים שהורשעו בעבירות של הצתה בשל השלכת בקבוקי תבערה ממניעים אידיאולוגיים בנסיון לפגוע בכוחות הבטחון יחד עם עבירות נוספות</w:t>
      </w:r>
      <w:r>
        <w:rPr>
          <w:rFonts w:cs="Century" w:ascii="Century" w:hAnsi="Century"/>
          <w:rtl w:val="true"/>
        </w:rPr>
        <w:t xml:space="preserve">, </w:t>
      </w:r>
      <w:r>
        <w:rPr>
          <w:rFonts w:ascii="Century" w:hAnsi="Century" w:cs="Century"/>
          <w:rtl w:val="true"/>
        </w:rPr>
        <w:t xml:space="preserve">על </w:t>
      </w:r>
      <w:r>
        <w:rPr>
          <w:rFonts w:cs="Century" w:ascii="Century" w:hAnsi="Century"/>
        </w:rPr>
        <w:t>28</w:t>
      </w:r>
      <w:r>
        <w:rPr>
          <w:rFonts w:cs="Century" w:ascii="Century" w:hAnsi="Century"/>
          <w:rtl w:val="true"/>
        </w:rPr>
        <w:t xml:space="preserve"> </w:t>
      </w:r>
      <w:r>
        <w:rPr>
          <w:rFonts w:ascii="Century" w:hAnsi="Century" w:cs="Century"/>
          <w:rtl w:val="true"/>
        </w:rPr>
        <w:t xml:space="preserve">חודשי מאסר </w:t>
      </w:r>
      <w:r>
        <w:rPr>
          <w:rFonts w:cs="Century" w:ascii="Century" w:hAnsi="Century"/>
          <w:rtl w:val="true"/>
        </w:rPr>
        <w:t>(</w:t>
      </w:r>
      <w:r>
        <w:rPr>
          <w:rFonts w:ascii="Century" w:hAnsi="Century" w:cs="Century"/>
          <w:rtl w:val="true"/>
        </w:rPr>
        <w:t>שני אישומים</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18</w:t>
      </w:r>
      <w:r>
        <w:rPr>
          <w:rFonts w:cs="Century" w:ascii="Century" w:hAnsi="Century"/>
          <w:rtl w:val="true"/>
        </w:rPr>
        <w:t xml:space="preserve"> </w:t>
      </w:r>
      <w:r>
        <w:rPr>
          <w:rFonts w:ascii="Century" w:hAnsi="Century" w:cs="Century"/>
          <w:rtl w:val="true"/>
        </w:rPr>
        <w:t xml:space="preserve">חודשי מאסר </w:t>
      </w:r>
      <w:r>
        <w:rPr>
          <w:rFonts w:cs="Century" w:ascii="Century" w:hAnsi="Century"/>
          <w:rtl w:val="true"/>
        </w:rPr>
        <w:t>(</w:t>
      </w:r>
      <w:r>
        <w:rPr>
          <w:rFonts w:ascii="Century" w:hAnsi="Century" w:cs="Century"/>
          <w:rtl w:val="true"/>
        </w:rPr>
        <w:t>אישום אחד</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Pr>
        <w:t>12</w:t>
      </w:r>
      <w:r>
        <w:rPr>
          <w:rFonts w:cs="Century" w:ascii="Century" w:hAnsi="Century"/>
          <w:rtl w:val="true"/>
        </w:rPr>
        <w:t>.</w:t>
        <w:tab/>
      </w:r>
      <w:r>
        <w:rPr>
          <w:rFonts w:ascii="Century" w:hAnsi="Century" w:cs="Century"/>
          <w:rtl w:val="true"/>
        </w:rPr>
        <w:t>לפיכך</w:t>
      </w:r>
      <w:r>
        <w:rPr>
          <w:rFonts w:cs="Century" w:ascii="Century" w:hAnsi="Century"/>
          <w:rtl w:val="true"/>
        </w:rPr>
        <w:t xml:space="preserve">, </w:t>
      </w:r>
      <w:r>
        <w:rPr>
          <w:rFonts w:ascii="Century" w:hAnsi="Century" w:cs="Century"/>
          <w:rtl w:val="true"/>
        </w:rPr>
        <w:t xml:space="preserve">יועמד עונשו של המערער על </w:t>
      </w:r>
      <w:r>
        <w:rPr>
          <w:rFonts w:cs="Century" w:ascii="Century" w:hAnsi="Century"/>
        </w:rPr>
        <w:t>18</w:t>
      </w:r>
      <w:r>
        <w:rPr>
          <w:rFonts w:cs="Century" w:ascii="Century" w:hAnsi="Century"/>
          <w:rtl w:val="true"/>
        </w:rPr>
        <w:t xml:space="preserve"> </w:t>
      </w:r>
      <w:r>
        <w:rPr>
          <w:rFonts w:ascii="Century" w:hAnsi="Century" w:cs="Century"/>
          <w:rtl w:val="true"/>
        </w:rPr>
        <w:t>חודשי מאסר לריצוי בפועל</w:t>
      </w:r>
      <w:r>
        <w:rPr>
          <w:rFonts w:cs="Century" w:ascii="Century" w:hAnsi="Century"/>
          <w:rtl w:val="true"/>
        </w:rPr>
        <w:t xml:space="preserve">. </w:t>
      </w:r>
      <w:r>
        <w:rPr>
          <w:rFonts w:ascii="Century" w:hAnsi="Century" w:cs="Century"/>
          <w:rtl w:val="true"/>
        </w:rPr>
        <w:t>יתר רכיבי גזר הדין יעמדו בעינם</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pPr>
      <w:r>
        <w:rPr>
          <w:rFonts w:eastAsia="Century" w:cs="Century" w:ascii="Century" w:hAnsi="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היום</w:t>
      </w:r>
      <w:r>
        <w:rPr>
          <w:rFonts w:cs="Century" w:ascii="Century" w:hAnsi="Century"/>
          <w:rtl w:val="true"/>
        </w:rPr>
        <w:t xml:space="preserve">, </w:t>
      </w:r>
      <w:r>
        <w:rPr>
          <w:rFonts w:ascii="Century" w:hAnsi="Century" w:cs="Century"/>
          <w:rtl w:val="true"/>
        </w:rPr>
        <w:t>ט</w:t>
      </w:r>
      <w:r>
        <w:rPr>
          <w:rFonts w:cs="Century" w:ascii="Century" w:hAnsi="Century"/>
          <w:rtl w:val="true"/>
        </w:rPr>
        <w:t>"</w:t>
      </w:r>
      <w:r>
        <w:rPr>
          <w:rFonts w:ascii="Century" w:hAnsi="Century" w:cs="Century"/>
          <w:rtl w:val="true"/>
        </w:rPr>
        <w:t>ו</w:t>
      </w:r>
      <w:r>
        <w:rPr>
          <w:rFonts w:ascii="Century" w:hAnsi="Century" w:cs="Century"/>
          <w:rtl w:val="true"/>
        </w:rPr>
        <w:t xml:space="preserve"> </w:t>
      </w:r>
      <w:r>
        <w:rPr>
          <w:rFonts w:ascii="Century" w:hAnsi="Century" w:cs="Century"/>
          <w:rtl w:val="true"/>
        </w:rPr>
        <w:t>בכסלו</w:t>
      </w:r>
      <w:r>
        <w:rPr>
          <w:rFonts w:ascii="Century" w:hAnsi="Century" w:cs="Century"/>
          <w:rtl w:val="true"/>
        </w:rPr>
        <w:t xml:space="preserve"> </w:t>
      </w:r>
      <w:r>
        <w:rPr>
          <w:rFonts w:ascii="Century" w:hAnsi="Century" w:cs="Century"/>
          <w:rtl w:val="true"/>
        </w:rPr>
        <w:t>התשע</w:t>
      </w:r>
      <w:r>
        <w:rPr>
          <w:rFonts w:cs="Century" w:ascii="Century" w:hAnsi="Century"/>
          <w:rtl w:val="true"/>
        </w:rPr>
        <w:t>"</w:t>
      </w:r>
      <w:r>
        <w:rPr>
          <w:rFonts w:ascii="Century" w:hAnsi="Century" w:cs="Century"/>
          <w:rtl w:val="true"/>
        </w:rPr>
        <w:t>ח</w:t>
      </w:r>
      <w:r>
        <w:rPr>
          <w:rFonts w:ascii="Century" w:hAnsi="Century" w:cs="Century"/>
          <w:rtl w:val="true"/>
        </w:rPr>
        <w:t xml:space="preserve"> </w:t>
      </w:r>
      <w:r>
        <w:rPr>
          <w:rFonts w:cs="Century" w:ascii="Century" w:hAnsi="Century"/>
          <w:rtl w:val="true"/>
        </w:rPr>
        <w:t>(‏</w:t>
      </w:r>
      <w:r>
        <w:rPr>
          <w:rFonts w:cs="Century" w:ascii="Century" w:hAnsi="Century"/>
        </w:rPr>
        <w:t>3.12.2017</w:t>
      </w:r>
      <w:r>
        <w:rPr>
          <w:rFonts w:cs="Century" w:ascii="Century" w:hAnsi="Century"/>
          <w:rtl w:val="true"/>
        </w:rPr>
        <w:t xml:space="preserve">). </w:t>
      </w:r>
    </w:p>
    <w:p>
      <w:pPr>
        <w:pStyle w:val="Ruller4"/>
        <w:ind w:end="0"/>
        <w:jc w:val="both"/>
        <w:rPr>
          <w:rFonts w:ascii="Times New Roman" w:hAnsi="Times New Roman" w:cs="Times New Roman"/>
        </w:rPr>
      </w:pPr>
      <w:r>
        <w:rPr>
          <w:rFonts w:cs="Times New Roman" w:ascii="Times New Roman" w:hAnsi="Times New Roman"/>
          <w:rtl w:val="true"/>
        </w:rPr>
      </w:r>
    </w:p>
    <w:p>
      <w:pPr>
        <w:pStyle w:val="Ruller4"/>
        <w:ind w:end="0"/>
        <w:jc w:val="both"/>
        <w:rPr>
          <w:rFonts w:ascii="Times New Roman" w:hAnsi="Times New Roman" w:cs="Times New Roman"/>
          <w:color w:val="FFFFFF"/>
          <w:sz w:val="2"/>
          <w:szCs w:val="2"/>
        </w:rPr>
      </w:pPr>
      <w:r>
        <w:rPr>
          <w:rFonts w:cs="Times New Roman" w:ascii="Times New Roman" w:hAnsi="Times New Roman"/>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
              <w:ind w:end="0"/>
              <w:jc w:val="both"/>
              <w:rPr/>
            </w:pPr>
            <w:r>
              <w:rPr>
                <w:color w:val="FFFFFF"/>
                <w:sz w:val="2"/>
                <w:szCs w:val="2"/>
              </w:rPr>
              <w:t>54678313</w:t>
            </w:r>
            <w:r>
              <w:rPr>
                <w:rtl w:val="true"/>
              </w:rPr>
              <w:t xml:space="preserve"> </w:t>
            </w: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tc>
        <w:tc>
          <w:tcPr>
            <w:tcW w:w="2843"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
        <w:ind w:end="0"/>
        <w:jc w:val="both"/>
        <w:rPr/>
      </w:pPr>
      <w:r>
        <w:rPr>
          <w:rtl w:val="true"/>
        </w:rPr>
      </w:r>
    </w:p>
    <w:p>
      <w:pPr>
        <w:pStyle w:val="Normal"/>
        <w:ind w:end="0"/>
        <w:jc w:val="start"/>
        <w:rPr/>
      </w:pPr>
      <w:r>
        <w:rPr>
          <w:szCs w:val="16"/>
          <w:rtl w:val="true"/>
        </w:rPr>
        <w:t>_________________</w:t>
      </w:r>
      <w:r>
        <w:rPr>
          <w:szCs w:val="16"/>
          <w:rtl w:val="true"/>
        </w:rPr>
        <w:t>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Pr>
        <w:t>17063260</w:t>
      </w:r>
      <w:r>
        <w:rPr>
          <w:sz w:val="16"/>
          <w:rtl w:val="true"/>
        </w:rPr>
        <w:t>_</w:t>
      </w:r>
      <w:r>
        <w:rPr>
          <w:sz w:val="16"/>
        </w:rPr>
        <w:t>Q03.doc</w:t>
      </w:r>
      <w:r>
        <w:rPr>
          <w:sz w:val="16"/>
          <w:rtl w:val="true"/>
        </w:rPr>
        <w:t xml:space="preserve">   </w:t>
      </w:r>
      <w:r>
        <w:rPr>
          <w:sz w:val="16"/>
          <w:sz w:val="16"/>
          <w:rtl w:val="true"/>
        </w:rPr>
        <w:t>סח</w:t>
      </w:r>
    </w:p>
    <w:p>
      <w:pPr>
        <w:pStyle w:val="Ruller381"/>
        <w:ind w:end="0"/>
        <w:jc w:val="start"/>
        <w:rPr/>
      </w:pPr>
      <w:r>
        <w:rPr>
          <w:color w:val="FFFFFF"/>
          <w:sz w:val="2"/>
          <w:szCs w:val="2"/>
        </w:rPr>
        <w:t>5129371</w:t>
      </w: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3">
        <w:r>
          <w:rPr>
            <w:rStyle w:val="Hyperlink"/>
            <w:sz w:val="16"/>
          </w:rPr>
          <w:t>www.court.gov.il</w:t>
        </w:r>
      </w:hyperlink>
    </w:p>
    <w:p>
      <w:pPr>
        <w:pStyle w:val="Ruller381"/>
        <w:keepNext w:val="true"/>
        <w:ind w:end="0"/>
        <w:jc w:val="start"/>
        <w:rPr>
          <w:rFonts w:ascii="David" w:hAnsi="David" w:cs="David"/>
          <w:color w:val="FFFFFF"/>
          <w:sz w:val="2"/>
          <w:szCs w:val="2"/>
        </w:rPr>
      </w:pPr>
      <w:r>
        <w:rPr>
          <w:rFonts w:cs="David" w:ascii="David" w:hAnsi="David"/>
          <w:color w:val="FFFFFF"/>
          <w:sz w:val="2"/>
          <w:szCs w:val="2"/>
        </w:rPr>
        <w:t>54678313</w:t>
      </w:r>
    </w:p>
    <w:p>
      <w:pPr>
        <w:pStyle w:val="Ruller381"/>
        <w:ind w:end="0"/>
        <w:jc w:val="start"/>
        <w:rPr>
          <w:rFonts w:ascii="David" w:hAnsi="David" w:cs="David"/>
          <w:color w:val="FFFFFF"/>
          <w:sz w:val="2"/>
          <w:szCs w:val="2"/>
        </w:rPr>
      </w:pPr>
      <w:r>
        <w:rPr>
          <w:rFonts w:cs="David" w:ascii="David" w:hAnsi="David"/>
          <w:color w:val="FFFFFF"/>
          <w:sz w:val="2"/>
          <w:szCs w:val="2"/>
          <w:rtl w:val="true"/>
        </w:rPr>
      </w:r>
    </w:p>
    <w:p>
      <w:pPr>
        <w:pStyle w:val="Ruller381"/>
        <w:ind w:end="0"/>
        <w:jc w:val="center"/>
        <w:rPr>
          <w:color w:val="0000FF"/>
          <w:szCs w:val="24"/>
          <w:u w:val="single"/>
        </w:rPr>
      </w:pPr>
      <w:hyperlink r:id="rId24">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keepNext w:val="true"/>
        <w:ind w:end="0"/>
        <w:jc w:val="start"/>
        <w:rPr>
          <w:rFonts w:ascii="David" w:hAnsi="David" w:cs="David"/>
          <w:color w:val="000000"/>
          <w:szCs w:val="22"/>
          <w:u w:val="single"/>
        </w:rPr>
      </w:pPr>
      <w:r>
        <w:rPr>
          <w:rFonts w:cs="David" w:ascii="David" w:hAnsi="David"/>
          <w:color w:val="000000"/>
          <w:szCs w:val="22"/>
          <w:u w:val="single"/>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ע</w:t>
      </w:r>
      <w:r>
        <w:rPr>
          <w:rFonts w:cs="David" w:ascii="David" w:hAnsi="David"/>
          <w:color w:val="000000"/>
          <w:szCs w:val="22"/>
          <w:rtl w:val="true"/>
        </w:rPr>
        <w:t xml:space="preserve">' </w:t>
      </w:r>
      <w:r>
        <w:rPr>
          <w:rFonts w:ascii="David" w:hAnsi="David"/>
          <w:color w:val="000000"/>
          <w:szCs w:val="22"/>
          <w:rtl w:val="true"/>
        </w:rPr>
        <w:t xml:space="preserve">פוגלמן </w:t>
      </w:r>
      <w:r>
        <w:rPr>
          <w:rFonts w:cs="David" w:ascii="David" w:hAnsi="David"/>
          <w:color w:val="000000"/>
          <w:szCs w:val="22"/>
        </w:rPr>
        <w:t>54678313-6326/17</w:t>
      </w:r>
    </w:p>
    <w:p>
      <w:pPr>
        <w:pStyle w:val="Ruller381"/>
        <w:ind w:end="0"/>
        <w:jc w:val="start"/>
        <w:rPr>
          <w:color w:val="000000"/>
          <w:szCs w:val="24"/>
          <w:u w:val="single"/>
        </w:rPr>
      </w:pPr>
      <w:r>
        <w:rPr>
          <w:color w:val="000000"/>
          <w:szCs w:val="24"/>
          <w:u w:val="single"/>
          <w:rtl w:val="true"/>
        </w:rPr>
        <w:t>נוסח</w:t>
      </w:r>
      <w:r>
        <w:rPr>
          <w:rFonts w:cs="Times New Roman"/>
          <w:color w:val="000000"/>
          <w:szCs w:val="24"/>
          <w:u w:val="single"/>
          <w:rtl w:val="true"/>
        </w:rPr>
        <w:t xml:space="preserve"> </w:t>
      </w:r>
      <w:r>
        <w:rPr>
          <w:color w:val="000000"/>
          <w:szCs w:val="24"/>
          <w:u w:val="single"/>
          <w:rtl w:val="true"/>
        </w:rPr>
        <w:t>מסמך</w:t>
      </w:r>
      <w:r>
        <w:rPr>
          <w:rFonts w:cs="Times New Roman"/>
          <w:color w:val="000000"/>
          <w:szCs w:val="24"/>
          <w:u w:val="single"/>
          <w:rtl w:val="true"/>
        </w:rPr>
        <w:t xml:space="preserve"> </w:t>
      </w:r>
      <w:r>
        <w:rPr>
          <w:color w:val="000000"/>
          <w:szCs w:val="24"/>
          <w:u w:val="single"/>
          <w:rtl w:val="true"/>
        </w:rPr>
        <w:t>זה</w:t>
      </w:r>
      <w:r>
        <w:rPr>
          <w:rFonts w:cs="Times New Roman"/>
          <w:color w:val="000000"/>
          <w:szCs w:val="24"/>
          <w:u w:val="single"/>
          <w:rtl w:val="true"/>
        </w:rPr>
        <w:t xml:space="preserve"> </w:t>
      </w:r>
      <w:r>
        <w:rPr>
          <w:color w:val="000000"/>
          <w:szCs w:val="24"/>
          <w:u w:val="single"/>
          <w:rtl w:val="true"/>
        </w:rPr>
        <w:t>כפוף</w:t>
      </w:r>
      <w:r>
        <w:rPr>
          <w:rFonts w:cs="Times New Roman"/>
          <w:color w:val="000000"/>
          <w:szCs w:val="24"/>
          <w:u w:val="single"/>
          <w:rtl w:val="true"/>
        </w:rPr>
        <w:t xml:space="preserve"> </w:t>
      </w:r>
      <w:r>
        <w:rPr>
          <w:color w:val="000000"/>
          <w:szCs w:val="24"/>
          <w:u w:val="single"/>
          <w:rtl w:val="true"/>
        </w:rPr>
        <w:t>לשינויי</w:t>
      </w:r>
      <w:r>
        <w:rPr>
          <w:rFonts w:cs="Times New Roman"/>
          <w:color w:val="000000"/>
          <w:szCs w:val="24"/>
          <w:u w:val="single"/>
          <w:rtl w:val="true"/>
        </w:rPr>
        <w:t xml:space="preserve"> </w:t>
      </w:r>
      <w:r>
        <w:rPr>
          <w:color w:val="000000"/>
          <w:szCs w:val="24"/>
          <w:u w:val="single"/>
          <w:rtl w:val="true"/>
        </w:rPr>
        <w:t>ניסוח</w:t>
      </w:r>
      <w:r>
        <w:rPr>
          <w:rFonts w:cs="Times New Roman"/>
          <w:color w:val="000000"/>
          <w:szCs w:val="24"/>
          <w:u w:val="single"/>
          <w:rtl w:val="true"/>
        </w:rPr>
        <w:t xml:space="preserve"> </w:t>
      </w:r>
      <w:r>
        <w:rPr>
          <w:color w:val="000000"/>
          <w:szCs w:val="24"/>
          <w:u w:val="single"/>
          <w:rtl w:val="true"/>
        </w:rPr>
        <w:t>ועריכה</w:t>
      </w:r>
    </w:p>
    <w:sectPr>
      <w:headerReference w:type="default" r:id="rId25"/>
      <w:footerReference w:type="default" r:id="rId26"/>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FrankRuehl">
    <w:charset w:val="b1" w:characterSet="windows-1255"/>
    <w:family w:val="swiss"/>
    <w:pitch w:val="variable"/>
  </w:font>
  <w:font w:name="Century">
    <w:charset w:val="00" w:characterSet="windows-1252"/>
    <w:family w:val="roman"/>
    <w:pitch w:val="variable"/>
  </w:font>
  <w:font w:name="Helvetica">
    <w:altName w:val="Arial"/>
    <w:charset w:val="00" w:characterSet="windows-1252"/>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8</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6326/17</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פלוני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
    <w:next w:val="Ruller4"/>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1777936"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29" TargetMode="External"/><Relationship Id="rId5" Type="http://schemas.openxmlformats.org/officeDocument/2006/relationships/hyperlink" Target="http://www.nevo.co.il/law/70301/448.a" TargetMode="External"/><Relationship Id="rId6" Type="http://schemas.openxmlformats.org/officeDocument/2006/relationships/hyperlink" Target="http://www.nevo.co.il/case/21777936" TargetMode="External"/><Relationship Id="rId7" Type="http://schemas.openxmlformats.org/officeDocument/2006/relationships/hyperlink" Target="http://www.nevo.co.il/law/70301/448.a" TargetMode="External"/><Relationship Id="rId8" Type="http://schemas.openxmlformats.org/officeDocument/2006/relationships/hyperlink" Target="http://www.nevo.co.il/law/70301/29" TargetMode="External"/><Relationship Id="rId9" Type="http://schemas.openxmlformats.org/officeDocument/2006/relationships/hyperlink" Target="http://www.nevo.co.il/law/70301" TargetMode="External"/><Relationship Id="rId10" Type="http://schemas.openxmlformats.org/officeDocument/2006/relationships/hyperlink" Target="http://www.nevo.co.il/case/22915483" TargetMode="External"/><Relationship Id="rId11" Type="http://schemas.openxmlformats.org/officeDocument/2006/relationships/hyperlink" Target="http://www.nevo.co.il/case/21524670" TargetMode="External"/><Relationship Id="rId12" Type="http://schemas.openxmlformats.org/officeDocument/2006/relationships/hyperlink" Target="http://www.nevo.co.il/case/5594306" TargetMode="External"/><Relationship Id="rId13" Type="http://schemas.openxmlformats.org/officeDocument/2006/relationships/hyperlink" Target="http://www.nevo.co.il/case/5587245" TargetMode="External"/><Relationship Id="rId14" Type="http://schemas.openxmlformats.org/officeDocument/2006/relationships/hyperlink" Target="http://www.nevo.co.il/case/5821173" TargetMode="External"/><Relationship Id="rId15" Type="http://schemas.openxmlformats.org/officeDocument/2006/relationships/hyperlink" Target="http://www.nevo.co.il/case/5585052" TargetMode="External"/><Relationship Id="rId16" Type="http://schemas.openxmlformats.org/officeDocument/2006/relationships/hyperlink" Target="http://www.nevo.co.il/case/10541031" TargetMode="External"/><Relationship Id="rId17" Type="http://schemas.openxmlformats.org/officeDocument/2006/relationships/hyperlink" Target="http://www.nevo.co.il/case/20426325" TargetMode="External"/><Relationship Id="rId18" Type="http://schemas.openxmlformats.org/officeDocument/2006/relationships/hyperlink" Target="http://www.nevo.co.il/case/21478675" TargetMode="External"/><Relationship Id="rId19" Type="http://schemas.openxmlformats.org/officeDocument/2006/relationships/hyperlink" Target="http://www.nevo.co.il/case/13077164" TargetMode="External"/><Relationship Id="rId20" Type="http://schemas.openxmlformats.org/officeDocument/2006/relationships/hyperlink" Target="http://www.nevo.co.il/case/5587202" TargetMode="External"/><Relationship Id="rId21" Type="http://schemas.openxmlformats.org/officeDocument/2006/relationships/hyperlink" Target="http://www.nevo.co.il/case/6130987" TargetMode="External"/><Relationship Id="rId22" Type="http://schemas.openxmlformats.org/officeDocument/2006/relationships/hyperlink" Target="http://www.nevo.co.il/case/5585564" TargetMode="External"/><Relationship Id="rId23" Type="http://schemas.openxmlformats.org/officeDocument/2006/relationships/hyperlink" Target="http://www.court.gov.il/" TargetMode="External"/><Relationship Id="rId24" Type="http://schemas.openxmlformats.org/officeDocument/2006/relationships/hyperlink" Target="http://www.nevo.co.il/advertisements/nevo-100.doc"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2018-03-03T18:03:00Z</dcterms:created>
  <dc:creator> </dc:creator>
  <dc:description/>
  <cp:keywords/>
  <dc:language>en-IL</dc:language>
  <cp:lastModifiedBy>orly</cp:lastModifiedBy>
  <cp:lastPrinted>2009-02-15T11:12:00Z</cp:lastPrinted>
  <dcterms:modified xsi:type="dcterms:W3CDTF">2018-03-03T18:03:00Z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21777936:2;22915483;21524670;5594306;5587245;5821173;5585052;10541031;20426325;21478675;13077164;5587202;6130987;5585564</vt:lpwstr>
  </property>
  <property fmtid="{D5CDD505-2E9C-101B-9397-08002B2CF9AE}" pid="9" name="CITY">
    <vt:lpwstr/>
  </property>
  <property fmtid="{D5CDD505-2E9C-101B-9397-08002B2CF9AE}" pid="10" name="DATE">
    <vt:lpwstr>20171203</vt:lpwstr>
  </property>
  <property fmtid="{D5CDD505-2E9C-101B-9397-08002B2CF9AE}" pid="11" name="DELEMATA">
    <vt:lpwstr/>
  </property>
  <property fmtid="{D5CDD505-2E9C-101B-9397-08002B2CF9AE}" pid="12" name="ISABSTRACT">
    <vt:lpwstr>Y</vt:lpwstr>
  </property>
  <property fmtid="{D5CDD505-2E9C-101B-9397-08002B2CF9AE}" pid="13" name="JUDGE">
    <vt:lpwstr>ע' פוגלמן;ג' קרא;א' חיות</vt:lpwstr>
  </property>
  <property fmtid="{D5CDD505-2E9C-101B-9397-08002B2CF9AE}" pid="14" name="LAWLISTTMP1">
    <vt:lpwstr>70301/448.a;029</vt:lpwstr>
  </property>
  <property fmtid="{D5CDD505-2E9C-101B-9397-08002B2CF9AE}" pid="15" name="LAWYER">
    <vt:lpwstr>יעל שרף;ברכה וייס;בדר אלדין אגבאריה</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פאני</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עונשין</vt:lpwstr>
  </property>
  <property fmtid="{D5CDD505-2E9C-101B-9397-08002B2CF9AE}" pid="30" name="NOSE14">
    <vt:lpwstr>עונשין</vt:lpwstr>
  </property>
  <property fmtid="{D5CDD505-2E9C-101B-9397-08002B2CF9AE}" pid="31" name="NOSE15">
    <vt:lpwstr>בתי-משפט</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77;77;77;77;14</vt:lpwstr>
  </property>
  <property fmtid="{D5CDD505-2E9C-101B-9397-08002B2CF9AE}" pid="37" name="NOSE21">
    <vt:lpwstr>ענישה</vt:lpwstr>
  </property>
  <property fmtid="{D5CDD505-2E9C-101B-9397-08002B2CF9AE}" pid="38" name="NOSE210">
    <vt:lpwstr/>
  </property>
  <property fmtid="{D5CDD505-2E9C-101B-9397-08002B2CF9AE}" pid="39" name="NOSE22">
    <vt:lpwstr>ענישה</vt:lpwstr>
  </property>
  <property fmtid="{D5CDD505-2E9C-101B-9397-08002B2CF9AE}" pid="40" name="NOSE23">
    <vt:lpwstr>ענישה</vt:lpwstr>
  </property>
  <property fmtid="{D5CDD505-2E9C-101B-9397-08002B2CF9AE}" pid="41" name="NOSE24">
    <vt:lpwstr>ענישה</vt:lpwstr>
  </property>
  <property fmtid="{D5CDD505-2E9C-101B-9397-08002B2CF9AE}" pid="42" name="NOSE25">
    <vt:lpwstr>ערעור</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1446;1446;1446;1446;333</vt:lpwstr>
  </property>
  <property fmtid="{D5CDD505-2E9C-101B-9397-08002B2CF9AE}" pid="48" name="NOSE31">
    <vt:lpwstr>מדיניות ענישה: הצתה</vt:lpwstr>
  </property>
  <property fmtid="{D5CDD505-2E9C-101B-9397-08002B2CF9AE}" pid="49" name="NOSE310">
    <vt:lpwstr/>
  </property>
  <property fmtid="{D5CDD505-2E9C-101B-9397-08002B2CF9AE}" pid="50" name="NOSE32">
    <vt:lpwstr>מדיניות ענישה: שיקולים לקולה</vt:lpwstr>
  </property>
  <property fmtid="{D5CDD505-2E9C-101B-9397-08002B2CF9AE}" pid="51" name="NOSE33">
    <vt:lpwstr>מדיניות ענישה: התערבות ערכאת ערעור</vt:lpwstr>
  </property>
  <property fmtid="{D5CDD505-2E9C-101B-9397-08002B2CF9AE}" pid="52" name="NOSE34">
    <vt:lpwstr>דרכי ענישה: מאסר</vt:lpwstr>
  </property>
  <property fmtid="{D5CDD505-2E9C-101B-9397-08002B2CF9AE}" pid="53" name="NOSE35">
    <vt:lpwstr>התערבות במידת העונש</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15357;8996;8982;8959;2708</vt:lpwstr>
  </property>
  <property fmtid="{D5CDD505-2E9C-101B-9397-08002B2CF9AE}" pid="59" name="PADIDATE">
    <vt:lpwstr>20171205</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6326</vt:lpwstr>
  </property>
  <property fmtid="{D5CDD505-2E9C-101B-9397-08002B2CF9AE}" pid="65" name="PROCYEAR">
    <vt:lpwstr>17</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410120171203</vt:lpwstr>
  </property>
  <property fmtid="{D5CDD505-2E9C-101B-9397-08002B2CF9AE}" pid="69" name="TYPE_N_DATE">
    <vt:lpwstr>41020171203</vt:lpwstr>
  </property>
  <property fmtid="{D5CDD505-2E9C-101B-9397-08002B2CF9AE}" pid="70" name="VOLUME">
    <vt:lpwstr/>
  </property>
  <property fmtid="{D5CDD505-2E9C-101B-9397-08002B2CF9AE}" pid="71" name="WORDNUMPAGES">
    <vt:lpwstr>7</vt:lpwstr>
  </property>
</Properties>
</file>