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634/23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זעתרי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רובין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7.12.2022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          </w:t>
              </w:r>
              <w:r>
                <w:rPr>
                  <w:rStyle w:val="Hyperlink"/>
                  <w:sz w:val="24"/>
                  <w:szCs w:val="24"/>
                </w:rPr>
                <w:t>47450-05-21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15.2.2023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אוסמה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חלבי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332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מעש</w:t>
      </w:r>
      <w:r>
        <w:rPr>
          <w:rFonts w:ascii="Times New Roman" w:hAnsi="Times New Roman" w:cs="Times New Roman"/>
          <w:spacing w:val="0"/>
          <w:szCs w:val="26"/>
          <w:rtl w:val="true"/>
        </w:rPr>
        <w:t>ה 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בעובר אורח יהודי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מראהו היהודי ראוי להטיל על העבריין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ברגיל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מאסר לתקופה ממושכת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הולם את חומרת המעשים ומרתיע את העבריין ודומיו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זה צריך לשקלל בתוכו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עמדת המחוקק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באה לידי ביטוי בעונש המרבי הקבוע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ואולם כאשר העבירות בוצעו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העבריין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קטין עונשו צריך להלום את אמות המידה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חלות על ענישת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לשיקום העבריין הצעיר יש מעמד בכורה ועל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כן שיקולי השיקום מאפילים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 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אלו של הלימה והרתעת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>דוע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קטינוּת אינה מעניקה חסינות ממאסר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 על רקע אידיאולוגי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עקרון ההלימה‏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המדינה על </w:t>
      </w:r>
      <w:r>
        <w:rPr>
          <w:rFonts w:ascii="Times New Roman" w:hAnsi="Times New Roman" w:cs="Times New Roman"/>
          <w:spacing w:val="0"/>
          <w:szCs w:val="26"/>
          <w:rtl w:val="true"/>
        </w:rPr>
        <w:t>קולת עונשי המאסר שגזר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לכל אחד מהמשיבים בעקבות 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בעבירות התפרעות ואלימות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בוצעו על רקע של מעשי טרור כהגדרתן </w:t>
      </w:r>
      <w:r>
        <w:rPr>
          <w:rFonts w:ascii="Times New Roman" w:hAnsi="Times New Roman" w:cs="Times New Roman"/>
          <w:spacing w:val="0"/>
          <w:szCs w:val="26"/>
          <w:rtl w:val="true"/>
        </w:rPr>
        <w:t>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עיקרן של עבירות אלה הוא מעשה 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שביצעו המשיבים ושותפיהם בעובר אורח יהודי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מראהו היהודי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ביידוי אבן או חפץ לעבר כלי תחבורה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בחבלה במזיד לרכב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בהתפרעות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מכלול המעשים הפליליים הללו השית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על המשיב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קטין מתחת לגיל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בזמן ביצוע העבירות – מאסר בפועל למשך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נדון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 בהסכמת השופטות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ברק ארז 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פסק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יש ל</w:t>
      </w:r>
      <w:r>
        <w:rPr>
          <w:rFonts w:ascii="Times New Roman" w:hAnsi="Times New Roman" w:cs="Times New Roman"/>
          <w:spacing w:val="0"/>
          <w:szCs w:val="26"/>
          <w:rtl w:val="true"/>
        </w:rPr>
        <w:t>דח</w:t>
      </w:r>
      <w:r>
        <w:rPr>
          <w:rFonts w:ascii="Times New Roman" w:hAnsi="Times New Roman" w:cs="Times New Roman"/>
          <w:spacing w:val="0"/>
          <w:szCs w:val="26"/>
          <w:rtl w:val="true"/>
        </w:rPr>
        <w:t>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את ערעור המדינה ביחס לעונשו של המשיב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קבל את ערעורה ביחס לעונשו של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חלקו של המשיב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 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הצטרפות לחבורת הפורעים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</w:t>
      </w:r>
      <w:r>
        <w:rPr>
          <w:rFonts w:ascii="Times New Roman" w:hAnsi="Times New Roman" w:cs="Times New Roman"/>
          <w:spacing w:val="0"/>
          <w:szCs w:val="26"/>
          <w:rtl w:val="true"/>
        </w:rPr>
        <w:t>ביקשו לפגוע בעובר אורח יהודי באשר הוא יהודי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הכאת הנפגע בבעיטות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באגרופים ובאמצעות מכשיר טלפון סלולרי – מעשים פוגעניים אשר הגבירו את מעשי האלימות של הפורעים כלפי 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אלה מהווים גרימת חבלה בכוונה מחמירה על ידי מעשה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בוצעה בצוותא חדא עם עבריינים אחרים בנסיבות בעלות חומרה יתרה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מעשים כאלה ראוי להטיל על העבריין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ברגיל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מאסר לתקופה ממושכת אשר הולם את חומרת המעשים ומרתיע את העבריין ודומיו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עמדת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זה צריך לשקלל בתוכו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עמדת המחוקק אשר באה לידי ביטוי בעונש המרבי הקבוע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37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המאבק בטרור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מקרהו של המשיב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אינו בגדר מקרה רגיל מאחר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שהעבירות בוצעו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 קטין ועונשו צריך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כן להלום את אמות המידה אשר חלות על ענישת עבריינים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אמות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מידה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לשיקום העבריין הצעיר יש מעמד בכורה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כן שיקולי השיקום מאפילים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 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אלו של הלימה והרתעת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לזכור כי קטינוּת אינה מעניקה חסינות ממאסר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בהתחשב בכך שהמעשים נעשו בהיות המשיב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נטול עבר פלילי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עם </w:t>
      </w:r>
      <w:r>
        <w:rPr>
          <w:rFonts w:ascii="Times New Roman" w:hAnsi="Times New Roman" w:cs="Times New Roman"/>
          <w:spacing w:val="0"/>
          <w:szCs w:val="26"/>
          <w:rtl w:val="true"/>
        </w:rPr>
        <w:t>רקע משפחתי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חברתי נורמטיבי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הודה במיוחס לו והביע חרטה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תסקיר שירות המבחן האחרון מצביע על כך שסיכויי שיקומו טובים אם כי לא מעולים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 במעשה 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פחוּת מחלקם של התוקפים הבגירים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כש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עומדים השיקולים של חומרת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עמדת המחוקק כלפיה וכן מצבו הלא פשוט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בלשון המעטה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 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החליט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לבסוף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להשית על משיב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ששקל את כל השיקולים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בלי 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בצד המקל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אין מדובר בהקלה מופרזת אשר חורגת באופן ניכר ממדיניות הענישה הנקוטה ביחס לקטינים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בנמצא </w:t>
      </w:r>
      <w:r>
        <w:rPr>
          <w:rFonts w:ascii="Times New Roman" w:hAnsi="Times New Roman" w:cs="Times New Roman"/>
          <w:spacing w:val="0"/>
          <w:szCs w:val="26"/>
          <w:rtl w:val="true"/>
        </w:rPr>
        <w:t>עילה מבוררת להתערבות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לקבל את ערעור המדינה ביחס לעונש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המאסר שהושת על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נותן את הדין על מעשיו כבגיר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צריך להיגזר על יסוד עקרונות ההלימה וההרתעה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חלים על ענישתם של עבריינים אלימים שפעלו מתוך מניעים לאומניים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ובכללם שנאת יהודים תושבי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להעמיד לנגד עיניו את חומרת מעשהו של אותו עבריין אל מול עונש המקסימום שקבע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חלקו של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 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שכאמור בוצע בנפגע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הצטרפות לחבורת הפורעים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הכאת נפגע העבירה בבעיטות בזמן שנפגע זה היה שרוע על הקרקע ודימם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זריקת עגלה של סופרמרקט על גופו של הנפגע כשהלה היה שרוע על הקרקע בהיותו מדמם ומוכה מכל עבר על ידי הפורעים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חלקו של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 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אפוא חמור ביותר הן ככזה והן כאקט אלים שעשייתו חוללה דה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הומניזציה של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שלהבה את מבצעי הלינץ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וחיזקה את ידיהם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המרבי שקבע המחוקק בגין מעשים כאלה מגיע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כדי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לתקופה של </w:t>
      </w:r>
      <w:r>
        <w:rPr>
          <w:rFonts w:cs="Times New Roman" w:ascii="Times New Roman" w:hAnsi="Times New Roman"/>
          <w:spacing w:val="0"/>
          <w:szCs w:val="26"/>
        </w:rPr>
        <w:t>52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הוא בגדר עונש שחורג לקולא מהעונש הראוי במידה ניכרת 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בהתחשב בעברו הנקי מהרשעות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לזכור את הכלל היסודי לפיו ערכאת הערעור אשר מחליטה לקבל את ערעור המדינה על קולת העונש אינה אמורה למצות את מלוא חומר הדין עם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מטעמים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ובהתחשב בעבירות הנוספות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ביצע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הוחלט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לקבל את ערעור המדינה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באופן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שתקופת מאסרו תוארך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– כך שמשיב זה ירצה חמש וחצי שנות מאסר בכלא – ואילו שאר רכיבי 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יישארו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המדינה על פסק דינו של בית המשפט המחוזי ירושלים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רובין</w:t>
      </w:r>
      <w:r>
        <w:rPr>
          <w:rtl w:val="true"/>
        </w:rPr>
        <w:t xml:space="preserve">) </w:t>
      </w:r>
      <w:r>
        <w:rPr>
          <w:rtl w:val="true"/>
        </w:rPr>
        <w:t xml:space="preserve">שניתן ביום </w:t>
      </w:r>
      <w:r>
        <w:rPr/>
        <w:t>14.2.2022</w:t>
      </w:r>
      <w:r>
        <w:rPr>
          <w:rtl w:val="true"/>
        </w:rPr>
        <w:t xml:space="preserve"> (</w:t>
      </w:r>
      <w:r>
        <w:rPr>
          <w:rtl w:val="true"/>
        </w:rPr>
        <w:t>הכרעת הדין</w:t>
      </w:r>
      <w:r>
        <w:rPr>
          <w:rtl w:val="true"/>
        </w:rPr>
        <w:t xml:space="preserve">) </w:t>
      </w:r>
      <w:r>
        <w:rPr>
          <w:rtl w:val="true"/>
        </w:rPr>
        <w:t xml:space="preserve">וביום </w:t>
      </w:r>
      <w:r>
        <w:rPr/>
        <w:t>7.12.2022</w:t>
      </w:r>
      <w:r>
        <w:rPr>
          <w:rtl w:val="true"/>
        </w:rPr>
        <w:t xml:space="preserve"> (</w:t>
      </w:r>
      <w:r>
        <w:rPr>
          <w:rtl w:val="true"/>
        </w:rPr>
        <w:t>גזר הדין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47450-05-21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הערעור מופנה נגד גזר הדין שניתן על ידי בית משפט קמא ביחס לכל אחד מהמשיבים</w:t>
      </w:r>
      <w:r>
        <w:rPr>
          <w:rtl w:val="true"/>
        </w:rPr>
        <w:t xml:space="preserve">: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שהיה קטין בזמן ביצוע העבירות בגינן הוא הורשע ונענש </w:t>
      </w:r>
      <w:r>
        <w:rPr>
          <w:rtl w:val="true"/>
        </w:rPr>
        <w:t>–</w:t>
      </w:r>
      <w:r>
        <w:rPr>
          <w:rtl w:val="true"/>
        </w:rPr>
        <w:t xml:space="preserve"> ועל כן שמו יישאר חסוי </w:t>
      </w:r>
      <w:r>
        <w:rPr>
          <w:rtl w:val="true"/>
        </w:rPr>
        <w:t>–</w:t>
      </w:r>
      <w:r>
        <w:rPr>
          <w:rtl w:val="true"/>
        </w:rPr>
        <w:t xml:space="preserve"> והמשיב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איברהים זעתרי</w:t>
      </w:r>
      <w:r>
        <w:rPr>
          <w:rtl w:val="true"/>
        </w:rPr>
        <w:t xml:space="preserve">. </w:t>
      </w:r>
      <w:r>
        <w:rPr>
          <w:rtl w:val="true"/>
        </w:rPr>
        <w:t>גזר דין זה ניתן בעקבות הרשעת המשיבים בעבירות התפרעות ואלימות חמורות</w:t>
      </w:r>
      <w:r>
        <w:rPr>
          <w:rtl w:val="true"/>
        </w:rPr>
        <w:t xml:space="preserve">, </w:t>
      </w:r>
      <w:r>
        <w:rPr>
          <w:rtl w:val="true"/>
        </w:rPr>
        <w:t>אשר בוצעו על רקע של מעשי טרור</w:t>
      </w:r>
      <w:r>
        <w:rPr>
          <w:rtl w:val="true"/>
        </w:rPr>
        <w:t xml:space="preserve">, </w:t>
      </w:r>
      <w:r>
        <w:rPr>
          <w:rtl w:val="true"/>
        </w:rPr>
        <w:t xml:space="preserve">כהגדרתן </w:t>
      </w:r>
      <w:hyperlink r:id="rId19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0"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ובסעיף</w:t>
      </w:r>
      <w:r>
        <w:rPr>
          <w:rtl w:val="true"/>
        </w:rPr>
        <w:t xml:space="preserve"> </w:t>
      </w:r>
      <w:hyperlink r:id="rId23"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בטרור</w:t>
      </w:r>
      <w:r>
        <w:rPr>
          <w:rtl w:val="true"/>
        </w:rPr>
        <w:t xml:space="preserve">). </w:t>
      </w:r>
      <w:r>
        <w:rPr>
          <w:rtl w:val="true"/>
        </w:rPr>
        <w:t>עיקרן של עבירות אלה הוא מעשה לינץ</w:t>
      </w:r>
      <w:r>
        <w:rPr>
          <w:rtl w:val="true"/>
        </w:rPr>
        <w:t xml:space="preserve">' </w:t>
      </w:r>
      <w:r>
        <w:rPr>
          <w:rtl w:val="true"/>
        </w:rPr>
        <w:t>שביצעו המשיבים ושותפיהם בעובר אורח יהודי</w:t>
      </w:r>
      <w:r>
        <w:rPr>
          <w:rtl w:val="true"/>
        </w:rPr>
        <w:t xml:space="preserve">, </w:t>
      </w:r>
      <w:r>
        <w:rPr>
          <w:rtl w:val="true"/>
        </w:rPr>
        <w:t>בשל מראהו היהודי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24.4.2021</w:t>
      </w:r>
      <w:r>
        <w:rPr>
          <w:rtl w:val="true"/>
        </w:rPr>
        <w:t xml:space="preserve">. </w:t>
      </w:r>
      <w:r>
        <w:rPr>
          <w:rtl w:val="true"/>
        </w:rPr>
        <w:t>עבירות אלה היוו חלק מהמהומות שחוללו תושבי מזרח ירושלים הערבים באותה תקופה</w:t>
      </w:r>
      <w:r>
        <w:rPr>
          <w:rtl w:val="true"/>
        </w:rPr>
        <w:t xml:space="preserve">. </w:t>
      </w:r>
      <w:r>
        <w:rPr>
          <w:rtl w:val="true"/>
        </w:rPr>
        <w:t>העבירות פגעו קשות בגופו ובנפשו של נפגע העבירה</w:t>
      </w:r>
      <w:r>
        <w:rPr>
          <w:rtl w:val="true"/>
        </w:rPr>
        <w:t xml:space="preserve">. </w:t>
      </w:r>
      <w:r>
        <w:rPr>
          <w:rtl w:val="true"/>
        </w:rPr>
        <w:t>הן הותירוהו עם</w:t>
      </w:r>
      <w:r>
        <w:rPr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, </w:t>
      </w:r>
      <w:r>
        <w:rPr>
          <w:rtl w:val="true"/>
        </w:rPr>
        <w:t>נפיחויות</w:t>
      </w:r>
      <w:r>
        <w:rPr>
          <w:rtl w:val="true"/>
        </w:rPr>
        <w:t xml:space="preserve">, </w:t>
      </w:r>
      <w:r>
        <w:rPr>
          <w:rtl w:val="true"/>
        </w:rPr>
        <w:t>שטפי דם</w:t>
      </w:r>
      <w:r>
        <w:rPr>
          <w:rtl w:val="true"/>
        </w:rPr>
        <w:t xml:space="preserve"> </w:t>
      </w:r>
      <w:r>
        <w:rPr>
          <w:rtl w:val="true"/>
        </w:rPr>
        <w:t>וחתכים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בטנו</w:t>
      </w:r>
      <w:r>
        <w:rPr>
          <w:rtl w:val="true"/>
        </w:rPr>
        <w:t xml:space="preserve"> </w:t>
      </w:r>
      <w:r>
        <w:rPr>
          <w:rtl w:val="true"/>
        </w:rPr>
        <w:t>ורגלו</w:t>
      </w:r>
      <w:r>
        <w:rPr>
          <w:rtl w:val="true"/>
        </w:rPr>
        <w:t xml:space="preserve">, </w:t>
      </w:r>
      <w:r>
        <w:rPr>
          <w:rtl w:val="true"/>
        </w:rPr>
        <w:t>עם שברים ב</w:t>
      </w:r>
      <w:r>
        <w:rPr>
          <w:rtl w:val="true"/>
        </w:rPr>
        <w:t>חוליות</w:t>
      </w:r>
      <w:r>
        <w:rPr>
          <w:rtl w:val="true"/>
        </w:rPr>
        <w:t xml:space="preserve"> </w:t>
      </w:r>
      <w:r>
        <w:rPr>
          <w:rtl w:val="true"/>
        </w:rPr>
        <w:t>בעמוד</w:t>
      </w:r>
      <w:r>
        <w:rPr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, </w:t>
      </w:r>
      <w:r>
        <w:rPr>
          <w:rtl w:val="true"/>
        </w:rPr>
        <w:t xml:space="preserve">עם </w:t>
      </w:r>
      <w:r>
        <w:rPr>
          <w:rtl w:val="true"/>
        </w:rPr>
        <w:t>כאבים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עם </w:t>
      </w:r>
      <w:r>
        <w:rPr>
          <w:rtl w:val="true"/>
        </w:rPr>
        <w:t>ירידה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איכות ה</w:t>
      </w:r>
      <w:r>
        <w:rPr>
          <w:rtl w:val="true"/>
        </w:rPr>
        <w:t>ראייה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נפגע העבירה סובל מכאבים ומירידה באיכות הראייה עד עצם היום הזה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שרוי הוא במצב נפשי קשה אשר מוצא את ביטויו בפחדים</w:t>
      </w:r>
      <w:r>
        <w:rPr>
          <w:rtl w:val="true"/>
        </w:rPr>
        <w:t xml:space="preserve">, </w:t>
      </w:r>
      <w:r>
        <w:rPr>
          <w:rtl w:val="true"/>
        </w:rPr>
        <w:t>בחרדות ובתסמינים פוסט</w:t>
      </w:r>
      <w:r>
        <w:rPr>
          <w:rtl w:val="true"/>
        </w:rPr>
        <w:t>-</w:t>
      </w:r>
      <w:r>
        <w:rPr>
          <w:rtl w:val="true"/>
        </w:rPr>
        <w:t xml:space="preserve">טראומטיים נוספים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תסקיר נפגע העבירה מיום </w:t>
      </w:r>
      <w:r>
        <w:rPr/>
        <w:t>13.3.2022</w:t>
      </w:r>
      <w:r>
        <w:rPr>
          <w:rtl w:val="true"/>
        </w:rPr>
        <w:t xml:space="preserve">, </w:t>
      </w:r>
      <w:r>
        <w:rPr>
          <w:rtl w:val="true"/>
        </w:rPr>
        <w:t>שהוגש לבית משפט קמא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ביידוי</w:t>
      </w:r>
      <w:r>
        <w:rPr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בחבלה</w:t>
      </w:r>
      <w:r>
        <w:rPr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 בהתפרעות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עבירות אשר נעברו על ידו ביום </w:t>
      </w:r>
      <w:r>
        <w:rPr/>
        <w:t>23.4.2021</w:t>
      </w:r>
      <w:r>
        <w:rPr>
          <w:rtl w:val="true"/>
        </w:rPr>
        <w:t xml:space="preserve"> </w:t>
      </w:r>
      <w:r>
        <w:rPr>
          <w:rtl w:val="true"/>
        </w:rPr>
        <w:t>כחלק ממעשי ההתפרעות שאירעו במזרח ירושלים באותה עת</w:t>
      </w:r>
      <w:r>
        <w:rPr>
          <w:rtl w:val="true"/>
        </w:rPr>
        <w:t xml:space="preserve">. </w:t>
      </w:r>
      <w:r>
        <w:rPr>
          <w:rtl w:val="true"/>
        </w:rPr>
        <w:t xml:space="preserve">בגין חלקו במעשי התפרעות אשר אירעו ביום </w:t>
      </w:r>
      <w:r>
        <w:rPr/>
        <w:t>23.4.2021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בעבירת התפרעות כהגדרתה </w:t>
      </w:r>
      <w:hyperlink r:id="rId2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בגין מסכת התפרעויות נוספת ונפרדת</w:t>
      </w:r>
      <w:r>
        <w:rPr>
          <w:rtl w:val="true"/>
        </w:rPr>
        <w:t xml:space="preserve">, </w:t>
      </w:r>
      <w:r>
        <w:rPr>
          <w:rtl w:val="true"/>
        </w:rPr>
        <w:t xml:space="preserve">בה היה מעורב ביום </w:t>
      </w:r>
      <w:r>
        <w:rPr/>
        <w:t>17.2.2020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ואשר כללה יידוי אבנים לעבר רכב של צה</w:t>
      </w:r>
      <w:r>
        <w:rPr>
          <w:rtl w:val="true"/>
        </w:rPr>
        <w:t>"</w:t>
      </w:r>
      <w:r>
        <w:rPr>
          <w:rtl w:val="true"/>
        </w:rPr>
        <w:t xml:space="preserve">ל והחיילים שנסעו בו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בניסיון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תקיפת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2">
        <w:r>
          <w:rPr>
            <w:rStyle w:val="Hyperlink"/>
          </w:rPr>
          <w:t>382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כן </w:t>
      </w:r>
      <w:r>
        <w:rPr>
          <w:rtl w:val="true"/>
        </w:rPr>
        <w:t>בחבלה</w:t>
      </w:r>
      <w:r>
        <w:rPr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בגין מכלול המעשים הפליליים הללו השית בית משפט קמא על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קטין מתחת לגיל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בזמן ביצוע העבירות </w:t>
      </w:r>
      <w:r>
        <w:rPr>
          <w:rtl w:val="true"/>
        </w:rPr>
        <w:t>–</w:t>
      </w:r>
      <w:r>
        <w:rPr>
          <w:rtl w:val="true"/>
        </w:rPr>
        <w:t xml:space="preserve"> מאסר בפועל למשך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 ל</w:t>
      </w:r>
      <w:r>
        <w:rPr>
          <w:rtl w:val="true"/>
        </w:rPr>
        <w:t>-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. </w:t>
      </w:r>
      <w:r>
        <w:rPr>
          <w:rtl w:val="true"/>
        </w:rPr>
        <w:t>כפי שכבר צוין על ידי</w:t>
      </w:r>
      <w:r>
        <w:rPr>
          <w:rtl w:val="true"/>
        </w:rPr>
        <w:t xml:space="preserve">, </w:t>
      </w:r>
      <w:r>
        <w:rPr>
          <w:rtl w:val="true"/>
        </w:rPr>
        <w:t>עיקר חומרתם של המעשים בגינם הורשעו המשיבים בא לידי ביטוי במעשה הלינץ</w:t>
      </w:r>
      <w:r>
        <w:rPr>
          <w:rtl w:val="true"/>
        </w:rPr>
        <w:t xml:space="preserve">'. </w:t>
      </w:r>
      <w:r>
        <w:rPr>
          <w:rtl w:val="true"/>
        </w:rPr>
        <w:t>אני מדגיש עובדה זו מבלי להקל ראש במעשי התפרעות אחרים בהם נמצאו משיבים אלה אשמים</w:t>
      </w:r>
      <w:r>
        <w:rPr>
          <w:rtl w:val="true"/>
        </w:rPr>
        <w:t xml:space="preserve">, </w:t>
      </w:r>
      <w:r>
        <w:rPr>
          <w:rtl w:val="true"/>
        </w:rPr>
        <w:t>אשר כללו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יידוי אבנים וחפצים לעברם של כלי רכב</w:t>
      </w:r>
      <w:r>
        <w:rPr>
          <w:rtl w:val="true"/>
        </w:rPr>
        <w:t xml:space="preserve">, </w:t>
      </w:r>
      <w:r>
        <w:rPr>
          <w:rtl w:val="true"/>
        </w:rPr>
        <w:t>ושלמרבה המזל לא גרמו לפגיעות גוף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סבורה כי עונשי המאסר שבית משפט קמא השית על המשיבים סוטים במידה ניכרת ממדיניות הענישה הנקוטה בידינו ביחס לעבירות בהן עסקינן ולמבצעיהן</w:t>
      </w:r>
      <w:r>
        <w:rPr>
          <w:rtl w:val="true"/>
        </w:rPr>
        <w:t xml:space="preserve">. </w:t>
      </w:r>
      <w:r>
        <w:rPr>
          <w:rtl w:val="true"/>
        </w:rPr>
        <w:t>המדינה מבקשת אפוא מאיתנו כי נחמיר בעונשים אלה ונאריך במידה ניכרת את תקופות המאסרים שעל המשיבים לרצות מאחורי סורג ובריח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טוענים המשיבים כי עונשיהם חמורים דיים בהתחשב בגילם</w:t>
      </w:r>
      <w:r>
        <w:rPr>
          <w:rtl w:val="true"/>
        </w:rPr>
        <w:t xml:space="preserve">, </w:t>
      </w:r>
      <w:r>
        <w:rPr>
          <w:rtl w:val="true"/>
        </w:rPr>
        <w:t>בעברם הנורמטיבי</w:t>
      </w:r>
      <w:r>
        <w:rPr>
          <w:rtl w:val="true"/>
        </w:rPr>
        <w:t xml:space="preserve">, </w:t>
      </w:r>
      <w:r>
        <w:rPr>
          <w:rtl w:val="true"/>
        </w:rPr>
        <w:t>בחלקם היחסי בעבירות שבוצעו</w:t>
      </w:r>
      <w:r>
        <w:rPr>
          <w:rtl w:val="true"/>
        </w:rPr>
        <w:t xml:space="preserve">, </w:t>
      </w:r>
      <w:r>
        <w:rPr>
          <w:rtl w:val="true"/>
        </w:rPr>
        <w:t xml:space="preserve">בהודאותיהם במיוחס להם </w:t>
      </w:r>
      <w:r>
        <w:rPr>
          <w:rtl w:val="true"/>
        </w:rPr>
        <w:t>–</w:t>
      </w:r>
      <w:r>
        <w:rPr>
          <w:rtl w:val="true"/>
        </w:rPr>
        <w:t xml:space="preserve"> אשר חסכו זמן שיפוטי יקר </w:t>
      </w:r>
      <w:r>
        <w:rPr>
          <w:rtl w:val="true"/>
        </w:rPr>
        <w:t>–</w:t>
      </w:r>
      <w:r>
        <w:rPr>
          <w:rtl w:val="true"/>
        </w:rPr>
        <w:t xml:space="preserve"> ובחרטה הכנה שהביעו על מעשיהם</w:t>
      </w:r>
      <w:r>
        <w:rPr>
          <w:rtl w:val="true"/>
        </w:rPr>
        <w:t xml:space="preserve">. </w:t>
      </w:r>
      <w:r>
        <w:rPr>
          <w:rtl w:val="true"/>
        </w:rPr>
        <w:t>המשיבים סבורים אפוא כי דין הערעור להידחות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הנני בדעה כי עלינו לדחות את ערעור המדינה ביחס לעונשו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וכי דין הערעור להתקבל ביחס לעונשו של המשיב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אם דעתי תישמע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עונשו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יוותר על כנו כמות שהוא</w:t>
      </w:r>
      <w:r>
        <w:rPr>
          <w:rtl w:val="true"/>
        </w:rPr>
        <w:t xml:space="preserve">, </w:t>
      </w:r>
      <w:r>
        <w:rPr>
          <w:rtl w:val="true"/>
        </w:rPr>
        <w:t xml:space="preserve">בעוד שתקופת מאסרו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תוארך על ידינו בארבעה</w:t>
      </w:r>
      <w:r>
        <w:rPr>
          <w:rtl w:val="true"/>
        </w:rPr>
        <w:t>-</w:t>
      </w:r>
      <w:r>
        <w:rPr>
          <w:rtl w:val="true"/>
        </w:rPr>
        <w:t xml:space="preserve">עשר חודשים </w:t>
      </w:r>
      <w:r>
        <w:rPr>
          <w:rtl w:val="true"/>
        </w:rPr>
        <w:t>–</w:t>
      </w:r>
      <w:r>
        <w:rPr>
          <w:rtl w:val="true"/>
        </w:rPr>
        <w:t xml:space="preserve"> כך שמשיב זה ירצה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בכלא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ואילו שאר רכיבי עונשו</w:t>
      </w:r>
      <w:r>
        <w:rPr>
          <w:rtl w:val="true"/>
        </w:rPr>
        <w:t xml:space="preserve">, </w:t>
      </w:r>
      <w:r>
        <w:rPr>
          <w:rtl w:val="true"/>
        </w:rPr>
        <w:t>אשר נקבעו על ידי בית משפט קמא</w:t>
      </w:r>
      <w:r>
        <w:rPr>
          <w:rtl w:val="true"/>
        </w:rPr>
        <w:t xml:space="preserve">, </w:t>
      </w:r>
      <w:r>
        <w:rPr>
          <w:rtl w:val="true"/>
        </w:rPr>
        <w:t>יישארו 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למסקנות אלה הגעתי מטעמים שאפרטם להלן</w:t>
      </w:r>
      <w:r>
        <w:rPr>
          <w:rtl w:val="true"/>
        </w:rPr>
        <w:t xml:space="preserve">, </w:t>
      </w:r>
      <w:r>
        <w:rPr>
          <w:rtl w:val="true"/>
        </w:rPr>
        <w:t>אחרי שעיינתי בכתובים אשר הונחו לפנינו על ידי בעלי הדין</w:t>
      </w:r>
      <w:r>
        <w:rPr>
          <w:rtl w:val="true"/>
        </w:rPr>
        <w:t xml:space="preserve">, </w:t>
      </w:r>
      <w:r>
        <w:rPr>
          <w:rtl w:val="true"/>
        </w:rPr>
        <w:t>בתסקיר נפגע העבירה וכן בתסקירי שירות המבחן בעניינם של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לרבות התסקיר העדכני שהגיש שירות המבחן לנוער בעניינו של המשיב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חלקו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במעשה הלינץ</w:t>
      </w:r>
      <w:r>
        <w:rPr>
          <w:rtl w:val="true"/>
        </w:rPr>
        <w:t xml:space="preserve">' </w:t>
      </w:r>
      <w:r>
        <w:rPr>
          <w:rtl w:val="true"/>
        </w:rPr>
        <w:t>שבוצע בנפגע העבירה כלל הצטרפות לחבורת הפורעים</w:t>
      </w:r>
      <w:r>
        <w:rPr>
          <w:rtl w:val="true"/>
        </w:rPr>
        <w:t xml:space="preserve">, </w:t>
      </w:r>
      <w:r>
        <w:rPr>
          <w:rtl w:val="true"/>
        </w:rPr>
        <w:t>שכאמור ביקשו לפגוע בעובר אורח יהודי באשר הוא יהודי</w:t>
      </w:r>
      <w:r>
        <w:rPr>
          <w:rtl w:val="true"/>
        </w:rPr>
        <w:t xml:space="preserve">, </w:t>
      </w:r>
      <w:r>
        <w:rPr>
          <w:rtl w:val="true"/>
        </w:rPr>
        <w:t>וכן הכאת הנפגע בבעיטות</w:t>
      </w:r>
      <w:r>
        <w:rPr>
          <w:rtl w:val="true"/>
        </w:rPr>
        <w:t xml:space="preserve">, </w:t>
      </w:r>
      <w:r>
        <w:rPr>
          <w:rtl w:val="true"/>
        </w:rPr>
        <w:t xml:space="preserve">באגרופים ובאמצעות מכשיר טלפון סלולרי </w:t>
      </w:r>
      <w:r>
        <w:rPr>
          <w:rtl w:val="true"/>
        </w:rPr>
        <w:t>–</w:t>
      </w:r>
      <w:r>
        <w:rPr>
          <w:rtl w:val="true"/>
        </w:rPr>
        <w:t xml:space="preserve"> מעשים פוגעניים אשר הגבירו את מעשי האלימות של הפורעים כלפי נפגע העבירה</w:t>
      </w:r>
      <w:r>
        <w:rPr>
          <w:rtl w:val="true"/>
        </w:rPr>
        <w:t xml:space="preserve">. </w:t>
      </w:r>
      <w:r>
        <w:rPr>
          <w:rtl w:val="true"/>
        </w:rPr>
        <w:t>מעשים אלה מהווים גרימת חבלה בכוונה מחמירה על ידי מעשה טרור</w:t>
      </w:r>
      <w:r>
        <w:rPr>
          <w:rtl w:val="true"/>
        </w:rPr>
        <w:t xml:space="preserve">, </w:t>
      </w:r>
      <w:r>
        <w:rPr>
          <w:rtl w:val="true"/>
        </w:rPr>
        <w:t>אשר בוצעה בצוותא חדא עם עבריינים אחרים בנסיבות בעלות חומרה יתרה</w:t>
      </w:r>
      <w:r>
        <w:rPr>
          <w:rtl w:val="true"/>
        </w:rPr>
        <w:t xml:space="preserve">. </w:t>
      </w:r>
      <w:r>
        <w:rPr>
          <w:rtl w:val="true"/>
        </w:rPr>
        <w:t>בגין מעשים כאלה ראוי להטיל על העבריין</w:t>
      </w:r>
      <w:r>
        <w:rPr>
          <w:rtl w:val="true"/>
        </w:rPr>
        <w:t xml:space="preserve">,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עונש מאסר לתקופה ממושכת אשר הולם את חומרת המעשים ומרתיע את העבריין ודומיו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עונש זה צריך לשקלל בתוכו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עמדת המחוקק אשר באה לידי ביטוי בעונש המרבי הקבוע בחוק</w:t>
      </w:r>
      <w:r>
        <w:rPr>
          <w:rtl w:val="true"/>
        </w:rPr>
        <w:t xml:space="preserve">: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 xml:space="preserve">מקרהו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 בגדר מקרה רגיל מאחר שהלה עשה את אשר עשה בהיותו קטין ועונשו צריך על</w:t>
      </w:r>
      <w:r>
        <w:rPr>
          <w:rtl w:val="true"/>
        </w:rPr>
        <w:t>-</w:t>
      </w:r>
      <w:r>
        <w:rPr>
          <w:rtl w:val="true"/>
        </w:rPr>
        <w:t>כן להלום את אמות המידה אשר חלות על ענישת עבריינים קטינים</w:t>
      </w:r>
      <w:r>
        <w:rPr>
          <w:rtl w:val="true"/>
        </w:rPr>
        <w:t xml:space="preserve">. </w:t>
      </w:r>
      <w:r>
        <w:rPr>
          <w:rtl w:val="true"/>
        </w:rPr>
        <w:t>במסגרת אמות</w:t>
      </w:r>
      <w:r>
        <w:rPr>
          <w:rtl w:val="true"/>
        </w:rPr>
        <w:t>-</w:t>
      </w:r>
      <w:r>
        <w:rPr>
          <w:rtl w:val="true"/>
        </w:rPr>
        <w:t>מידה אלה</w:t>
      </w:r>
      <w:r>
        <w:rPr>
          <w:rtl w:val="true"/>
        </w:rPr>
        <w:t xml:space="preserve">, </w:t>
      </w:r>
      <w:r>
        <w:rPr>
          <w:rtl w:val="true"/>
        </w:rPr>
        <w:t>לשיקום העבריין הצעיר יש מעמד בכורה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 שיקולי השיקום מאפילים</w:t>
      </w:r>
      <w:r>
        <w:rPr>
          <w:rtl w:val="true"/>
        </w:rPr>
        <w:t xml:space="preserve">, </w:t>
      </w:r>
      <w:r>
        <w:rPr>
          <w:rtl w:val="true"/>
        </w:rPr>
        <w:t>בדרך כלל</w:t>
      </w:r>
      <w:r>
        <w:rPr>
          <w:rtl w:val="true"/>
        </w:rPr>
        <w:t xml:space="preserve">, </w:t>
      </w:r>
      <w:r>
        <w:rPr>
          <w:rtl w:val="true"/>
        </w:rPr>
        <w:t xml:space="preserve">על אלו של הלימה והרתעת הרבים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סג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752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8-6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2009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 xml:space="preserve">יש לזכור כי קטינוּת אינה מעניקה חסינות ממאסר מאחורי סורג ובריח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8164/02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tl w:val="true"/>
        </w:rPr>
        <w:t xml:space="preserve"> נח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2003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עשה את אשר עשה בהיותו קטין נטול עבר פלילי אשר נטוע ברקע משפחתי</w:t>
      </w:r>
      <w:r>
        <w:rPr>
          <w:rtl w:val="true"/>
        </w:rPr>
        <w:t>-</w:t>
      </w:r>
      <w:r>
        <w:rPr>
          <w:rtl w:val="true"/>
        </w:rPr>
        <w:t>חברתי נורמטיבי</w:t>
      </w:r>
      <w:r>
        <w:rPr>
          <w:rtl w:val="true"/>
        </w:rPr>
        <w:t xml:space="preserve">. </w:t>
      </w:r>
      <w:r>
        <w:rPr>
          <w:rtl w:val="true"/>
        </w:rPr>
        <w:t>משיב זה הודה במיוחס לו והביע חרטה על מעשיו</w:t>
      </w:r>
      <w:r>
        <w:rPr>
          <w:rtl w:val="true"/>
        </w:rPr>
        <w:t xml:space="preserve">. </w:t>
      </w:r>
      <w:r>
        <w:rPr>
          <w:rtl w:val="true"/>
        </w:rPr>
        <w:t xml:space="preserve">תסקיר שירות המבחן האחרון שהוגש אודותיו מצביע על כך שסיכויי שיקומו טובים </w:t>
      </w:r>
      <w:r>
        <w:rPr>
          <w:rtl w:val="true"/>
        </w:rPr>
        <w:t>–</w:t>
      </w:r>
      <w:r>
        <w:rPr>
          <w:rtl w:val="true"/>
        </w:rPr>
        <w:t xml:space="preserve"> לאור </w:t>
      </w:r>
      <w:r>
        <w:rPr>
          <w:rtl w:val="true"/>
        </w:rPr>
        <w:t>"</w:t>
      </w:r>
      <w:r>
        <w:rPr>
          <w:rtl w:val="true"/>
        </w:rPr>
        <w:t>המוטיבציה לתפקוד תקין ונורמטיבי לאחר שחרורו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אם כי לא מעולים</w:t>
      </w:r>
      <w:r>
        <w:rPr>
          <w:rtl w:val="true"/>
        </w:rPr>
        <w:t xml:space="preserve">. </w:t>
      </w:r>
      <w:r>
        <w:rPr>
          <w:rtl w:val="true"/>
        </w:rPr>
        <w:t xml:space="preserve">כמו כן יש לזכור כי חלקו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במעשה הלינץ</w:t>
      </w:r>
      <w:r>
        <w:rPr>
          <w:rtl w:val="true"/>
        </w:rPr>
        <w:t xml:space="preserve">' </w:t>
      </w:r>
      <w:r>
        <w:rPr>
          <w:rtl w:val="true"/>
        </w:rPr>
        <w:t>היה פחוּת מחלקם של התוקפים הבגירים</w:t>
      </w:r>
      <w:r>
        <w:rPr>
          <w:rtl w:val="true"/>
        </w:rPr>
        <w:t xml:space="preserve">. </w:t>
      </w:r>
      <w:r>
        <w:rPr>
          <w:rtl w:val="true"/>
        </w:rPr>
        <w:t>שיקולים אלה תומכים בהקלה בעונשו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עומדים השיקולים של חומרת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עמדתו של המחוקק כלפיה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) </w:t>
      </w:r>
      <w:r>
        <w:rPr>
          <w:rtl w:val="true"/>
        </w:rPr>
        <w:t>וכן מצבו הלא פשוט</w:t>
      </w:r>
      <w:r>
        <w:rPr>
          <w:rtl w:val="true"/>
        </w:rPr>
        <w:t xml:space="preserve">, </w:t>
      </w:r>
      <w:r>
        <w:rPr>
          <w:rtl w:val="true"/>
        </w:rPr>
        <w:t>בלשון המעטה</w:t>
      </w:r>
      <w:r>
        <w:rPr>
          <w:rtl w:val="true"/>
        </w:rPr>
        <w:t xml:space="preserve">, </w:t>
      </w:r>
      <w:r>
        <w:rPr>
          <w:rtl w:val="true"/>
        </w:rPr>
        <w:t>של נפגע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שקל שיקולים אלה בבואו לגזור את דינו של המשיב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עונש המאסר שבית משפט קמא החליט</w:t>
      </w:r>
      <w:r>
        <w:rPr>
          <w:rtl w:val="true"/>
        </w:rPr>
        <w:t xml:space="preserve">,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להשית על משיב זה נמצא</w:t>
      </w:r>
      <w:r>
        <w:rPr>
          <w:rtl w:val="true"/>
        </w:rPr>
        <w:t xml:space="preserve">, </w:t>
      </w:r>
      <w:r>
        <w:rPr>
          <w:rtl w:val="true"/>
        </w:rPr>
        <w:t>בלי ספק</w:t>
      </w:r>
      <w:r>
        <w:rPr>
          <w:rtl w:val="true"/>
        </w:rPr>
        <w:t xml:space="preserve">, </w:t>
      </w:r>
      <w:r>
        <w:rPr>
          <w:rtl w:val="true"/>
        </w:rPr>
        <w:t>בצד המקל</w:t>
      </w:r>
      <w:r>
        <w:rPr>
          <w:rtl w:val="true"/>
        </w:rPr>
        <w:t xml:space="preserve">, </w:t>
      </w:r>
      <w:r>
        <w:rPr>
          <w:rtl w:val="true"/>
        </w:rPr>
        <w:t xml:space="preserve">אולם אין מדובר בהקלה מופרזת אשר חורגת באופן ניכר ממדיניות הענישה הנקוטה בידינו ביחס לקטינים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5048/09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סד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2010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עילה מבוררת להתערבותנו בגזר הדין איננה בנמצא</w:t>
      </w:r>
      <w:r>
        <w:rPr>
          <w:rtl w:val="true"/>
        </w:rPr>
        <w:t xml:space="preserve">; </w:t>
      </w:r>
      <w:r>
        <w:rPr>
          <w:rtl w:val="true"/>
        </w:rPr>
        <w:t>ובהקשר זה</w:t>
      </w:r>
      <w:r>
        <w:rPr>
          <w:rtl w:val="true"/>
        </w:rPr>
        <w:t xml:space="preserve">, </w:t>
      </w:r>
      <w:r>
        <w:rPr>
          <w:rtl w:val="true"/>
        </w:rPr>
        <w:t>נשנן ונזכור כי בית משפט זה</w:t>
      </w:r>
      <w:r>
        <w:rPr>
          <w:rtl w:val="true"/>
        </w:rPr>
        <w:t xml:space="preserve">, </w:t>
      </w:r>
      <w:r>
        <w:rPr>
          <w:rtl w:val="true"/>
        </w:rPr>
        <w:t>ביושבו כערכאת ערעור</w:t>
      </w:r>
      <w:r>
        <w:rPr>
          <w:rtl w:val="true"/>
        </w:rPr>
        <w:t xml:space="preserve">, </w:t>
      </w:r>
      <w:r>
        <w:rPr>
          <w:rtl w:val="true"/>
        </w:rPr>
        <w:t>אינו אמור לגזור את עונשו של העבריין העומד בפניו מבראשית ואינו מחליף את שיקול הדעת שניתן לערכאות דיוניות בענייני ענישה בשיקול</w:t>
      </w:r>
      <w:r>
        <w:rPr>
          <w:rtl w:val="true"/>
        </w:rPr>
        <w:t>-</w:t>
      </w:r>
      <w:r>
        <w:rPr>
          <w:rtl w:val="true"/>
        </w:rPr>
        <w:t xml:space="preserve">דעתו שלו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10166/09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11.10.2010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לחברותיי לדחות את ערעור המדינה ביחס לעונשו של המשיב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לערעור המדינה אשר מופנה נגד עונש המאסר שהושת 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הדברים הם שונים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נותן את הדין על מעשיו כבגיר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עונשו צריך להיגזר על יסוד עקרונות ההלימה וההרתעה אשר חלים על ענישתם של עבריינים אלימים שפעלו מתוך מניעים לאומניים</w:t>
      </w:r>
      <w:r>
        <w:rPr>
          <w:rtl w:val="true"/>
        </w:rPr>
        <w:t xml:space="preserve">, </w:t>
      </w:r>
      <w:r>
        <w:rPr>
          <w:rtl w:val="true"/>
        </w:rPr>
        <w:t>ובכללם שנאת יהודים תושבי המדינה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אשר בא לגזור את דינו של העבריין שמצאוֹ אשם חייב להעמיד לנגד עיניו </w:t>
      </w:r>
      <w:r>
        <w:rPr>
          <w:rtl w:val="true"/>
        </w:rPr>
        <w:t>–</w:t>
      </w:r>
      <w:r>
        <w:rPr>
          <w:rtl w:val="true"/>
        </w:rPr>
        <w:t xml:space="preserve"> לצד עקרונות ההלימה והרתעה </w:t>
      </w:r>
      <w:r>
        <w:rPr>
          <w:rtl w:val="true"/>
        </w:rPr>
        <w:t>–</w:t>
      </w:r>
      <w:r>
        <w:rPr>
          <w:rtl w:val="true"/>
        </w:rPr>
        <w:t xml:space="preserve"> את חומרת מעשהו של אותו עבריין אל מול עונש המקסימום שקבע המחוקק ביחס לעבירה שהלה ביצע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; </w:t>
      </w:r>
      <w:r>
        <w:rPr>
          <w:color w:val="000000"/>
          <w:sz w:val="27"/>
          <w:sz w:val="27"/>
          <w:szCs w:val="27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ואסמכתאות שם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חלקו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במעשה הלינץ</w:t>
      </w:r>
      <w:r>
        <w:rPr>
          <w:rtl w:val="true"/>
        </w:rPr>
        <w:t xml:space="preserve">', </w:t>
      </w:r>
      <w:r>
        <w:rPr>
          <w:rtl w:val="true"/>
        </w:rPr>
        <w:t>שכאמור בוצע בנפגע העבירה</w:t>
      </w:r>
      <w:r>
        <w:rPr>
          <w:rtl w:val="true"/>
        </w:rPr>
        <w:t xml:space="preserve">, </w:t>
      </w:r>
      <w:r>
        <w:rPr>
          <w:rtl w:val="true"/>
        </w:rPr>
        <w:t>כלל הצטרפות לחבורת הפורעים</w:t>
      </w:r>
      <w:r>
        <w:rPr>
          <w:rtl w:val="true"/>
        </w:rPr>
        <w:t xml:space="preserve">, </w:t>
      </w:r>
      <w:r>
        <w:rPr>
          <w:rtl w:val="true"/>
        </w:rPr>
        <w:t>הכאת נפגע העבירה בבעיטות בזמן שנפגע זה היה שרוע על הקרקע ודימם</w:t>
      </w:r>
      <w:r>
        <w:rPr>
          <w:rtl w:val="true"/>
        </w:rPr>
        <w:t xml:space="preserve">, </w:t>
      </w:r>
      <w:r>
        <w:rPr>
          <w:rtl w:val="true"/>
        </w:rPr>
        <w:t xml:space="preserve">וכן זריקת עגלה של סופרמרקט </w:t>
      </w:r>
      <w:r>
        <w:rPr>
          <w:rtl w:val="true"/>
        </w:rPr>
        <w:t>–</w:t>
      </w:r>
      <w:r>
        <w:rPr>
          <w:rtl w:val="true"/>
        </w:rPr>
        <w:t xml:space="preserve"> שבחלקה עשויה ממתכת </w:t>
      </w:r>
      <w:r>
        <w:rPr>
          <w:rtl w:val="true"/>
        </w:rPr>
        <w:t>–</w:t>
      </w:r>
      <w:r>
        <w:rPr>
          <w:rtl w:val="true"/>
        </w:rPr>
        <w:t xml:space="preserve"> על גופו של הנפגע כשהלה היה שרוע על הקרקע בהיותו מדמם ומוכה מכל עבר על ידי הפורעים</w:t>
      </w:r>
      <w:r>
        <w:rPr>
          <w:rtl w:val="true"/>
        </w:rPr>
        <w:t xml:space="preserve">. </w:t>
      </w:r>
      <w:r>
        <w:rPr>
          <w:rtl w:val="true"/>
        </w:rPr>
        <w:t xml:space="preserve">חלקו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במעשה הלינץ</w:t>
      </w:r>
      <w:r>
        <w:rPr>
          <w:rtl w:val="true"/>
        </w:rPr>
        <w:t xml:space="preserve">' </w:t>
      </w:r>
      <w:r>
        <w:rPr>
          <w:rtl w:val="true"/>
        </w:rPr>
        <w:t>היה אפוא חמור ביותר הן ככזה והן כאקט אלים שעשייתו חוללה דה</w:t>
      </w:r>
      <w:r>
        <w:rPr>
          <w:rtl w:val="true"/>
        </w:rPr>
        <w:t>-</w:t>
      </w:r>
      <w:r>
        <w:rPr>
          <w:rtl w:val="true"/>
        </w:rPr>
        <w:t>הומניזציה של הקורבן</w:t>
      </w:r>
      <w:r>
        <w:rPr>
          <w:rtl w:val="true"/>
        </w:rPr>
        <w:t xml:space="preserve">, </w:t>
      </w:r>
      <w:r>
        <w:rPr>
          <w:rtl w:val="true"/>
        </w:rPr>
        <w:t>שלהבה את מבצעי הלינץ</w:t>
      </w:r>
      <w:r>
        <w:rPr>
          <w:rtl w:val="true"/>
        </w:rPr>
        <w:t xml:space="preserve">' </w:t>
      </w:r>
      <w:r>
        <w:rPr>
          <w:rtl w:val="true"/>
        </w:rPr>
        <w:t>וחיזקה את ידיהם</w:t>
      </w:r>
      <w:r>
        <w:rPr>
          <w:rtl w:val="true"/>
        </w:rPr>
        <w:t xml:space="preserve">. </w:t>
      </w:r>
      <w:r>
        <w:rPr>
          <w:rtl w:val="true"/>
        </w:rPr>
        <w:t>העונש המרבי שקבע המחוקק בגין מעשים כאלה מגיע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כדי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לריצוי בפועל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).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מאסר לתקופה של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חודשים הוא בגדר עונש שחורג לקולא מהעונש הראוי במידה ניכרת</w:t>
      </w:r>
      <w:r>
        <w:rPr>
          <w:rtl w:val="true"/>
        </w:rPr>
        <w:t xml:space="preserve"> 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 xml:space="preserve">אף בהתחשב בעברו של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הנקי מהרשעות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יש לזכור את הכלל היסודי לפיו ערכאת הערעור אשר מחליטה לקבל את ערעור המדינה על קולת העונש אינה אמורה למצות את מלוא חומר הדין עם הנאשם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17.5.2018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 xml:space="preserve">ובהתחשב בעבירות הנוספות שהמשיב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 במהלך ההתפרעויות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לחברותיי לקבל את ערעור המדינה ביחס לעונשו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ולהעמיד את תקופת מאסרו בכלא על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–</w:t>
      </w:r>
      <w:r>
        <w:rPr>
          <w:rtl w:val="true"/>
        </w:rPr>
        <w:t xml:space="preserve"> קרי</w:t>
      </w:r>
      <w:r>
        <w:rPr>
          <w:rtl w:val="true"/>
        </w:rPr>
        <w:t xml:space="preserve">: </w:t>
      </w:r>
      <w:r>
        <w:rPr>
          <w:rtl w:val="true"/>
        </w:rPr>
        <w:t xml:space="preserve">חמש שנים וחצי </w:t>
      </w:r>
      <w:r>
        <w:rPr>
          <w:rtl w:val="true"/>
        </w:rPr>
        <w:t>–</w:t>
      </w:r>
      <w:r>
        <w:rPr>
          <w:rtl w:val="true"/>
        </w:rPr>
        <w:t xml:space="preserve"> חלף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 מאסר אשר הושתו עליו על ידי בית משפט קמא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אסיים את דבריי</w:t>
      </w:r>
      <w:r>
        <w:rPr>
          <w:rtl w:val="true"/>
        </w:rPr>
        <w:t xml:space="preserve">, </w:t>
      </w:r>
      <w:r>
        <w:rPr>
          <w:rtl w:val="true"/>
        </w:rPr>
        <w:t>אציין כי לא נעלם מעיניי גזר הדין שניתן ביחס לשני נאשמים אחרים שהשתתפו בלינץ</w:t>
      </w:r>
      <w:r>
        <w:rPr>
          <w:rtl w:val="true"/>
        </w:rPr>
        <w:t xml:space="preserve">'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24187-06-21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גאעוני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5.4.2022</w:t>
      </w:r>
      <w:r>
        <w:rPr>
          <w:rtl w:val="true"/>
        </w:rPr>
        <w:t>)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סלע</w:t>
      </w:r>
      <w:r>
        <w:rPr>
          <w:rtl w:val="true"/>
        </w:rPr>
        <w:t xml:space="preserve">). </w:t>
      </w:r>
      <w:r>
        <w:rPr>
          <w:rtl w:val="true"/>
        </w:rPr>
        <w:t>בגדרו של גזר דין זה</w:t>
      </w:r>
      <w:r>
        <w:rPr>
          <w:rtl w:val="true"/>
        </w:rPr>
        <w:t xml:space="preserve">, </w:t>
      </w:r>
      <w:r>
        <w:rPr>
          <w:rtl w:val="true"/>
        </w:rPr>
        <w:t xml:space="preserve">השית בית המשפט המחוזי על הנאשמים עונשי מאסר לתקופות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אחרי שנוכח לדעת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חלקם במעשה היה </w:t>
      </w:r>
      <w:r>
        <w:rPr>
          <w:rtl w:val="true"/>
        </w:rPr>
        <w:t>"</w:t>
      </w:r>
      <w:r>
        <w:rPr>
          <w:rtl w:val="true"/>
        </w:rPr>
        <w:t>נקודתי ומצומצם יחסית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לאור הבהרה זו</w:t>
      </w:r>
      <w:r>
        <w:rPr>
          <w:rtl w:val="true"/>
        </w:rPr>
        <w:t xml:space="preserve">, </w:t>
      </w:r>
      <w:r>
        <w:rPr>
          <w:rtl w:val="true"/>
        </w:rPr>
        <w:t>איני רואה סיבה להידרש לאמור בגזר דין זה מטעמי האחידות בענישה</w:t>
      </w:r>
      <w:r>
        <w:rPr>
          <w:rtl w:val="true"/>
        </w:rPr>
        <w:t xml:space="preserve">. </w:t>
      </w:r>
      <w:r>
        <w:rPr>
          <w:rtl w:val="true"/>
        </w:rPr>
        <w:t>באשר לאמות המידה הראויות בענישה</w:t>
      </w:r>
      <w:r>
        <w:rPr>
          <w:rtl w:val="true"/>
        </w:rPr>
        <w:t xml:space="preserve">, </w:t>
      </w:r>
      <w:r>
        <w:rPr>
          <w:rtl w:val="true"/>
        </w:rPr>
        <w:t>כפי שציינתי לעיל</w:t>
      </w:r>
      <w:r>
        <w:rPr>
          <w:rtl w:val="true"/>
        </w:rPr>
        <w:t xml:space="preserve">, </w:t>
      </w:r>
      <w:r>
        <w:rPr>
          <w:rtl w:val="true"/>
        </w:rPr>
        <w:t xml:space="preserve">הנני סבור שעלינו להנחות את עצמנו באמצעות דברו של המחוקק ותקדימים שיצאו מלפנינו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5633/22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28.11.2022</w:t>
      </w:r>
      <w:r>
        <w:rPr>
          <w:color w:val="000000"/>
          <w:sz w:val="28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אם תישמע דעתי</w:t>
      </w:r>
      <w:r>
        <w:rPr>
          <w:rtl w:val="true"/>
        </w:rPr>
        <w:t xml:space="preserve">, </w:t>
      </w:r>
      <w:r>
        <w:rPr>
          <w:rtl w:val="true"/>
        </w:rPr>
        <w:t xml:space="preserve">ערעור המדינה ביחס לעונשו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 xml:space="preserve">, </w:t>
      </w:r>
      <w:r>
        <w:rPr>
          <w:rtl w:val="true"/>
        </w:rPr>
        <w:t xml:space="preserve">ואילו ערעורה ביחס לעונשו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יתקבל באופן שיהא 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לרצות חמש וחצי שנות מאסר בין כותלי הכלא</w:t>
      </w:r>
      <w:r>
        <w:rPr>
          <w:rtl w:val="true"/>
        </w:rPr>
        <w:t xml:space="preserve">. </w:t>
      </w:r>
      <w:r>
        <w:rPr>
          <w:rtl w:val="true"/>
        </w:rPr>
        <w:t xml:space="preserve">שאר רכיבי עונשו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יוותרו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2.5.2023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23006340</w:t>
      </w:r>
      <w:r>
        <w:rPr>
          <w:sz w:val="16"/>
          <w:rtl w:val="true"/>
        </w:rPr>
        <w:t>_</w:t>
      </w:r>
      <w:r>
        <w:rPr>
          <w:sz w:val="16"/>
        </w:rPr>
        <w:t>F04.docx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54678313-634/23</w:t>
      </w:r>
    </w:p>
    <w:p>
      <w:pPr>
        <w:pStyle w:val="Ruller381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Ruller381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634/23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221628%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329.a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32a.b" TargetMode="External"/><Relationship Id="rId11" Type="http://schemas.openxmlformats.org/officeDocument/2006/relationships/hyperlink" Target="http://www.nevo.co.il/law/70301/382a.b.1" TargetMode="External"/><Relationship Id="rId12" Type="http://schemas.openxmlformats.org/officeDocument/2006/relationships/hyperlink" Target="http://www.nevo.co.il/law/70301/382a.b.2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141771" TargetMode="External"/><Relationship Id="rId15" Type="http://schemas.openxmlformats.org/officeDocument/2006/relationships/hyperlink" Target="http://www.nevo.co.il/law/141771/37" TargetMode="External"/><Relationship Id="rId16" Type="http://schemas.openxmlformats.org/officeDocument/2006/relationships/hyperlink" Target="http://www.nevo.co.il/law/141771/37.a" TargetMode="External"/><Relationship Id="rId17" Type="http://schemas.openxmlformats.org/officeDocument/2006/relationships/hyperlink" Target="http://www.nevo.co.il/law/141771/37.a" TargetMode="External"/><Relationship Id="rId18" Type="http://schemas.openxmlformats.org/officeDocument/2006/relationships/hyperlink" Target="http://www.nevo.co.il/case/29221628" TargetMode="External"/><Relationship Id="rId19" Type="http://schemas.openxmlformats.org/officeDocument/2006/relationships/hyperlink" Target="http://www.nevo.co.il/law/70301/329.a.1" TargetMode="External"/><Relationship Id="rId20" Type="http://schemas.openxmlformats.org/officeDocument/2006/relationships/hyperlink" Target="http://www.nevo.co.il/law/70301/329.a.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141771/37" TargetMode="External"/><Relationship Id="rId24" Type="http://schemas.openxmlformats.org/officeDocument/2006/relationships/hyperlink" Target="http://www.nevo.co.il/law/141771" TargetMode="External"/><Relationship Id="rId25" Type="http://schemas.openxmlformats.org/officeDocument/2006/relationships/hyperlink" Target="http://www.nevo.co.il/law/70301/332a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13e" TargetMode="External"/><Relationship Id="rId28" Type="http://schemas.openxmlformats.org/officeDocument/2006/relationships/hyperlink" Target="http://www.nevo.co.il/law/70301/152" TargetMode="External"/><Relationship Id="rId29" Type="http://schemas.openxmlformats.org/officeDocument/2006/relationships/hyperlink" Target="http://www.nevo.co.il/law/70301/15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82a.b.1" TargetMode="External"/><Relationship Id="rId32" Type="http://schemas.openxmlformats.org/officeDocument/2006/relationships/hyperlink" Target="http://www.nevo.co.il/law/70301/382a.b.2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13e" TargetMode="External"/><Relationship Id="rId36" Type="http://schemas.openxmlformats.org/officeDocument/2006/relationships/hyperlink" Target="http://www.nevo.co.il/law/141771/37.a" TargetMode="External"/><Relationship Id="rId37" Type="http://schemas.openxmlformats.org/officeDocument/2006/relationships/hyperlink" Target="http://www.nevo.co.il/case/2237972" TargetMode="External"/><Relationship Id="rId38" Type="http://schemas.openxmlformats.org/officeDocument/2006/relationships/hyperlink" Target="http://www.nevo.co.il/case/6239005" TargetMode="External"/><Relationship Id="rId39" Type="http://schemas.openxmlformats.org/officeDocument/2006/relationships/hyperlink" Target="http://www.nevo.co.il/law/70301/329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141771/37.a" TargetMode="External"/><Relationship Id="rId42" Type="http://schemas.openxmlformats.org/officeDocument/2006/relationships/hyperlink" Target="http://www.nevo.co.il/case/6246087" TargetMode="External"/><Relationship Id="rId43" Type="http://schemas.openxmlformats.org/officeDocument/2006/relationships/hyperlink" Target="http://www.nevo.co.il/case/6243138" TargetMode="External"/><Relationship Id="rId44" Type="http://schemas.openxmlformats.org/officeDocument/2006/relationships/hyperlink" Target="http://www.nevo.co.il/law/141771/37.a" TargetMode="External"/><Relationship Id="rId45" Type="http://schemas.openxmlformats.org/officeDocument/2006/relationships/hyperlink" Target="http://www.nevo.co.il/case/20272217" TargetMode="External"/><Relationship Id="rId46" Type="http://schemas.openxmlformats.org/officeDocument/2006/relationships/hyperlink" Target="http://www.nevo.co.il/case/29110555" TargetMode="External"/><Relationship Id="rId47" Type="http://schemas.openxmlformats.org/officeDocument/2006/relationships/hyperlink" Target="http://www.nevo.co.il/case/28889052" TargetMode="External"/><Relationship Id="rId48" Type="http://schemas.openxmlformats.org/officeDocument/2006/relationships/hyperlink" Target="https://supreme.court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2023-05-05T03:38:00Z</dcterms:created>
  <dc:creator>h4</dc:creator>
  <dc:description/>
  <cp:keywords/>
  <dc:language>en-IL</dc:language>
  <cp:lastModifiedBy>h1</cp:lastModifiedBy>
  <cp:lastPrinted>2023-05-02T09:16:00Z</cp:lastPrinted>
  <dcterms:modified xsi:type="dcterms:W3CDTF">2023-05-05T03:38:00Z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פלוני;איברהים זעתרי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29221628:2;2237972;6239005;6246087;6243138;20272217;29110555;28889052</vt:lpwstr>
  </property>
  <property fmtid="{D5CDD505-2E9C-101B-9397-08002B2CF9AE}" pid="9" name="CITY">
    <vt:lpwstr/>
  </property>
  <property fmtid="{D5CDD505-2E9C-101B-9397-08002B2CF9AE}" pid="10" name="DATE">
    <vt:lpwstr>20230502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ארז;א' שטיין;ר' רונן</vt:lpwstr>
  </property>
  <property fmtid="{D5CDD505-2E9C-101B-9397-08002B2CF9AE}" pid="14" name="LAWLISTTMP1">
    <vt:lpwstr>70301/329.a.1;329.a.2;029;332a.b;413e:2;152:2;382a.b.1;382a.b.2;025;329.a</vt:lpwstr>
  </property>
  <property fmtid="{D5CDD505-2E9C-101B-9397-08002B2CF9AE}" pid="15" name="LAWLISTTMP2">
    <vt:lpwstr>141771/037;037.a:3</vt:lpwstr>
  </property>
  <property fmtid="{D5CDD505-2E9C-101B-9397-08002B2CF9AE}" pid="16" name="LAWYER">
    <vt:lpwstr>מוחמד מחמוד;אוסמה חלבי;מורן פולמן;טלי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דיון פלילי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ערעור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1446;1446;1446;1446;1446;504</vt:lpwstr>
  </property>
  <property fmtid="{D5CDD505-2E9C-101B-9397-08002B2CF9AE}" pid="49" name="NOSE31">
    <vt:lpwstr>מדיניות ענישה: עבירות אלימות על רקע אידיאולוגי</vt:lpwstr>
  </property>
  <property fmtid="{D5CDD505-2E9C-101B-9397-08002B2CF9AE}" pid="50" name="NOSE310">
    <vt:lpwstr/>
  </property>
  <property fmtid="{D5CDD505-2E9C-101B-9397-08002B2CF9AE}" pid="51" name="NOSE32">
    <vt:lpwstr>מדיניות ענישה: קטינים</vt:lpwstr>
  </property>
  <property fmtid="{D5CDD505-2E9C-101B-9397-08002B2CF9AE}" pid="52" name="NOSE33">
    <vt:lpwstr>עקרון ההלימה‏</vt:lpwstr>
  </property>
  <property fmtid="{D5CDD505-2E9C-101B-9397-08002B2CF9AE}" pid="53" name="NOSE34">
    <vt:lpwstr>מדיניות ענישה: שיקום</vt:lpwstr>
  </property>
  <property fmtid="{D5CDD505-2E9C-101B-9397-08002B2CF9AE}" pid="54" name="NOSE35">
    <vt:lpwstr>מדיניות ענישה: שיקולים</vt:lpwstr>
  </property>
  <property fmtid="{D5CDD505-2E9C-101B-9397-08002B2CF9AE}" pid="55" name="NOSE36">
    <vt:lpwstr>התערבות במידת העונש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17645;15724;14799;14346;8994;15230</vt:lpwstr>
  </property>
  <property fmtid="{D5CDD505-2E9C-101B-9397-08002B2CF9AE}" pid="60" name="PADIDATE">
    <vt:lpwstr>20230503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634</vt:lpwstr>
  </property>
  <property fmtid="{D5CDD505-2E9C-101B-9397-08002B2CF9AE}" pid="66" name="PROCYEAR">
    <vt:lpwstr>23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410120230502</vt:lpwstr>
  </property>
  <property fmtid="{D5CDD505-2E9C-101B-9397-08002B2CF9AE}" pid="70" name="TYPE_N_DATE">
    <vt:lpwstr>41020230502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