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leNumber1"/>
        <w:ind w:end="0"/>
        <w:jc w:val="center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בבית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בשבתו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כבית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משפט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לערעורים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פליליים</w:t>
      </w:r>
    </w:p>
    <w:p>
      <w:pPr>
        <w:pStyle w:val="Normal"/>
        <w:ind w:end="0"/>
        <w:jc w:val="end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6348/15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6349/15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</w:rPr>
              <w:t>6348/15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</w:rPr>
              <w:t>6349/15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זלמן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חנוכייב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שלמה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מולקנדוב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                                </w:t>
      </w:r>
      <w:r>
        <w:rPr>
          <w:rtl w:val="true"/>
        </w:rPr>
        <w:t xml:space="preserve"> </w:t>
      </w:r>
    </w:p>
    <w:p>
      <w:pPr>
        <w:pStyle w:val="ruller311"/>
        <w:ind w:end="0"/>
        <w:jc w:val="start"/>
        <w:rPr/>
      </w:pPr>
      <w:r>
        <w:rPr>
          <w:rtl w:val="true"/>
        </w:rPr>
        <w:t xml:space="preserve">           </w:t>
      </w:r>
      <w:r>
        <w:rPr>
          <w:rtl w:val="true"/>
        </w:rPr>
        <w:t xml:space="preserve">             </w:t>
      </w:r>
      <w:r>
        <w:rPr>
          <w:sz w:val="26"/>
          <w:szCs w:val="26"/>
          <w:rtl w:val="true"/>
        </w:rPr>
        <w:t xml:space="preserve">                               </w:t>
      </w:r>
      <w:r>
        <w:rPr>
          <w:sz w:val="26"/>
          <w:szCs w:val="26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</w:t>
      </w:r>
    </w:p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ישראל</w:t>
            </w:r>
          </w:p>
        </w:tc>
      </w:tr>
    </w:tbl>
    <w:p>
      <w:pPr>
        <w:pStyle w:val="Heading1"/>
        <w:spacing w:before="0" w:after="0"/>
        <w:ind w:end="0"/>
        <w:jc w:val="start"/>
        <w:rPr>
          <w:rFonts w:eastAsia="Arial"/>
        </w:rPr>
      </w:pPr>
      <w:r>
        <w:rPr>
          <w:rFonts w:eastAsia="Arial"/>
          <w:rtl w:val="true"/>
        </w:rPr>
        <w:t xml:space="preserve"> </w:t>
      </w:r>
    </w:p>
    <w:tbl>
      <w:tblPr>
        <w:bidiVisual w:val="true"/>
        <w:tblW w:w="8393" w:type="dxa"/>
        <w:jc w:val="start"/>
        <w:tblInd w:w="-1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51"/>
        <w:gridCol w:w="5142"/>
      </w:tblGrid>
      <w:tr>
        <w:trPr>
          <w:trHeight w:val="261" w:hRule="atLeast"/>
        </w:trPr>
        <w:tc>
          <w:tcPr>
            <w:tcW w:w="3251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14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4.6.2015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120-02-13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Cs w:val="24"/>
                <w:rtl w:val="true"/>
              </w:rPr>
              <w:t>[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פורסם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בנבו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</w:t>
            </w:r>
            <w:hyperlink r:id="rId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4125-02-13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  <w:tr>
        <w:trPr>
          <w:trHeight w:val="162" w:hRule="atLeast"/>
        </w:trPr>
        <w:tc>
          <w:tcPr>
            <w:tcW w:w="3251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14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51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5142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3251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5142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15.02.17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/>
            </w:pPr>
            <w:bookmarkStart w:id="3" w:name="lawyers_a_title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6348/15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3"/>
          </w:p>
          <w:p>
            <w:pPr>
              <w:pStyle w:val="ruller31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ruller31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6349/15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בונדר</w:t>
            </w:r>
          </w:p>
          <w:p>
            <w:pPr>
              <w:pStyle w:val="precasestyle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דייגי</w:t>
            </w:r>
            <w:r>
              <w:rPr>
                <w:sz w:val="28"/>
                <w:sz w:val="28"/>
                <w:szCs w:val="28"/>
                <w:rtl w:val="true"/>
              </w:rPr>
              <w:t xml:space="preserve">                 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20" w:type="dxa"/>
        <w:jc w:val="start"/>
        <w:tblInd w:w="-1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57"/>
        <w:gridCol w:w="5063"/>
      </w:tblGrid>
      <w:tr>
        <w:trPr/>
        <w:tc>
          <w:tcPr>
            <w:tcW w:w="3357" w:type="dxa"/>
            <w:tcBorders/>
            <w:vAlign w:val="center"/>
          </w:tcPr>
          <w:p>
            <w:pPr>
              <w:pStyle w:val="ruller31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 xml:space="preserve"> </w:t>
            </w:r>
            <w:bookmarkStart w:id="5" w:name="lawyers_b_title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5"/>
          </w:p>
        </w:tc>
        <w:tc>
          <w:tcPr>
            <w:tcW w:w="5063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</w:p>
          <w:p>
            <w:pPr>
              <w:pStyle w:val="precasestyle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precasestyl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6" w:name="LawTable"/>
      <w:bookmarkStart w:id="7" w:name="secretary"/>
      <w:bookmarkStart w:id="8" w:name="BeginProtocol"/>
      <w:bookmarkStart w:id="9" w:name="LawTable"/>
      <w:bookmarkStart w:id="10" w:name="secretary"/>
      <w:bookmarkStart w:id="11" w:name="BeginProtocol"/>
      <w:bookmarkEnd w:id="9"/>
      <w:bookmarkEnd w:id="10"/>
      <w:bookmarkEnd w:id="11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428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499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85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184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המבססות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ביסוס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משהוסכם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184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ניסוחו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וסחיטה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184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כשלשיטתה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בסחיטה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הצר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בתיאור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המבססות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מסגרת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שתמכו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184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184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184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13" w:name="ABSTRACT_END"/>
      <w:bookmarkStart w:id="14" w:name="ABSTRACT_END"/>
      <w:bookmarkEnd w:id="14"/>
    </w:p>
    <w:p>
      <w:pPr>
        <w:pStyle w:val="BODYVERDICT"/>
        <w:ind w:end="0"/>
        <w:jc w:val="center"/>
        <w:rPr/>
      </w:pPr>
      <w:bookmarkStart w:id="15" w:name="PsakDin"/>
      <w:bookmarkStart w:id="16" w:name="LawTable_End"/>
      <w:bookmarkEnd w:id="15"/>
      <w:bookmarkEnd w:id="16"/>
      <w:r>
        <w:rPr>
          <w:rFonts w:cs="David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BODYVERDICT"/>
        <w:ind w:end="0"/>
        <w:jc w:val="start"/>
        <w:rPr/>
      </w:pPr>
      <w:r>
        <w:rPr>
          <w:rtl w:val="true"/>
        </w:rPr>
      </w:r>
      <w:bookmarkStart w:id="17" w:name="PsakDin"/>
      <w:bookmarkStart w:id="18" w:name="PsakDin"/>
      <w:bookmarkEnd w:id="18"/>
    </w:p>
    <w:p>
      <w:pPr>
        <w:pStyle w:val="BODYVERDICT"/>
        <w:spacing w:lineRule="auto" w:line="360"/>
        <w:ind w:end="0"/>
        <w:jc w:val="start"/>
        <w:rPr/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20" w:name="Start_Write"/>
      <w:bookmarkEnd w:id="20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שעיקרם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ולהעבירם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6348/15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חנוכייב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6349/15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מולקנדוב</w:t>
      </w:r>
      <w:r>
        <w:rPr>
          <w:rFonts w:cs="FrankRuehl"/>
          <w:sz w:val="28"/>
          <w:szCs w:val="28"/>
          <w:rtl w:val="true"/>
        </w:rPr>
        <w:t xml:space="preserve">) -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ומולקנדוב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אינפלד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22">
        <w:r>
          <w:rPr>
            <w:rStyle w:val="Hyperlink"/>
            <w:rFonts w:cs="FrankRuehl"/>
            <w:sz w:val="28"/>
            <w:szCs w:val="28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מולקנדוב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מולקנדוב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יטפלו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מולקנדוב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מולקנדוב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למיכאל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</w:t>
      </w:r>
      <w:r>
        <w:rPr>
          <w:rFonts w:cs="FrankRuehl"/>
          <w:sz w:val="28"/>
          <w:sz w:val="28"/>
          <w:szCs w:val="28"/>
          <w:rtl w:val="true"/>
        </w:rPr>
        <w:t>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ובחיפושים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הסחיטה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המאיימים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</w:t>
      </w:r>
      <w:hyperlink r:id="rId26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חסד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1028-1027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מולקנדוב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מולקנדוב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בעיתוי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שתתגלינה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בהמלצתנו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מסכימה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לזיכויים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העבירות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יוחסו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בפרמטרים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הצר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Cs w:val="28"/>
          <w:rtl w:val="true"/>
        </w:rPr>
        <w:t>("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תיאור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העובדות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המהוות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את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העבירה</w:t>
      </w:r>
      <w:r>
        <w:rPr>
          <w:rStyle w:val="default"/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בציון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המקום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והזמן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במידה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שאפשר</w:t>
      </w:r>
      <w:r>
        <w:rPr>
          <w:rStyle w:val="default"/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pacing w:val="0"/>
          <w:sz w:val="28"/>
          <w:sz w:val="28"/>
          <w:szCs w:val="28"/>
          <w:rtl w:val="true"/>
        </w:rPr>
        <w:t>לבררם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85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4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שתמכו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שעיקרן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חנוכייב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נשמט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cs="Miriam"/>
          <w:spacing w:val="0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pacing w:val="0"/>
          <w:sz w:val="24"/>
          <w:szCs w:val="24"/>
          <w:u w:val="single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5.6.2017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15063480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B15.doc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54678313-6348/15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4"/>
      <w:footerReference w:type="default" r:id="rId4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6348/15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זלמן חנוכייב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overflowPunct w:val="true"/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ascii="Arial" w:hAnsi="Arial" w:cs="Arial"/>
      <w:b/>
      <w:bCs/>
    </w:rPr>
  </w:style>
  <w:style w:type="character" w:styleId="Style13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Ruller41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כותרת 1"/>
    <w:basedOn w:val="Normal"/>
    <w:qFormat/>
    <w:pPr/>
    <w:rPr/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370078" TargetMode="External"/><Relationship Id="rId3" Type="http://schemas.openxmlformats.org/officeDocument/2006/relationships/hyperlink" Target="http://www.nevo.co.il/case/566210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28" TargetMode="External"/><Relationship Id="rId6" Type="http://schemas.openxmlformats.org/officeDocument/2006/relationships/hyperlink" Target="http://www.nevo.co.il/law/70301/499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85.4" TargetMode="External"/><Relationship Id="rId10" Type="http://schemas.openxmlformats.org/officeDocument/2006/relationships/hyperlink" Target="http://www.nevo.co.il/law/74903/184" TargetMode="External"/><Relationship Id="rId11" Type="http://schemas.openxmlformats.org/officeDocument/2006/relationships/hyperlink" Target="http://www.nevo.co.il/law/74903/184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84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84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84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84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42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4903/184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4903/184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4903/184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law/74903/184" TargetMode="External"/><Relationship Id="rId32" Type="http://schemas.openxmlformats.org/officeDocument/2006/relationships/hyperlink" Target="http://www.nevo.co.il/law/70301/49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4903/85.4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law/74903/184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4903/184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law/74903/184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court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2017-06-07T11:37:00Z</dcterms:created>
  <dc:creator> </dc:creator>
  <dc:description/>
  <cp:keywords/>
  <dc:language>en-IL</dc:language>
  <cp:lastModifiedBy>orly</cp:lastModifiedBy>
  <dcterms:modified xsi:type="dcterms:W3CDTF">2017-06-07T11:37:00Z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זלמן חנוכייב;שלמה מולקנדוב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20622783:3;20622785:3;5370078;5662109</vt:lpwstr>
  </property>
  <property fmtid="{D5CDD505-2E9C-101B-9397-08002B2CF9AE}" pid="9" name="CITY">
    <vt:lpwstr/>
  </property>
  <property fmtid="{D5CDD505-2E9C-101B-9397-08002B2CF9AE}" pid="10" name="DATE">
    <vt:lpwstr>20170605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ג'ובראן;י' עמית;מ' מזוז</vt:lpwstr>
  </property>
  <property fmtid="{D5CDD505-2E9C-101B-9397-08002B2CF9AE}" pid="14" name="LAWLISTTMP1">
    <vt:lpwstr>70301/499.a.1;428;499</vt:lpwstr>
  </property>
  <property fmtid="{D5CDD505-2E9C-101B-9397-08002B2CF9AE}" pid="15" name="LAWLISTTMP2">
    <vt:lpwstr>74903/184:7;085.4</vt:lpwstr>
  </property>
  <property fmtid="{D5CDD505-2E9C-101B-9397-08002B2CF9AE}" pid="16" name="LAWYER">
    <vt:lpwstr>אופיר טישלר;נועם בונדר;אורי דייגי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כתב-אישום</vt:lpwstr>
  </property>
  <property fmtid="{D5CDD505-2E9C-101B-9397-08002B2CF9AE}" pid="41" name="NOSE23">
    <vt:lpwstr>עבירות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16982;482;1443</vt:lpwstr>
  </property>
  <property fmtid="{D5CDD505-2E9C-101B-9397-08002B2CF9AE}" pid="49" name="NOSE31">
    <vt:lpwstr>על פי עובדות שלא נטענו</vt:lpwstr>
  </property>
  <property fmtid="{D5CDD505-2E9C-101B-9397-08002B2CF9AE}" pid="50" name="NOSE310">
    <vt:lpwstr/>
  </property>
  <property fmtid="{D5CDD505-2E9C-101B-9397-08002B2CF9AE}" pid="51" name="NOSE32">
    <vt:lpwstr>ניסוחו</vt:lpwstr>
  </property>
  <property fmtid="{D5CDD505-2E9C-101B-9397-08002B2CF9AE}" pid="52" name="NOSE33">
    <vt:lpwstr>קשירת קשר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;3725;15927</vt:lpwstr>
  </property>
  <property fmtid="{D5CDD505-2E9C-101B-9397-08002B2CF9AE}" pid="60" name="PADIDATE">
    <vt:lpwstr>20170607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6348;6349</vt:lpwstr>
  </property>
  <property fmtid="{D5CDD505-2E9C-101B-9397-08002B2CF9AE}" pid="66" name="PROCYEAR">
    <vt:lpwstr>15;15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410120170605</vt:lpwstr>
  </property>
  <property fmtid="{D5CDD505-2E9C-101B-9397-08002B2CF9AE}" pid="70" name="TYPE_N_DATE">
    <vt:lpwstr>41020170605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