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6390/20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30.7.2020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12818-07-18</w:t>
              </w:r>
            </w:hyperlink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ערן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קוטון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ואיל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באומגרט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24.1.2021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המערער</w:t>
            </w:r>
            <w:r>
              <w:rPr>
                <w:sz w:val="26"/>
                <w:sz w:val="26"/>
                <w:szCs w:val="26"/>
                <w:rtl w:val="true"/>
              </w:rPr>
              <w:t>ת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עילית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מידן</w:t>
            </w:r>
          </w:p>
        </w:tc>
      </w:tr>
    </w:tbl>
    <w:p>
      <w:pPr>
        <w:pStyle w:val="Ruller31"/>
        <w:ind w:end="0"/>
        <w:jc w:val="start"/>
        <w:rPr>
          <w:sz w:val="4"/>
          <w:szCs w:val="10"/>
        </w:rPr>
      </w:pPr>
      <w:r>
        <w:rPr>
          <w:sz w:val="4"/>
          <w:szCs w:val="10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bookmarkStart w:id="4" w:name="FirstLawyer"/>
            <w:bookmarkEnd w:id="4"/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המשיב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פאר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סאהר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12"/>
          <w:szCs w:val="16"/>
        </w:rPr>
      </w:pPr>
      <w:r>
        <w:rPr>
          <w:sz w:val="12"/>
          <w:szCs w:val="16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נפגעת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העבירה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גרשון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גרונפלד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368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379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החמיר בעונש שהושת על המשיב בגין הרשעתו בעבירות אינוס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תקיפה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ותקיפת 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שבוצעו כלפי בנותיהן הקטינות של בת זוגו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כך שירצה </w:t>
      </w:r>
      <w:r>
        <w:rPr>
          <w:rFonts w:cs="Times New Roman" w:ascii="Times New Roman" w:hAnsi="Times New Roman"/>
          <w:spacing w:val="0"/>
          <w:szCs w:val="26"/>
        </w:rPr>
        <w:t>14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שנות מאסר בפועל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חֶלֶף </w:t>
      </w:r>
      <w:r>
        <w:rPr>
          <w:rFonts w:cs="Times New Roman" w:ascii="Times New Roman" w:hAnsi="Times New Roman"/>
          <w:spacing w:val="0"/>
          <w:szCs w:val="26"/>
        </w:rPr>
        <w:t>11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מידת הנזק ומכלול הנסיבות לחומרה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 בקטינים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המשיב הורשע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בעבירות אינוס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בעבירה של תקיפה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ובעבירה של תקיפת 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האונס בוצע כלפי ביתה הקטנה של בת זוגו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שהייתה אז כבת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אף הרתה כתוצאה ממעשה האונס והתקיפות בוצעו גם כלפי בת קטינה נוספת של בת זוגו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קמא הטיל על המשיב עונש של </w:t>
      </w:r>
      <w:r>
        <w:rPr>
          <w:rFonts w:cs="Times New Roman" w:ascii="Times New Roman" w:hAnsi="Times New Roman"/>
          <w:spacing w:val="0"/>
          <w:szCs w:val="26"/>
        </w:rPr>
        <w:t>11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לריצוי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מאסרים מותנים וחייבו בתשלום פיצויים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נסב על קולת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המדינה מבקשת לקבוע את מתחם העונש כך שיחל מ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ועד 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ולגזור את דינו באמצע מתחם זה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קרא ובהסכמת השופטים גרוסקופף ושטיין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התמונה העולה מעיון בתסקיר נפגעת העבירה קשה וחמורה הרבה יותר ממה שתואר בכתב האישום ובגזר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הקטינה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ילדה בגיל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עברה אונס על ידי בן זוגה של אמה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המבוגר ממנה ב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40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מי שאמור היה לשמש לה דמות אב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האונס התבצע על רקע מסכת אלימות קשה ואווירת טרור ואלימות קשה שהשליט המשיב בבית המשפחה כלפי שתי הקטינות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בעקבות האונס הרתה הקטינה ונאלצה לעבור ניתוח להפסקת ההיריון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האונס וניתוח הפסקת הריונה הותירו את הקטינה בטראומה קשה הן פיסית והן נפשית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הפגיעה הקשה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הנזק רחב הטווח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והבלתי הפיך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המקיף את מכלול מישורי חייה של הקטינה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מחייבים מתן ביטוי לכך הן בקביעת המתחם והן בגזירת העונש בגדרו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 גם הריונה של הקטינה כתוצאה ממעשה האונס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הנזקים שהתלוו לכך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הינו נסיבה מחמירה שהעצימה את הפגיעה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לנסיבה זו יש לתת ביטוי בתוצאה העונשית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מעבר למה שניתן לכך על ידי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מידת הנזק וחומרתו ומכלול נסיבות החומרא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מאפילות עשרות מונים על נסיבת הקולא האחת הנובעת מהודאת המשיב בתחילת משפטו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לטענת המשיב כי עמדתה העונשית של המדינה אינה עולה בקנה אחד עם מדיניות הענישה 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מדיניות הענישה הינה אך אחד הפרמטרים בהם מסתייע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לעיצוב המתחם וכמתבקש גזירת העונש בגדרו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מלאכת גזירת הדין איננה מלאכה חישובית של הצבת נתונים במשוואות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אם מלאכת מחשבת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שנגזרת ממידת הפגיעה בערך המוגן ומנסיבות כל מקרה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הן בהתייחס לנסיבות העושה והן בהתייחס לנסיבות המעשה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שקלא וטריא שנוצקים לתוכה שיקולים ערכיים שלעולם אינם מתמצים בתחשיבים אריתמטיים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נקודת המוצא לבחינת העונש ההולם דבר עבירה הוא בקביעת מתחם הענישה הראוי לעבירה בנסיבותיה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ובכללן מידת האשם של מבצע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מידת אשמו של המשיב ופגיעתו בערכים המוגנים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גבוהים וחמורים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בהתחשב בניצול מעמדו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כוחו ויחסיו עם הקטינה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כשפגיעתו בה מותירה אותה פגועה ומצולקת פיסית ונפשית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כבר נפסק כי עבירת האונס הינה אחת מהעבירות החמורות ביותר בחוק העונשין ואחת מהפגיעות הקשות ביותר אותו יכול בן אדם לגרום לרעהו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לאור כל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המתחם בעניינו של המשיב בגין מכלול העבירות בהן הורשע הינו החל מ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ועד 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בהינתן הודיית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שייתרה את מעמד מתן עדותן של הקטינות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ומאחר שערכאת הערעור אינה נוהגת למצות את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עונשו של המשיב יועמד על </w:t>
      </w:r>
      <w:r>
        <w:rPr>
          <w:rFonts w:cs="Times New Roman" w:ascii="Times New Roman" w:hAnsi="Times New Roman"/>
          <w:spacing w:val="0"/>
          <w:szCs w:val="26"/>
        </w:rPr>
        <w:t>14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יתר חלקי גזר הדין יעמדו בעינם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Century" w:hAnsi="Century" w:cs="FrankRuehl"/>
          <w:spacing w:val="10"/>
          <w:sz w:val="22"/>
          <w:szCs w:val="28"/>
          <w:u w:val="single"/>
        </w:rPr>
      </w:pP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1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12818-07-18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30.7.2020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כב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השופטים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לוי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(</w:t>
      </w:r>
      <w:r>
        <w:rPr>
          <w:rFonts w:ascii="Century" w:hAnsi="Century" w:cs="Miriam"/>
          <w:b/>
          <w:b/>
          <w:sz w:val="22"/>
          <w:sz w:val="22"/>
          <w:rtl w:val="true"/>
        </w:rPr>
        <w:t>אב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ד</w:t>
      </w:r>
      <w:r>
        <w:rPr>
          <w:rFonts w:cs="Miriam" w:ascii="Century" w:hAnsi="Century"/>
          <w:b/>
          <w:sz w:val="22"/>
          <w:rtl w:val="true"/>
        </w:rPr>
        <w:t xml:space="preserve">), </w:t>
      </w:r>
      <w:r>
        <w:rPr>
          <w:rFonts w:ascii="Century" w:hAnsi="Century" w:cs="Miriam"/>
          <w:b/>
          <w:b/>
          <w:sz w:val="22"/>
          <w:sz w:val="22"/>
          <w:rtl w:val="true"/>
        </w:rPr>
        <w:t>ע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קוטון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באומגרט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מותנים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130</w:t>
      </w:r>
      <w:r>
        <w:rPr>
          <w:rFonts w:cs="FrankRuehl" w:ascii="Century" w:hAnsi="Century"/>
          <w:spacing w:val="10"/>
          <w:szCs w:val="28"/>
        </w:rPr>
        <w:t>,</w:t>
      </w:r>
      <w:r>
        <w:rPr>
          <w:rFonts w:cs="FrankRuehl" w:ascii="Century" w:hAnsi="Century"/>
          <w:spacing w:val="10"/>
          <w:sz w:val="22"/>
          <w:szCs w:val="28"/>
        </w:rPr>
        <w:t>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spacing w:val="10"/>
          <w:sz w:val="24"/>
        </w:rPr>
      </w:pPr>
      <w:r>
        <w:rPr>
          <w:rFonts w:ascii="Miriam" w:hAnsi="Miriam" w:cs="Miriam"/>
          <w:spacing w:val="10"/>
          <w:sz w:val="24"/>
          <w:sz w:val="24"/>
          <w:rtl w:val="true"/>
        </w:rPr>
        <w:t>רקע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1"/>
        <w:numPr>
          <w:ilvl w:val="0"/>
          <w:numId w:val="1"/>
        </w:numPr>
        <w:overflowPunct w:val="true"/>
        <w:autoSpaceDE w:val="true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 xml:space="preserve">המשיב הורשע על פי הודאתו בכתב אישום מתוקן במסגרת הסדר טיעון בעבירות אינוס בנסיבות מחמירות לפי </w:t>
      </w:r>
      <w:hyperlink r:id="rId11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345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)(</w:t>
        </w:r>
        <w:r>
          <w:rPr>
            <w:rStyle w:val="Hyperlink"/>
            <w:rFonts w:cs="Century" w:ascii="Century" w:hAnsi="Century"/>
            <w:sz w:val="22"/>
          </w:rPr>
          <w:t>1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יחד עם </w:t>
      </w:r>
      <w:hyperlink r:id="rId12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סעיפים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345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</w:t>
        </w:r>
        <w:r>
          <w:rPr>
            <w:rStyle w:val="Hyperlink"/>
            <w:rFonts w:cs="Century" w:ascii="Century" w:hAnsi="Century"/>
            <w:sz w:val="22"/>
            <w:rtl w:val="true"/>
          </w:rPr>
          <w:t>)(</w:t>
        </w:r>
        <w:r>
          <w:rPr>
            <w:rStyle w:val="Hyperlink"/>
            <w:rFonts w:cs="Century" w:ascii="Century" w:hAnsi="Century"/>
            <w:sz w:val="22"/>
          </w:rPr>
          <w:t>1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hyperlink r:id="rId13">
        <w:r>
          <w:rPr>
            <w:rStyle w:val="Hyperlink"/>
            <w:rFonts w:cs="Century" w:ascii="Century" w:hAnsi="Century"/>
            <w:sz w:val="22"/>
          </w:rPr>
          <w:t>345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</w:t>
        </w:r>
        <w:r>
          <w:rPr>
            <w:rStyle w:val="Hyperlink"/>
            <w:rFonts w:cs="Century" w:ascii="Century" w:hAnsi="Century"/>
            <w:sz w:val="22"/>
            <w:rtl w:val="true"/>
          </w:rPr>
          <w:t>)(</w:t>
        </w:r>
        <w:r>
          <w:rPr>
            <w:rStyle w:val="Hyperlink"/>
            <w:rFonts w:cs="Century" w:ascii="Century" w:hAnsi="Century"/>
            <w:sz w:val="22"/>
          </w:rPr>
          <w:t>3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1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התשל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ז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1977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 xml:space="preserve">בעבירה של תקיפה בנסיבות מחמירות לפי </w:t>
      </w:r>
      <w:hyperlink r:id="rId15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379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יחד עם </w:t>
      </w:r>
      <w:hyperlink r:id="rId16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382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</w:t>
        </w:r>
        <w:r>
          <w:rPr>
            <w:rStyle w:val="Hyperlink"/>
            <w:rFonts w:cs="Century" w:ascii="Century" w:hAnsi="Century"/>
            <w:sz w:val="22"/>
            <w:rtl w:val="true"/>
          </w:rPr>
          <w:t>)(</w:t>
        </w:r>
        <w:r>
          <w:rPr>
            <w:rStyle w:val="Hyperlink"/>
            <w:rFonts w:cs="Century" w:ascii="Century" w:hAnsi="Century"/>
            <w:sz w:val="22"/>
          </w:rPr>
          <w:t>2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לחוק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מספר מקרים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 xml:space="preserve">ובעבירה של תקיפת קטין לפי </w:t>
      </w:r>
      <w:hyperlink r:id="rId17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368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overflowPunct w:val="true"/>
        <w:autoSpaceDE w:val="true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על פי עובדות כתב האישום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החל משנת </w:t>
      </w:r>
      <w:r>
        <w:rPr>
          <w:rFonts w:cs="Century" w:ascii="Century" w:hAnsi="Century"/>
          <w:sz w:val="22"/>
        </w:rPr>
        <w:t>2015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היה המשיב בן זוגה של אמן של הקטינות א</w:t>
      </w:r>
      <w:r>
        <w:rPr>
          <w:rFonts w:cs="Century" w:ascii="Century" w:hAnsi="Century"/>
          <w:sz w:val="22"/>
          <w:rtl w:val="true"/>
        </w:rPr>
        <w:t xml:space="preserve">', </w:t>
      </w:r>
      <w:r>
        <w:rPr>
          <w:rFonts w:ascii="Century" w:hAnsi="Century" w:cs="Century"/>
          <w:sz w:val="22"/>
          <w:sz w:val="22"/>
          <w:rtl w:val="true"/>
        </w:rPr>
        <w:t xml:space="preserve">ילידת </w:t>
      </w:r>
      <w:r>
        <w:rPr>
          <w:rFonts w:cs="Century" w:ascii="Century" w:hAnsi="Century"/>
          <w:sz w:val="22"/>
        </w:rPr>
        <w:t>2006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</w:t>
      </w:r>
      <w:r>
        <w:rPr>
          <w:rFonts w:cs="Century" w:ascii="Century" w:hAnsi="Century"/>
          <w:sz w:val="22"/>
          <w:rtl w:val="true"/>
        </w:rPr>
        <w:t xml:space="preserve">', </w:t>
      </w:r>
      <w:r>
        <w:rPr>
          <w:rFonts w:ascii="Century" w:hAnsi="Century" w:cs="Century"/>
          <w:sz w:val="22"/>
          <w:sz w:val="22"/>
          <w:rtl w:val="true"/>
        </w:rPr>
        <w:t xml:space="preserve">ילידת </w:t>
      </w:r>
      <w:r>
        <w:rPr>
          <w:rFonts w:cs="Century" w:ascii="Century" w:hAnsi="Century"/>
          <w:sz w:val="22"/>
        </w:rPr>
        <w:t>2003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בחודש אפריל </w:t>
      </w:r>
      <w:r>
        <w:rPr>
          <w:rFonts w:cs="Century" w:ascii="Century" w:hAnsi="Century"/>
          <w:sz w:val="22"/>
        </w:rPr>
        <w:t>2018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בהיותו לבד בדירה עם הקטינה א</w:t>
      </w:r>
      <w:r>
        <w:rPr>
          <w:rFonts w:cs="Century" w:ascii="Century" w:hAnsi="Century"/>
          <w:sz w:val="22"/>
          <w:rtl w:val="true"/>
        </w:rPr>
        <w:t>'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הקטינה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אנס המשיב את א</w:t>
      </w:r>
      <w:r>
        <w:rPr>
          <w:rFonts w:cs="Century" w:ascii="Century" w:hAnsi="Century"/>
          <w:sz w:val="22"/>
          <w:rtl w:val="true"/>
        </w:rPr>
        <w:t xml:space="preserve">', </w:t>
      </w:r>
      <w:r>
        <w:rPr>
          <w:rFonts w:ascii="Century" w:hAnsi="Century" w:cs="Century"/>
          <w:sz w:val="22"/>
          <w:sz w:val="22"/>
          <w:rtl w:val="true"/>
        </w:rPr>
        <w:t xml:space="preserve">שהייתה אז כבת </w:t>
      </w:r>
      <w:r>
        <w:rPr>
          <w:rFonts w:cs="Century" w:ascii="Century" w:hAnsi="Century"/>
          <w:sz w:val="22"/>
        </w:rPr>
        <w:t>12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בכך שהחדיר את איבר מינו לאיבר מינה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כתוצאה ממעשה האונס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הרתה א</w:t>
      </w:r>
      <w:r>
        <w:rPr>
          <w:rFonts w:cs="Century" w:ascii="Century" w:hAnsi="Century"/>
          <w:sz w:val="22"/>
          <w:rtl w:val="true"/>
        </w:rPr>
        <w:t xml:space="preserve">'. </w:t>
      </w:r>
      <w:r>
        <w:rPr>
          <w:rFonts w:ascii="Century" w:hAnsi="Century" w:cs="Century"/>
          <w:sz w:val="22"/>
          <w:sz w:val="22"/>
          <w:rtl w:val="true"/>
        </w:rPr>
        <w:t>במשך התקופה שלאחר האונס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סבלה א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מכאבי בטן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בחילות והקאות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ופנתה בעקבות כך לרופא ילדים מספר פעמים מבלי שהייתה מודעת להריונה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בדיקת אולטרה סאונד שנעשתה 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הראתה כי ברחמה גדל עובר בגיל </w:t>
      </w:r>
      <w:r>
        <w:rPr>
          <w:rFonts w:cs="Century" w:ascii="Century" w:hAnsi="Century"/>
          <w:sz w:val="22"/>
        </w:rPr>
        <w:t>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שבועות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בהמשך ביוני </w:t>
      </w:r>
      <w:r>
        <w:rPr>
          <w:rFonts w:cs="Century" w:ascii="Century" w:hAnsi="Century"/>
          <w:sz w:val="22"/>
        </w:rPr>
        <w:t>2018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עברה א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ניתוח להפסקת הריון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התגורר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ואימן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חגורה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בהזדמנות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2017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לשטף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בהזדמנות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2018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חגורה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וברגליה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Century" w:hAnsi="Century" w:cs="FrankRuehl"/>
          <w:spacing w:val="10"/>
          <w:szCs w:val="28"/>
          <w:rtl w:val="true"/>
        </w:rPr>
        <w:t>יסא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רגלי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ברזל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רגלה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נגרמו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המטומות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וברגלה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1"/>
        <w:numPr>
          <w:ilvl w:val="0"/>
          <w:numId w:val="1"/>
        </w:numPr>
        <w:overflowPunct w:val="true"/>
        <w:autoSpaceDE w:val="true"/>
        <w:spacing w:before="0" w:after="16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בגזר הדין עמד בית המשפט על כך שמעשי המשיב פגעו פגיעה קשה בערכים המוגנים של שלמות גופה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בטחונה וזכותה של א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להיות מוגנת בביתה ולחוות התפתחות תקינה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וכי הפגיעה מועצמת משבעקבות האונס א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הרתה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בהתייחס לתסקיר נפגעת העבירה שהוגש בעניינה של א</w:t>
      </w:r>
      <w:r>
        <w:rPr>
          <w:rFonts w:cs="Century" w:ascii="Century" w:hAnsi="Century"/>
          <w:sz w:val="22"/>
          <w:rtl w:val="true"/>
        </w:rPr>
        <w:t xml:space="preserve">', </w:t>
      </w:r>
      <w:r>
        <w:rPr>
          <w:rFonts w:ascii="Century" w:hAnsi="Century" w:cs="Century"/>
          <w:sz w:val="22"/>
          <w:sz w:val="22"/>
          <w:rtl w:val="true"/>
        </w:rPr>
        <w:t>צוין כי מעשיו של המשיב גרמו ל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Miriam" w:hAnsi="Miriam" w:cs="Miriam"/>
          <w:szCs w:val="24"/>
          <w:rtl w:val="true"/>
        </w:rPr>
        <w:t>רעידת אדמה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בחייה ובחיי בני משפחתה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וכי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עסקינן </w:t>
      </w:r>
      <w:r>
        <w:rPr>
          <w:rFonts w:ascii="Miriam" w:hAnsi="Miriam" w:cs="Miriam"/>
          <w:szCs w:val="24"/>
          <w:rtl w:val="true"/>
        </w:rPr>
        <w:t>בפגיעה קשה ביותר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שהשלכותיה בחלקן הן בלתי הפיכות – כאלו שאינן ניתנות לריפוי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>ההדגשות במקור – ג</w:t>
      </w:r>
      <w:r>
        <w:rPr>
          <w:rFonts w:cs="Century" w:ascii="Century" w:hAnsi="Century"/>
          <w:sz w:val="22"/>
          <w:rtl w:val="true"/>
        </w:rPr>
        <w:t>'.</w:t>
      </w:r>
      <w:r>
        <w:rPr>
          <w:rFonts w:ascii="Century" w:hAnsi="Century" w:cs="Century"/>
          <w:sz w:val="22"/>
          <w:sz w:val="22"/>
          <w:rtl w:val="true"/>
        </w:rPr>
        <w:t>ק</w:t>
      </w:r>
      <w:r>
        <w:rPr>
          <w:rFonts w:cs="Century" w:ascii="Century" w:hAnsi="Century"/>
          <w:sz w:val="22"/>
          <w:rtl w:val="true"/>
        </w:rPr>
        <w:t xml:space="preserve">.); </w:t>
      </w:r>
      <w:r>
        <w:rPr>
          <w:rFonts w:ascii="Century" w:hAnsi="Century" w:cs="Century"/>
          <w:sz w:val="22"/>
          <w:sz w:val="22"/>
          <w:rtl w:val="true"/>
        </w:rPr>
        <w:t>כי א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 xml:space="preserve">שהינה כיום כבת </w:t>
      </w:r>
      <w:r>
        <w:rPr>
          <w:rFonts w:cs="Century" w:ascii="Century" w:hAnsi="Century"/>
          <w:sz w:val="22"/>
        </w:rPr>
        <w:t>14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וחצי תהא זקוקה לליווי ולתמיכה מקצועיים לאורך חייה הבוגרים וכי הפרוגנוזה הטיפולית בעניינה מורכבת מאד וכוללת פוסט טראומה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כיום מצויה א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בקבוצת סיכון להיפגע שוב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ושרויה בפחד קיומי מחזרתו של המשיב לחייה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בוגר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ולאחריותו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והנזק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כניסתה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והניתוח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הפסקתו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שייתרה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מותנים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וחייבו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פיצויים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120,000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פיצויים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spacing w:val="10"/>
          <w:sz w:val="24"/>
        </w:rPr>
      </w:pPr>
      <w:r>
        <w:rPr>
          <w:rFonts w:ascii="Miriam" w:hAnsi="Miriam" w:cs="Miriam"/>
          <w:spacing w:val="10"/>
          <w:sz w:val="24"/>
          <w:sz w:val="24"/>
          <w:rtl w:val="true"/>
        </w:rPr>
        <w:t>טענות הצדדים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בערעור שבכתב ובטיעונים לפנינו</w:t>
      </w:r>
      <w:r>
        <w:rPr>
          <w:rtl w:val="true"/>
        </w:rPr>
        <w:t xml:space="preserve">, </w:t>
      </w:r>
      <w:r>
        <w:rPr>
          <w:rtl w:val="true"/>
        </w:rPr>
        <w:t>ביקשה המדינה להחמיר בעונשו של המערער</w:t>
      </w:r>
      <w:r>
        <w:rPr>
          <w:rtl w:val="true"/>
        </w:rPr>
        <w:t xml:space="preserve">. </w:t>
      </w:r>
      <w:r>
        <w:rPr>
          <w:rtl w:val="true"/>
        </w:rPr>
        <w:t>נטען כי המתחם שנקבע בגין עבירת האונס שביצע המשיב בקטינה שהייתה נתונה למרותו והעונש שנגזר בגדרו</w:t>
      </w:r>
      <w:r>
        <w:rPr>
          <w:rtl w:val="true"/>
        </w:rPr>
        <w:t xml:space="preserve">, </w:t>
      </w:r>
      <w:r>
        <w:rPr>
          <w:rtl w:val="true"/>
        </w:rPr>
        <w:t>בהינתן חומרת מעשי המשיב והפגיעה הקשה שפגע בקטינה א</w:t>
      </w:r>
      <w:r>
        <w:rPr>
          <w:rtl w:val="true"/>
        </w:rPr>
        <w:t xml:space="preserve">' </w:t>
      </w:r>
      <w:r>
        <w:rPr>
          <w:rtl w:val="true"/>
        </w:rPr>
        <w:t>ותמונת הנזק הקשה המשתקפת מתסקיר נפגעת העבירה</w:t>
      </w:r>
      <w:r>
        <w:rPr>
          <w:rtl w:val="true"/>
        </w:rPr>
        <w:t xml:space="preserve">, </w:t>
      </w:r>
      <w:r>
        <w:rPr>
          <w:rtl w:val="true"/>
        </w:rPr>
        <w:t>ומסכת האלימות הקשה שהפעיל כלפי שתי הקטינות</w:t>
      </w:r>
      <w:r>
        <w:rPr>
          <w:rtl w:val="true"/>
        </w:rPr>
        <w:t xml:space="preserve">, </w:t>
      </w:r>
      <w:r>
        <w:rPr>
          <w:rtl w:val="true"/>
        </w:rPr>
        <w:t>נמוכים מדי</w:t>
      </w:r>
      <w:r>
        <w:rPr>
          <w:rtl w:val="true"/>
        </w:rPr>
        <w:t xml:space="preserve">; </w:t>
      </w:r>
      <w:r>
        <w:rPr>
          <w:rtl w:val="true"/>
        </w:rPr>
        <w:t>וכי העונש אינו הולם את חומרת המעשים ולא נותן ביטוי לאינטרס של א</w:t>
      </w:r>
      <w:r>
        <w:rPr>
          <w:rtl w:val="true"/>
        </w:rPr>
        <w:t xml:space="preserve">' </w:t>
      </w:r>
      <w:r>
        <w:rPr>
          <w:rtl w:val="true"/>
        </w:rPr>
        <w:t>לשלמות גופה</w:t>
      </w:r>
      <w:r>
        <w:rPr>
          <w:rtl w:val="true"/>
        </w:rPr>
        <w:t xml:space="preserve">, </w:t>
      </w:r>
      <w:r>
        <w:rPr>
          <w:rtl w:val="true"/>
        </w:rPr>
        <w:t>נפשה וכבודה</w:t>
      </w:r>
      <w:r>
        <w:rPr>
          <w:rtl w:val="true"/>
        </w:rPr>
        <w:t xml:space="preserve">. </w:t>
      </w:r>
      <w:r>
        <w:rPr>
          <w:rtl w:val="true"/>
        </w:rPr>
        <w:t>כך נעדר ממנו מסר של הרתעה כלפי מי שמנצל את חולשתם של קטינים ופוגע בהם פגיעה מינית קשה תוך ניצול הקשר המשפחתי</w:t>
      </w:r>
      <w:r>
        <w:rPr>
          <w:rtl w:val="true"/>
        </w:rPr>
        <w:t xml:space="preserve">. </w:t>
      </w:r>
      <w:r>
        <w:rPr>
          <w:rtl w:val="true"/>
        </w:rPr>
        <w:t>המדינה שבה ומבקשת לקבוע את מתחם העונש בעניינו של המשיב כך שזה יחל מ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 מאסר ועד ל</w:t>
      </w:r>
      <w:r>
        <w:rPr>
          <w:rtl w:val="true"/>
        </w:rPr>
        <w:t>-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 מאסר ולגזור את דינו באמצע מתחם זה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 כוח המשיב ביקש לדחות את ערעור המדינה וטען כי העונש שהוטל על המשיב אינו עונש קל כלל ועיקר</w:t>
      </w:r>
      <w:r>
        <w:rPr>
          <w:rtl w:val="true"/>
        </w:rPr>
        <w:t xml:space="preserve">, </w:t>
      </w:r>
      <w:r>
        <w:rPr>
          <w:rtl w:val="true"/>
        </w:rPr>
        <w:t>בהינתן הודאתו של המשיב שייתרה את מעמד שמיעת עדותן של שתי הקטינות על המשתמע מכך</w:t>
      </w:r>
      <w:r>
        <w:rPr>
          <w:rtl w:val="true"/>
        </w:rPr>
        <w:t xml:space="preserve">, </w:t>
      </w:r>
      <w:r>
        <w:rPr>
          <w:rtl w:val="true"/>
        </w:rPr>
        <w:t>נטילת אחריות</w:t>
      </w:r>
      <w:r>
        <w:rPr>
          <w:rtl w:val="true"/>
        </w:rPr>
        <w:t xml:space="preserve">, </w:t>
      </w:r>
      <w:r>
        <w:rPr>
          <w:rtl w:val="true"/>
        </w:rPr>
        <w:t>עברו הנקי ומדיניות הענישה הנוהגת במקרים דומים</w:t>
      </w:r>
      <w:r>
        <w:rPr>
          <w:rtl w:val="true"/>
        </w:rPr>
        <w:t xml:space="preserve">. </w:t>
      </w:r>
      <w:r>
        <w:rPr>
          <w:rtl w:val="true"/>
        </w:rPr>
        <w:t>בהסתמך על פסיקה שהוגשה מטעם ההגנה</w:t>
      </w:r>
      <w:r>
        <w:rPr>
          <w:rtl w:val="true"/>
        </w:rPr>
        <w:t xml:space="preserve">, </w:t>
      </w:r>
      <w:r>
        <w:rPr>
          <w:rtl w:val="true"/>
        </w:rPr>
        <w:t>נטען כי מתחם הענישה והעונש לו עותרת המדינה אינו נתמך בפסיקת בית משפט זה</w:t>
      </w:r>
      <w:r>
        <w:rPr>
          <w:rtl w:val="true"/>
        </w:rPr>
        <w:t xml:space="preserve">, </w:t>
      </w:r>
      <w:r>
        <w:rPr>
          <w:rtl w:val="true"/>
        </w:rPr>
        <w:t>ומכל מקום העונש שהוטל הינו עונש ראוי והולם</w:t>
      </w:r>
      <w:r>
        <w:rPr>
          <w:rtl w:val="true"/>
        </w:rPr>
        <w:t xml:space="preserve">, </w:t>
      </w:r>
      <w:r>
        <w:rPr>
          <w:rtl w:val="true"/>
        </w:rPr>
        <w:t>ולבטח איננו עונש קל הסוטה סטייה משמעותית ממדיניות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דבר שמצדיק התערבותה של ערכאת הערעור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Miriam" w:hAnsi="Miriam" w:cs="Miriam"/>
          <w:szCs w:val="24"/>
        </w:rPr>
      </w:pPr>
      <w:r>
        <w:rPr>
          <w:rFonts w:ascii="Miriam" w:hAnsi="Miriam" w:cs="Miriam"/>
          <w:szCs w:val="24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ששקלנו את טענות הצדדים</w:t>
      </w:r>
      <w:r>
        <w:rPr>
          <w:rtl w:val="true"/>
        </w:rPr>
        <w:t xml:space="preserve">, </w:t>
      </w:r>
      <w:r>
        <w:rPr>
          <w:rtl w:val="true"/>
        </w:rPr>
        <w:t>באנו למסקנה כי העונש שהושת על המערער הקל עמו יתר על המידה ולפיכך דין הערעור להתקבל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אף שמקריאתם של כתב האישום המתוקן וגזר דינו של בית המשפט קמא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משתקפת תמונה חמורה של פגיעה קשה ונזק בלתי הפיך שנגרמו לקטינה שהסיטו את מהלך חייה ממסלולם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התמונה העולה מעיון בתסקיר נפגעת העבירה היא קשה וחמורה הרבה יותר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תיאור הטראומה שעברה א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כ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רעידת אדמה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>דימוי הלקוח מתסקיר נפגעת העבירה משקף היטב את הנזק הקשה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רחב הטווח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במכלול מישורי חייה של הקטינה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והאמירה איננה לתפארת המליצה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המבוגר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40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ואווירת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שהשליט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ונאלצה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להפסקת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ההיריון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וניתוח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הותירו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בטראומה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פיסית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הניתוח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ההתאוששות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מהניתוח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למרכז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לתחושותיה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ולרצונה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במרכז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שלאחריה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וללימודים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הלימודים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היעדרויות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מרובות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ושוטטות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ברחובות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הוחלט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הוצאת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ומוגנת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יושמה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פנימייתית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שתישלח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כשמנגד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מבטאת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כמיהה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להישאר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ולהמשיך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החברתיים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הקהילה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וללמוד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להתנפץ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בקרוב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הפרופיל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האישיותי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ההתנהגותי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והמשפחתי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מאפשרים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השארותה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בקהילה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ומטלטל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בהסתגלות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למסגרות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[...]".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מתסמינים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פוסט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טראומטיים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ועוצמתם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ונמשכת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התסמינים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מתבטאים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בהפרעות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כרוניות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בדימוי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ועיסוק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בשחזור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בקבוצת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חוזרת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הרווחה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מחפש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שתתאים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לצרכיה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השלכותיהן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לריפוי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לסיכום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מהקשות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שהשלכותיה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לריפוי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תזדקק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לליווי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ותמיכה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מקצועיים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הפרוגנוזה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הטיפולית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מורכבת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[...]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צלקת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פיזית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ונפשית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כואבת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צורבת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ומדממת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מבפנים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שחוותה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וחווית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ההתעללות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והפיזית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המתמשכת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שחוותה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ונפשה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השריטות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שנוצרו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בנפשה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וגרמו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לפוסט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טראומה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מורכבת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הפגיעה הקשה</w:t>
      </w:r>
      <w:r>
        <w:rPr>
          <w:rtl w:val="true"/>
        </w:rPr>
        <w:t xml:space="preserve">, </w:t>
      </w:r>
      <w:r>
        <w:rPr>
          <w:rtl w:val="true"/>
        </w:rPr>
        <w:t>הנזק רחב הטווח</w:t>
      </w:r>
      <w:r>
        <w:rPr>
          <w:rtl w:val="true"/>
        </w:rPr>
        <w:t xml:space="preserve">, </w:t>
      </w:r>
      <w:r>
        <w:rPr>
          <w:rtl w:val="true"/>
        </w:rPr>
        <w:t>והבלתי הפיך</w:t>
      </w:r>
      <w:r>
        <w:rPr>
          <w:rtl w:val="true"/>
        </w:rPr>
        <w:t xml:space="preserve">, </w:t>
      </w:r>
      <w:r>
        <w:rPr>
          <w:rtl w:val="true"/>
        </w:rPr>
        <w:t>המקיף את מכלול מישורי חייה של הקטינה</w:t>
      </w:r>
      <w:r>
        <w:rPr>
          <w:rtl w:val="true"/>
        </w:rPr>
        <w:t xml:space="preserve">, </w:t>
      </w:r>
      <w:r>
        <w:rPr>
          <w:rtl w:val="true"/>
        </w:rPr>
        <w:t>מחייבים מתן ביטוי לכך הן בקביעת המתחם והן בגזירת העונש בגדרו</w:t>
      </w:r>
      <w:r>
        <w:rPr>
          <w:rtl w:val="true"/>
        </w:rPr>
        <w:t xml:space="preserve">. </w:t>
      </w:r>
      <w:r>
        <w:rPr>
          <w:rtl w:val="true"/>
        </w:rPr>
        <w:t>כך גם הריונה של הקטינה כתוצאה ממעשה האונס</w:t>
      </w:r>
      <w:r>
        <w:rPr>
          <w:rtl w:val="true"/>
        </w:rPr>
        <w:t xml:space="preserve">, </w:t>
      </w:r>
      <w:r>
        <w:rPr>
          <w:rtl w:val="true"/>
        </w:rPr>
        <w:t>על הנזקים שהתלוו לכך</w:t>
      </w:r>
      <w:r>
        <w:rPr>
          <w:rtl w:val="true"/>
        </w:rPr>
        <w:t xml:space="preserve">, </w:t>
      </w:r>
      <w:r>
        <w:rPr>
          <w:rtl w:val="true"/>
        </w:rPr>
        <w:t>הינו נסיבה מחמירה שהעצימה את הפגיעה ותוצאותיה</w:t>
      </w:r>
      <w:r>
        <w:rPr>
          <w:rtl w:val="true"/>
        </w:rPr>
        <w:t xml:space="preserve">. </w:t>
      </w:r>
      <w:r>
        <w:rPr>
          <w:rtl w:val="true"/>
        </w:rPr>
        <w:t>לנסיבה זו יש לתת ביטוי בתוצאה העונשית</w:t>
      </w:r>
      <w:r>
        <w:rPr>
          <w:rtl w:val="true"/>
        </w:rPr>
        <w:t xml:space="preserve">, </w:t>
      </w:r>
      <w:r>
        <w:rPr>
          <w:rtl w:val="true"/>
        </w:rPr>
        <w:t>מעבר למה שניתן לכך על ידי בית המשפט קמא</w:t>
      </w:r>
      <w:r>
        <w:rPr>
          <w:rtl w:val="true"/>
        </w:rPr>
        <w:t xml:space="preserve">. </w:t>
      </w:r>
      <w:r>
        <w:rPr>
          <w:rtl w:val="true"/>
        </w:rPr>
        <w:t>בנסיבות דומות של נזק קשה וחריג אמר בית המשפט את הדברים הבאים ההולמים לענייננו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spacing w:lineRule="auto" w:line="240"/>
        <w:ind w:start="1644" w:end="1281"/>
        <w:jc w:val="both"/>
        <w:rPr/>
      </w:pPr>
      <w:r>
        <w:rPr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אף לנזק שנגרם למתלוננת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כפי שציין בית משפט קמא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יש לייחס משקל בגזירת 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5703/03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פלונים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''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נז</w:t>
        </w:r>
      </w:hyperlink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176</w:t>
      </w:r>
      <w:r>
        <w:rPr>
          <w:rtl w:val="true"/>
        </w:rPr>
        <w:t xml:space="preserve">, </w:t>
      </w:r>
      <w:r>
        <w:rPr/>
        <w:t>182</w:t>
      </w:r>
      <w:r>
        <w:rPr>
          <w:rtl w:val="true"/>
        </w:rPr>
        <w:t xml:space="preserve"> (</w:t>
      </w:r>
      <w:r>
        <w:rPr/>
        <w:t>2003</w:t>
      </w:r>
      <w:r>
        <w:rPr>
          <w:rtl w:val="true"/>
        </w:rPr>
        <w:t xml:space="preserve">)).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שכפי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6695/08</w:t>
        </w:r>
      </w:hyperlink>
      <w:r>
        <w:rPr>
          <w:rtl w:val="true"/>
        </w:rPr>
        <w:t xml:space="preserve"> </w:t>
      </w:r>
      <w:r>
        <w:rPr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([</w:t>
      </w:r>
      <w:r>
        <w:rPr>
          <w:rtl w:val="true"/>
        </w:rPr>
        <w:t>פורסם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], </w:t>
      </w:r>
      <w:r>
        <w:rPr/>
        <w:t>26.1.09</w:t>
      </w:r>
      <w:r>
        <w:rPr>
          <w:rtl w:val="true"/>
        </w:rPr>
        <w:t xml:space="preserve">)). [...]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מנשוא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לשער</w:t>
      </w:r>
      <w:r>
        <w:rPr>
          <w:rtl w:val="true"/>
        </w:rPr>
        <w:t xml:space="preserve">. </w:t>
      </w:r>
      <w:r>
        <w:rPr>
          <w:rFonts w:ascii="Miriam" w:hAnsi="Miriam" w:cs="Miriam"/>
          <w:sz w:val="24"/>
          <w:sz w:val="24"/>
          <w:szCs w:val="24"/>
          <w:rtl w:val="true"/>
        </w:rPr>
        <w:t>העונש צריך לבטא סלידה מהמעשה ולשמש גורם מרתיע למערער ולעבריינים פוטנציאליים אחרים</w:t>
      </w:r>
      <w:r>
        <w:rPr>
          <w:rFonts w:cs="Miriam" w:ascii="Miriam" w:hAnsi="Miriam"/>
          <w:sz w:val="24"/>
          <w:szCs w:val="24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)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." (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2285/10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</w:t>
      </w:r>
      <w:r>
        <w:rPr/>
        <w:t>2.3.2011</w:t>
      </w:r>
      <w:r>
        <w:rPr>
          <w:rtl w:val="true"/>
        </w:rPr>
        <w:t>)) (</w:t>
      </w:r>
      <w:r>
        <w:rPr>
          <w:rtl w:val="true"/>
        </w:rPr>
        <w:t>ההדגשות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'.</w:t>
      </w:r>
      <w:r>
        <w:rPr>
          <w:rtl w:val="true"/>
        </w:rPr>
        <w:t>ק</w:t>
      </w:r>
      <w:r>
        <w:rPr>
          <w:rtl w:val="true"/>
        </w:rPr>
        <w:t>.).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וחומרתו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החומרא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שפירטנו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מאפילות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והיחידה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בהתייחס לטענת המשיב כי עמדתה העונשית של המדינה אינה עולה בקנה אחד עם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 xml:space="preserve">נשיב כי מדיניות הענישה הינה אך אחד הפרמטרים בהם מסתייע בית המשפט לעיצוב המתחם וכמתבקש גזירת העונש בגדרו </w:t>
      </w:r>
      <w:r>
        <w:rPr>
          <w:rtl w:val="true"/>
        </w:rPr>
        <w:t>(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חסן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(</w:t>
      </w:r>
      <w:r>
        <w:rPr/>
        <w:t>5.6.2013</w:t>
      </w:r>
      <w:r>
        <w:rPr>
          <w:rtl w:val="true"/>
        </w:rPr>
        <w:t xml:space="preserve">);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3819/20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וקנין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(</w:t>
      </w:r>
      <w:r>
        <w:rPr/>
        <w:t>18.10.2020</w:t>
      </w:r>
      <w:r>
        <w:rPr>
          <w:rtl w:val="true"/>
        </w:rPr>
        <w:t xml:space="preserve">)). </w:t>
      </w:r>
      <w:r>
        <w:rPr>
          <w:rtl w:val="true"/>
        </w:rPr>
        <w:t>ידוע הוא שמלאכת גזירת הדין איננה מלאכה חישובית של הצבת נתונים במשוואות</w:t>
      </w:r>
      <w:r>
        <w:rPr>
          <w:rtl w:val="true"/>
        </w:rPr>
        <w:t xml:space="preserve">, </w:t>
      </w:r>
      <w:r>
        <w:rPr>
          <w:rtl w:val="true"/>
        </w:rPr>
        <w:t>כי אם מלאכת מחשבת</w:t>
      </w:r>
      <w:r>
        <w:rPr>
          <w:rtl w:val="true"/>
        </w:rPr>
        <w:t xml:space="preserve">, </w:t>
      </w:r>
      <w:r>
        <w:rPr>
          <w:rtl w:val="true"/>
        </w:rPr>
        <w:t>שנגזרת ממידת הפגיעה בערך המוגן ומנסיבותיו של כל מקרה ומקרה</w:t>
      </w:r>
      <w:r>
        <w:rPr>
          <w:rtl w:val="true"/>
        </w:rPr>
        <w:t xml:space="preserve">, </w:t>
      </w:r>
      <w:r>
        <w:rPr>
          <w:rtl w:val="true"/>
        </w:rPr>
        <w:t>הן בהתייחס לנסיבות העושה והן בהתייחס לנסיבות המעשה</w:t>
      </w:r>
      <w:r>
        <w:rPr>
          <w:rtl w:val="true"/>
        </w:rPr>
        <w:t xml:space="preserve">, </w:t>
      </w:r>
      <w:r>
        <w:rPr>
          <w:rtl w:val="true"/>
        </w:rPr>
        <w:t>שקלא וטריא שנוצקים לתוכה שיקולים ערכיים שלעולם אינם מתמצים בתחשיבים אריתמטיים</w:t>
      </w:r>
      <w:r>
        <w:rPr>
          <w:rtl w:val="true"/>
        </w:rPr>
        <w:t>. "</w:t>
      </w:r>
      <w:r>
        <w:rPr>
          <w:rtl w:val="true"/>
        </w:rPr>
        <w:t xml:space="preserve">נקודת המוצא לבחינת העונש ההולם דבר עבירה הוא בקביעת מתחם הענישה הראוי לעבירה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בנסיבותיה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ובכללן מידת האשם של מבצע העבירה</w:t>
      </w:r>
      <w:r>
        <w:rPr>
          <w:rtl w:val="true"/>
        </w:rPr>
        <w:t>)</w:t>
      </w:r>
      <w:r>
        <w:rPr>
          <w:rtl w:val="true"/>
        </w:rPr>
        <w:t>" (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7655/12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פייסל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(</w:t>
      </w:r>
      <w:r>
        <w:rPr/>
        <w:t>4.4.2013</w:t>
      </w:r>
      <w:r>
        <w:rPr>
          <w:rtl w:val="true"/>
        </w:rPr>
        <w:t>)) (</w:t>
      </w:r>
      <w:r>
        <w:rPr>
          <w:rtl w:val="true"/>
        </w:rPr>
        <w:t xml:space="preserve">ההדגשה הוספה </w:t>
      </w:r>
      <w:r>
        <w:rPr>
          <w:rtl w:val="true"/>
        </w:rPr>
        <w:t>–</w:t>
      </w:r>
      <w:r>
        <w:rPr>
          <w:rtl w:val="true"/>
        </w:rPr>
        <w:t xml:space="preserve"> ג</w:t>
      </w:r>
      <w:r>
        <w:rPr>
          <w:rtl w:val="true"/>
        </w:rPr>
        <w:t>'.</w:t>
      </w:r>
      <w:r>
        <w:rPr>
          <w:rtl w:val="true"/>
        </w:rPr>
        <w:t>ק</w:t>
      </w:r>
      <w:r>
        <w:rPr>
          <w:rtl w:val="true"/>
        </w:rPr>
        <w:t xml:space="preserve">.). </w:t>
      </w:r>
      <w:r>
        <w:rPr>
          <w:rtl w:val="true"/>
        </w:rPr>
        <w:t>מידת אשמו של המשיב ופגיעתו בערכים המוגנים</w:t>
      </w:r>
      <w:r>
        <w:rPr>
          <w:rtl w:val="true"/>
        </w:rPr>
        <w:t xml:space="preserve">, </w:t>
      </w:r>
      <w:r>
        <w:rPr>
          <w:rtl w:val="true"/>
        </w:rPr>
        <w:t>גבוהים וחמורים</w:t>
      </w:r>
      <w:r>
        <w:rPr>
          <w:rtl w:val="true"/>
        </w:rPr>
        <w:t xml:space="preserve">, </w:t>
      </w:r>
      <w:r>
        <w:rPr>
          <w:rtl w:val="true"/>
        </w:rPr>
        <w:t>בהתחשב בניצול מעמדו</w:t>
      </w:r>
      <w:r>
        <w:rPr>
          <w:rtl w:val="true"/>
        </w:rPr>
        <w:t xml:space="preserve">, </w:t>
      </w:r>
      <w:r>
        <w:rPr>
          <w:rtl w:val="true"/>
        </w:rPr>
        <w:t>כוחו ויחסיו עם הקטינה</w:t>
      </w:r>
      <w:r>
        <w:rPr>
          <w:rtl w:val="true"/>
        </w:rPr>
        <w:t xml:space="preserve">, </w:t>
      </w:r>
      <w:r>
        <w:rPr>
          <w:rtl w:val="true"/>
        </w:rPr>
        <w:t>כשפגיעתו בה מותירה אותה פגועה ומצולקת פיסית ונפשית</w:t>
      </w:r>
      <w:r>
        <w:rPr>
          <w:rtl w:val="true"/>
        </w:rPr>
        <w:t xml:space="preserve">. </w:t>
      </w:r>
      <w:r>
        <w:rPr>
          <w:rtl w:val="true"/>
        </w:rPr>
        <w:t xml:space="preserve">יפים לענייננו דבריו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ובראן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>):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ולטעמי</w:t>
      </w:r>
      <w:r>
        <w:rPr>
          <w:rtl w:val="true"/>
        </w:rPr>
        <w:t xml:space="preserve">,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לרעהו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>:</w:t>
      </w:r>
      <w:r>
        <w:rPr>
          <w:rtl w:val="true"/>
        </w:rPr>
        <w:t xml:space="preserve"> '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הנערה</w:t>
      </w:r>
      <w:r>
        <w:rPr>
          <w:rtl w:val="true"/>
        </w:rPr>
        <w:t xml:space="preserve">... </w:t>
      </w:r>
      <w:r>
        <w:rPr>
          <w:rtl w:val="true"/>
        </w:rPr>
        <w:t>והחזיק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עמה</w:t>
      </w:r>
      <w:r>
        <w:rPr>
          <w:rtl w:val="true"/>
        </w:rPr>
        <w:t xml:space="preserve">...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ורצחו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הנערה</w:t>
      </w:r>
      <w:r>
        <w:rPr>
          <w:rtl w:val="true"/>
        </w:rPr>
        <w:t xml:space="preserve">...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'</w:t>
      </w:r>
      <w:r>
        <w:rPr>
          <w:rtl w:val="true"/>
        </w:rPr>
        <w:t xml:space="preserve"> (</w:t>
      </w:r>
      <w:r>
        <w:rPr>
          <w:rFonts w:ascii="Century" w:hAnsi="Century" w:cs="Century"/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-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).</w:t>
      </w:r>
      <w:r>
        <w:rPr>
          <w:rtl w:val="true"/>
        </w:rPr>
        <w:t>" (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4187/04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גנטשקה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(</w:t>
      </w:r>
      <w:r>
        <w:rPr/>
        <w:t>21.6.2006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לאור כל המכלול שפורט לעיל</w:t>
      </w:r>
      <w:r>
        <w:rPr>
          <w:rtl w:val="true"/>
        </w:rPr>
        <w:t xml:space="preserve">, </w:t>
      </w:r>
      <w:r>
        <w:rPr>
          <w:rtl w:val="true"/>
        </w:rPr>
        <w:t xml:space="preserve">הרינו קובעים את המתחם בעניינו של המשיב בגין מכלול העבירות בהן הורשע </w:t>
      </w:r>
      <w:r>
        <w:rPr>
          <w:rtl w:val="true"/>
        </w:rPr>
        <w:t xml:space="preserve">-  </w:t>
      </w:r>
      <w:r>
        <w:rPr>
          <w:rtl w:val="true"/>
        </w:rPr>
        <w:t>החל מ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 מאסר ועד ל</w:t>
      </w:r>
      <w:r>
        <w:rPr>
          <w:rtl w:val="true"/>
        </w:rPr>
        <w:t>-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בהינתן הודיית המשיב</w:t>
      </w:r>
      <w:r>
        <w:rPr>
          <w:rtl w:val="true"/>
        </w:rPr>
        <w:t xml:space="preserve">, </w:t>
      </w:r>
      <w:r>
        <w:rPr>
          <w:rtl w:val="true"/>
        </w:rPr>
        <w:t>שייתרה את מעמד מתן עדותן של הקטינות בבית המשפט</w:t>
      </w:r>
      <w:r>
        <w:rPr>
          <w:rtl w:val="true"/>
        </w:rPr>
        <w:t xml:space="preserve">, </w:t>
      </w:r>
      <w:r>
        <w:rPr>
          <w:rtl w:val="true"/>
        </w:rPr>
        <w:t>ומאחר שערכאת הערעור אינה נוהגת למצות את הדין</w:t>
      </w:r>
      <w:r>
        <w:rPr>
          <w:rtl w:val="true"/>
        </w:rPr>
        <w:t xml:space="preserve">, </w:t>
      </w:r>
      <w:r>
        <w:rPr>
          <w:rtl w:val="true"/>
        </w:rPr>
        <w:t xml:space="preserve">החלטנו להעמיד את עונשו של המשיב על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כאשר יתר חלקי גזר הדין יעמדו בעינם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10.2.2021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20063900</w:t>
      </w:r>
      <w:r>
        <w:rPr>
          <w:sz w:val="16"/>
          <w:rtl w:val="true"/>
        </w:rPr>
        <w:t>_</w:t>
      </w:r>
      <w:r>
        <w:rPr>
          <w:sz w:val="16"/>
        </w:rPr>
        <w:t>Q02.docx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אא</w:t>
      </w:r>
      <w:r>
        <w:rPr>
          <w:rFonts w:cs="Times New Roman"/>
          <w:sz w:val="16"/>
          <w:sz w:val="16"/>
          <w:rtl w:val="true"/>
        </w:rPr>
        <w:t xml:space="preserve"> </w:t>
      </w:r>
      <w:r>
        <w:rPr>
          <w:sz w:val="16"/>
          <w:rtl w:val="true"/>
        </w:rPr>
        <w:t xml:space="preserve">+ </w:t>
      </w:r>
      <w:r>
        <w:rPr>
          <w:sz w:val="16"/>
          <w:sz w:val="16"/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6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ג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קרא </w:t>
      </w:r>
      <w:r>
        <w:rPr>
          <w:rFonts w:cs="David" w:ascii="David" w:hAnsi="David"/>
          <w:color w:val="000000"/>
          <w:szCs w:val="22"/>
        </w:rPr>
        <w:t>54678313-6390/20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8"/>
      <w:footerReference w:type="default" r:id="rId2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6390/20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18"/>
        <w:szCs w:val="24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sz w:val="18"/>
      <w:szCs w:val="24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textAlignment w:val="auto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436064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5.a.1" TargetMode="External"/><Relationship Id="rId5" Type="http://schemas.openxmlformats.org/officeDocument/2006/relationships/hyperlink" Target="http://www.nevo.co.il/law/70301/345.b.1" TargetMode="External"/><Relationship Id="rId6" Type="http://schemas.openxmlformats.org/officeDocument/2006/relationships/hyperlink" Target="http://www.nevo.co.il/law/70301/345.b.3" TargetMode="External"/><Relationship Id="rId7" Type="http://schemas.openxmlformats.org/officeDocument/2006/relationships/hyperlink" Target="http://www.nevo.co.il/law/70301/368b.a" TargetMode="External"/><Relationship Id="rId8" Type="http://schemas.openxmlformats.org/officeDocument/2006/relationships/hyperlink" Target="http://www.nevo.co.il/law/70301/379" TargetMode="External"/><Relationship Id="rId9" Type="http://schemas.openxmlformats.org/officeDocument/2006/relationships/hyperlink" Target="http://www.nevo.co.il/law/70301/382.b.2" TargetMode="External"/><Relationship Id="rId10" Type="http://schemas.openxmlformats.org/officeDocument/2006/relationships/hyperlink" Target="http://www.nevo.co.il/case/24360646" TargetMode="External"/><Relationship Id="rId11" Type="http://schemas.openxmlformats.org/officeDocument/2006/relationships/hyperlink" Target="http://www.nevo.co.il/law/70301/345.a.1" TargetMode="External"/><Relationship Id="rId12" Type="http://schemas.openxmlformats.org/officeDocument/2006/relationships/hyperlink" Target="http://www.nevo.co.il/law/70301/345.b.1" TargetMode="External"/><Relationship Id="rId13" Type="http://schemas.openxmlformats.org/officeDocument/2006/relationships/hyperlink" Target="http://www.nevo.co.il/law/70301/345.b.3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79" TargetMode="External"/><Relationship Id="rId16" Type="http://schemas.openxmlformats.org/officeDocument/2006/relationships/hyperlink" Target="http://www.nevo.co.il/law/70301/382.b.2" TargetMode="External"/><Relationship Id="rId17" Type="http://schemas.openxmlformats.org/officeDocument/2006/relationships/hyperlink" Target="http://www.nevo.co.il/law/70301/368b.a" TargetMode="External"/><Relationship Id="rId18" Type="http://schemas.openxmlformats.org/officeDocument/2006/relationships/hyperlink" Target="http://www.nevo.co.il/case/5716990" TargetMode="External"/><Relationship Id="rId19" Type="http://schemas.openxmlformats.org/officeDocument/2006/relationships/hyperlink" Target="http://www.nevo.co.il/case/6247289" TargetMode="External"/><Relationship Id="rId20" Type="http://schemas.openxmlformats.org/officeDocument/2006/relationships/hyperlink" Target="http://www.nevo.co.il/case/6244156" TargetMode="External"/><Relationship Id="rId21" Type="http://schemas.openxmlformats.org/officeDocument/2006/relationships/hyperlink" Target="http://www.nevo.co.il/case/6473037" TargetMode="External"/><Relationship Id="rId22" Type="http://schemas.openxmlformats.org/officeDocument/2006/relationships/hyperlink" Target="http://www.nevo.co.il/case/26751961" TargetMode="External"/><Relationship Id="rId23" Type="http://schemas.openxmlformats.org/officeDocument/2006/relationships/hyperlink" Target="http://www.nevo.co.il/case/5603213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5818759" TargetMode="External"/><Relationship Id="rId26" Type="http://schemas.openxmlformats.org/officeDocument/2006/relationships/hyperlink" Target="http://supreme.court.gov.il/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2021-02-11T10:23:00Z</dcterms:created>
  <dc:creator>h4</dc:creator>
  <dc:description/>
  <cp:keywords/>
  <dc:language>en-IL</dc:language>
  <cp:lastModifiedBy>orly</cp:lastModifiedBy>
  <cp:lastPrinted>2021-02-10T16:07:00Z</cp:lastPrinted>
  <dcterms:modified xsi:type="dcterms:W3CDTF">2021-02-11T10:23:00Z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24360646:2;5716990;6247289;6244156;6473037;26751961;5603213;5818759</vt:lpwstr>
  </property>
  <property fmtid="{D5CDD505-2E9C-101B-9397-08002B2CF9AE}" pid="9" name="CITY">
    <vt:lpwstr/>
  </property>
  <property fmtid="{D5CDD505-2E9C-101B-9397-08002B2CF9AE}" pid="10" name="DATE">
    <vt:lpwstr>20210210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ג' קרא;ע' גרוסקופף;א' שטיין</vt:lpwstr>
  </property>
  <property fmtid="{D5CDD505-2E9C-101B-9397-08002B2CF9AE}" pid="14" name="LAWLISTTMP1">
    <vt:lpwstr>70301/345.a.1;345.b.1;345.b.3;379;382.b.2;368b.a</vt:lpwstr>
  </property>
  <property fmtid="{D5CDD505-2E9C-101B-9397-08002B2CF9AE}" pid="15" name="LAWYER">
    <vt:lpwstr>פאר סאהר;עילית מידן;גרשון גרונפלד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</vt:lpwstr>
  </property>
  <property fmtid="{D5CDD505-2E9C-101B-9397-08002B2CF9AE}" pid="48" name="NOSE31">
    <vt:lpwstr>מדיניות ענישה: עבירות מין בקטינים</vt:lpwstr>
  </property>
  <property fmtid="{D5CDD505-2E9C-101B-9397-08002B2CF9AE}" pid="49" name="NOSE310">
    <vt:lpwstr/>
  </property>
  <property fmtid="{D5CDD505-2E9C-101B-9397-08002B2CF9AE}" pid="50" name="NOSE32">
    <vt:lpwstr>מדיניות ענישה: התערבות ערכאת ערעור</vt:lpwstr>
  </property>
  <property fmtid="{D5CDD505-2E9C-101B-9397-08002B2CF9AE}" pid="51" name="NOSE33">
    <vt:lpwstr>מדיניות ענישה: שיקולים לחומרה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16970;8982;8995</vt:lpwstr>
  </property>
  <property fmtid="{D5CDD505-2E9C-101B-9397-08002B2CF9AE}" pid="59" name="PADIDATE">
    <vt:lpwstr>20210211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6390</vt:lpwstr>
  </property>
  <property fmtid="{D5CDD505-2E9C-101B-9397-08002B2CF9AE}" pid="65" name="PROCYEAR">
    <vt:lpwstr>20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410120210210</vt:lpwstr>
  </property>
  <property fmtid="{D5CDD505-2E9C-101B-9397-08002B2CF9AE}" pid="69" name="TYPE_N_DATE">
    <vt:lpwstr>41020210210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