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9"/>
        <w:gridCol w:w="3117"/>
        <w:gridCol w:w="4394"/>
        <w:gridCol w:w="633"/>
        <w:gridCol w:w="137"/>
      </w:tblGrid>
      <w:tr>
        <w:trPr/>
        <w:tc>
          <w:tcPr>
            <w:tcW w:w="7650" w:type="dxa"/>
            <w:gridSpan w:val="3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FirstLawyer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770" w:type="dxa"/>
            <w:gridSpan w:val="2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4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6434/15</w:t>
            </w:r>
            <w:bookmarkEnd w:id="1"/>
          </w:p>
        </w:tc>
      </w:tr>
      <w:tr>
        <w:trPr>
          <w:trHeight w:val="342" w:hRule="atLeast"/>
        </w:trPr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4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838/16</w:t>
            </w:r>
          </w:p>
        </w:tc>
      </w:tr>
      <w:tr>
        <w:trPr>
          <w:trHeight w:val="287" w:hRule="atLeast"/>
        </w:trPr>
        <w:tc>
          <w:tcPr>
            <w:tcW w:w="3256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027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רובינשטיין</w:t>
            </w:r>
          </w:p>
        </w:tc>
        <w:tc>
          <w:tcPr>
            <w:tcW w:w="137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56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7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  <w:tc>
          <w:tcPr>
            <w:tcW w:w="137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56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7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  <w:tc>
          <w:tcPr>
            <w:tcW w:w="137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2" w:name="LastJudge"/>
      <w:bookmarkStart w:id="3" w:name="LastJudge"/>
      <w:bookmarkEnd w:id="3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6434/15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838/16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ריאד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משרהאוי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5"/>
        <w:gridCol w:w="5238"/>
      </w:tblGrid>
      <w:tr>
        <w:trPr/>
        <w:tc>
          <w:tcPr>
            <w:tcW w:w="3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6434/15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חכים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שביר</w:t>
            </w:r>
          </w:p>
        </w:tc>
      </w:tr>
      <w:tr>
        <w:trPr/>
        <w:tc>
          <w:tcPr>
            <w:tcW w:w="3285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838/16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</w:t>
            </w:r>
          </w:p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6.9.2015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21.9.2015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35009-01-15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ביתן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20.12.2015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28.1.2016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37117-02-15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עדן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טיעון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המדינה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13.2.2017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טיעון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המערער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4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838/16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ומטעם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המשיב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5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6434/15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19.3.2017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תאריכי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הישיבות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21.12.15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6.7.2016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פטר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גז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838/16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6434/15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חמזה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מואנס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איאד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איברהים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2016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איסור מימון טרור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סמכויות שעת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חירום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hyperlink r:id="rId44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5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ברק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פרשנות במשפט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כרך 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פרשנות החקיקה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התשנ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6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מעבר לספק סביר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גמישות ההוכחה בדין הפלילי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2013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inks_Kitvei_Start"/>
      <w:bookmarkStart w:id="7" w:name="Links_End"/>
      <w:bookmarkStart w:id="8" w:name="Links_Kitvei_Start"/>
      <w:bookmarkStart w:id="9" w:name="Links_End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47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8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דפנה ברק־ארז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המאבק המשפטי בטרור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ההיבט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לב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יוני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2010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47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9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דפנה ברק־ארז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דודי זכריה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הסתה לטרור וגבולות חופש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לה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2013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555</w:t>
        </w:r>
      </w:hyperlink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המתגוררים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ומציעים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מרכולתם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מוכרים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שבבעלותם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הקונקרטיות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בטרור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מוכרת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המתגוררים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ומציעים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מרכולתם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מוכרים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שבבעלותם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שהתעוררה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hyperlink r:id="rId5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6434/15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hyperlink r:id="rId5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838/16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משרהאוי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תושבי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שהתפרנסו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חשמל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הרצועה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שמכרו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לגורמי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5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תקנה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85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5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תקנות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ההגנה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שעת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חירום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1945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שבמועדים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לכתבי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בתוקף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משרהאוי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ומשרהאוי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ועומד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לביטולן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54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תקנה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85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5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23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פורסמה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פרקליט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2.30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שכותרתה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העמדה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פרקליט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ההנחיה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זילברטל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רובינשטיין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משרהאוי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חקיקתה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5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23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הנורמטיבית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הנורמטיבית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שנבחנה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חיקוק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5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לתקנה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85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בהגדרת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הנלווה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ההבדלים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5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5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5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ומשרהאוי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התגבשות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cs="FrankRuehl" w:ascii="Times New Roman" w:hAnsi="Times New Roman"/>
          <w:spacing w:val="0"/>
          <w:sz w:val="24"/>
          <w:szCs w:val="26"/>
        </w:rPr>
        <w:t>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שסופקו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לאפשר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הארגון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העקרונות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שרטוט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מצמצמים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הייחודיות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גיסא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הפיקוח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הישראלי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ומאידך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גיסא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היומיומית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שמשמעותה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מהתושבים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הבגירים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כלשהו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לגורמי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למוסדות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שהרצועה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בריבונות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שרטוט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משרהאוי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הפרוטקטיבית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גלומה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טבועה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הפרוטקטיבית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שכוונו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שנסיבותיהם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מלמדות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מוחשית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החיוניים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שמשקלן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ברצועה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ופעילותו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תגדל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להפלילו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ולהיפך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מצומצם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להפלילן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שמסייע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ביודעין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המטרות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שהותוו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בהנחיית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פרקליט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שסופקו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מחייבת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אינדיקציה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לקידום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יוזם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האקלים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הבטחוני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תדירות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התקופה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להבדיל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המשתייכים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)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העסקים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שאספקת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למטרות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הסחורה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משרהאוי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שסיפקו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לחמאס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משרהאוי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לחמאס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מפריסתה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שנדונו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וברצועת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3" w:name="ABSTRACT_END"/>
      <w:bookmarkStart w:id="14" w:name="LawTable_End"/>
      <w:bookmarkStart w:id="15" w:name="ABSTRACT_END"/>
      <w:bookmarkStart w:id="16" w:name="LawTable_End"/>
      <w:bookmarkEnd w:id="15"/>
      <w:bookmarkEnd w:id="1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7" w:name="PsakDin"/>
            <w:bookmarkStart w:id="18" w:name="Links_Kitvei_End"/>
            <w:bookmarkEnd w:id="17"/>
            <w:bookmarkEnd w:id="18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20" w:name="Start_Write"/>
      <w:bookmarkEnd w:id="20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סוחרים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מרכולתם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הנורמטיבית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שעניינן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ההגנה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שעת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חירום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תקנות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</w:t>
      </w:r>
      <w:r>
        <w:rPr>
          <w:rFonts w:cs="FrankRuehl"/>
          <w:sz w:val="28"/>
          <w:szCs w:val="28"/>
          <w:rtl w:val="true"/>
        </w:rPr>
        <w:t>"(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</w:p>
    <w:p>
      <w:pPr>
        <w:pStyle w:val="Ruller5"/>
        <w:ind w:start="2364"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 ...</w:t>
      </w:r>
    </w:p>
    <w:p>
      <w:pPr>
        <w:pStyle w:val="Ruller5"/>
        <w:ind w:start="2364"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 ...</w:t>
      </w:r>
    </w:p>
    <w:p>
      <w:pPr>
        <w:pStyle w:val="Ruller5"/>
        <w:ind w:start="2676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מותרת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) ...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Cs w:val="28"/>
          <w:rtl w:val="true"/>
        </w:rPr>
        <w:t xml:space="preserve">                  </w:t>
      </w:r>
    </w:p>
    <w:p>
      <w:pPr>
        <w:pStyle w:val="Ruller5"/>
        <w:ind w:start="2655" w:end="1282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יהיה</w:t>
      </w:r>
      <w:r>
        <w:rPr>
          <w:rFonts w:eastAsia="Arial TUR;Arial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צפוי</w:t>
      </w:r>
      <w:r>
        <w:rPr>
          <w:rFonts w:eastAsia="Arial TUR;Arial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להיות</w:t>
      </w:r>
      <w:r>
        <w:rPr>
          <w:rFonts w:eastAsia="Arial TUR;Arial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נשפט</w:t>
      </w:r>
      <w:r>
        <w:rPr>
          <w:rFonts w:eastAsia="Arial TUR;Arial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באופן</w:t>
      </w:r>
      <w:r>
        <w:rPr>
          <w:rFonts w:eastAsia="Arial TUR;Arial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תכוף</w:t>
      </w:r>
      <w:r>
        <w:rPr>
          <w:rFonts w:eastAsia="Arial TUR;Arial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eastAsia="Arial TUR;Arial"/>
          <w:sz w:val="26"/>
          <w:sz w:val="26"/>
          <w:szCs w:val="26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5"/>
        <w:ind w:start="2655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Ruller5"/>
        <w:ind w:firstLine="135" w:start="2520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5"/>
        <w:ind w:start="2655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>".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בטרור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התשע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)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, '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מלברר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שאסקור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וריאד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שהתפרנסו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משפטיהם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בעיקרם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הגרעין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35009-01-15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החרמתם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24.9.2015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37117-02-15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ומשרהאוי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6434/15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15.9.1989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כחשמלאי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תיסיר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נורווגיים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חשמליים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הפעילים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בדולרים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והאלקטרודות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שהאלקטרודות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המאבטחים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הבודקים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האלקטרודות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המאבטחים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הבודקים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שלגביהם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במתקני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גינון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ניקיון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ונגישים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ופעילותו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במתקני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כוונו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כדוגמה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תדלוק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המשכללות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שהכנסתם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משרהאוי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באביזרי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והנדסה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2014-2013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UPS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2014-2013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מהנדסים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בהשכלתם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2014-2012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כחשמלאי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פרוז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קטורים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פנאומטיים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במכרז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2015-2005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לאוניברסיטת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הטכנולוגיה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פרוז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קטורים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התשיעי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העשירי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האחד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השנים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מגנומטר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המגנומטר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במנהרות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במנהרות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מימון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טרור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איסור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מימון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משרהאוי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UPS</w:t>
      </w:r>
      <w:r>
        <w:rPr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שנסבה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לגבולותיה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כהתאחדות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וחריגות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ותכליתו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גינון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ניקיון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נכנסים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ותכליתה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עבודה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האקסטרה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טריטוריאלית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שבפנינו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6434/15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התאחדות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383/16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מעיסוקם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לקוחותיהם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הפרוטקטיבית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הלגיטימיות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לתשאול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תשאול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השתלשלות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והתפתחויות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נוספות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יישמעו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1.11.2016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ופיברגלס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3968/16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צעידי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7.7.2015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צעידי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הנחיית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פרקליט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שכותרתה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הנחיית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פרקליט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ההנחיה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תכליתה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האופרטיבי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החיקוקים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ומסחר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שיצדיקו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למניעיו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לתוצאותיו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והכפיפות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אופיו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המסופק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האמצעי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המסופק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אספקת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מוצרים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שהכנסתם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לרצועת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מחייבת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זהות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הגורם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זהותו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יוזם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נמכר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המוצר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תדירות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היקף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המשתייכים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קיומה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לצדם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נגישותו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וזמינותו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הואצלה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הטיעונים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בעקבות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הנחיית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פרקליט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1067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הצעת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1784/14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עאשור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3.9.2015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עאשור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במהותו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ונפוצים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תכופים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הרוכשים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אוניברסיטאות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6434/15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838/16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לפרסומה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לפרסומה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לפרסומה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תהומיים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הנורמטיבית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בטרור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והוחלפה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והמינהלי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מסדיר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שטופלו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מניעת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מימון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טרור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מנדטורית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680/88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שניצר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הצנזור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הצבאי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הראשי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יצחק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שני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628-626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אהרן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פרשנות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במשפט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כרך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שני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חקיקתה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)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8273/13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עיריית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אביב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יפו</w:t>
      </w:r>
      <w:r>
        <w:rPr>
          <w:rFonts w:cs="Miriam"/>
          <w:spacing w:val="0"/>
          <w:sz w:val="24"/>
          <w:szCs w:val="24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חיימוביץ</w:t>
      </w:r>
      <w:r>
        <w:rPr>
          <w:rFonts w:cs="Miriam"/>
          <w:spacing w:val="0"/>
          <w:sz w:val="24"/>
          <w:szCs w:val="24"/>
          <w:rtl w:val="true"/>
        </w:rPr>
        <w:t xml:space="preserve">', </w:t>
      </w:r>
      <w:r>
        <w:rPr>
          <w:rFonts w:cs="Miriam"/>
          <w:spacing w:val="0"/>
          <w:sz w:val="24"/>
          <w:sz w:val="24"/>
          <w:szCs w:val="24"/>
          <w:rtl w:val="true"/>
        </w:rPr>
        <w:t>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25.12.2014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יורם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ויניב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</w:rPr>
        <w:t>144-135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מהדורה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רוככה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הנותן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נוסחה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יקדם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12.11.2015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והשאלות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מעוררת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405" w:start="1200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; </w:t>
      </w:r>
    </w:p>
    <w:p>
      <w:pPr>
        <w:pStyle w:val="Ruller41"/>
        <w:ind w:hanging="405" w:start="1200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שסופקו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; </w:t>
      </w:r>
    </w:p>
    <w:p>
      <w:pPr>
        <w:pStyle w:val="Ruller41"/>
        <w:ind w:hanging="405" w:start="1200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)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עצימת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עיניים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הגרעיניים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במהותם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ביגוד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מסופקים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כימאי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הבינלאומי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הפומבי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769/02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הועד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הציבורי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נגד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עינויים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ממשלת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507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567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הסיכולים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הממוקדים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וחינוך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רגילות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המספקים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לשרטוט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תכלית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מניעת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אוניברסאלי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וזריעת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האוכלוסייה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שמצריכה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בעשורים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בינלאומית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דפנה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ברק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ארז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בטרור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ההיבט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המוסדי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עיוני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שנחקקה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שהמלחמה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במשאבים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ובפעילותם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דפנה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זכריה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הסתה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לטרור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וגבולות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חופש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עקיפות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עיוני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555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פגיעה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במעטפת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לנטרולה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ובמנגנונים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צמיחתה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P00"/>
        <w:spacing w:before="72" w:after="0"/>
        <w:ind w:start="0" w:end="1134"/>
        <w:jc w:val="both"/>
        <w:rPr/>
      </w:pPr>
      <w:r>
        <w:rPr>
          <w:rStyle w:val="default"/>
          <w:rFonts w:cs="Times New Roman"/>
          <w:sz w:val="26"/>
          <w:szCs w:val="26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מטרתו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והמינהלי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 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ופעילותם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 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תכליתה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שניתנים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כחלק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ממכלול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חקיקתי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start="2880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מסתור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Ruller5"/>
        <w:ind w:start="2880"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מקרקעין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start="2880" w:end="1282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מדוקדקת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3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24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להתגבשותה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הספציפיות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השוררות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בעזה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פיקוח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ושליטה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חמאס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הפוליטיות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היומיומית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המשמעות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הפיקוח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הישראלי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הטובין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הנכנסים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לרצועת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הבינלאומי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9132/07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אלבסיוני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ראש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הממשלה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30.1.2008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הנכנסים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4356/16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מצלאח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23.4.2017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מצלאח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נשאלת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השליטה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היומיומית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ברצועת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והתקשרויות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למוסדות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סוחרים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מחתרתי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שמשמעותה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1169/09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ראש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הממשלה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15.6.2009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665/79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וינוגרד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לתושביו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יומיומיות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הסיכולים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הממוקדים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574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8638/11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23.2.2015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8638/11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כרטיס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האקסטרה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טריטוריאלית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שרירותית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6358/05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ואנונו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אלוף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פיקוד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העורף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12.1.2006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שרירותית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5975/14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אגבריה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31.12.2015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לכינונו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וידבסקי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5.7.2015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שפרשנות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מרחיבה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שמבוצעים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להפללתם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שרירותית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אלעמור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12.1.2017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אלעמור</w:t>
      </w:r>
      <w:r>
        <w:rPr>
          <w:rFonts w:cs="FrankRuehl"/>
          <w:sz w:val="28"/>
          <w:szCs w:val="28"/>
          <w:rtl w:val="true"/>
        </w:rPr>
        <w:t>)):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כורחם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לכידתם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הישראלי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בלבד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העבריינים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הפוטנציאליים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תושבי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הרצועה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במקרים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הנדון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תוצאה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אקראי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>)"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מהמקובץ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שרטוט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הפסיקתי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בנוגע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לאכיפת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תושבי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ללימוד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טמטאווי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הטיפוסיים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מבצעית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תצפיות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6005/10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7.3.2012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2359/11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28.6.2012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חמד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2152/11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דאהר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1.7.2012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דאהר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8388/10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28.11.2012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עאקל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23.4.2013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אלעמור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6414/11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23.12.2013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עאקל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תצפיות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חמד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דאהר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27.3.2007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6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3827/06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מפקד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הצבאית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באזור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התנהלותו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כהתנהלות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'). 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היבטים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פרשניים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והתנאים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השלטוניים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מתבצעים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בקודקס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U.S.C § 2339B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i/>
          <w:iCs/>
        </w:rPr>
        <w:t xml:space="preserve">Holder v. Humanitarian Law </w:t>
      </w:r>
      <w:r>
        <w:rPr>
          <w:rFonts w:cs="Century" w:ascii="Century" w:hAnsi="Century"/>
          <w:i/>
          <w:iCs/>
        </w:rPr>
        <w:t>P</w:t>
      </w:r>
      <w:r>
        <w:rPr>
          <w:rFonts w:cs="Times New Roman" w:ascii="Times New Roman" w:hAnsi="Times New Roman"/>
          <w:i/>
          <w:iCs/>
        </w:rPr>
        <w:t>roject,</w:t>
      </w:r>
      <w:r>
        <w:rPr>
          <w:rFonts w:cs="Times New Roman" w:ascii="Times New Roman" w:hAnsi="Times New Roman"/>
        </w:rPr>
        <w:t xml:space="preserve"> 561 U.S. 1 (2010)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עאשור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פעילי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במזרח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באזרחים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ובמנגנונים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צמיחתו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>" (</w:t>
      </w:r>
      <w:hyperlink r:id="rId1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הריבוני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hyperlink r:id="rId1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4596/05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רוזנשטיין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353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383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הפרוטקטיבית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באינטרסים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9334/08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23.11.2011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7742/15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היועץ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לממשלה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וטבען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ותצמח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8831/08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אלשחרה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30.6.2010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אלשחרה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34-29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/>
          <w:sz w:val="24"/>
          <w:szCs w:val="24"/>
        </w:rPr>
        <w:t>80</w:t>
      </w:r>
      <w:r>
        <w:rPr>
          <w:rStyle w:val="Ruller4"/>
          <w:rFonts w:cs="FrankRuehl"/>
          <w:sz w:val="28"/>
          <w:szCs w:val="28"/>
          <w:rtl w:val="true"/>
        </w:rPr>
        <w:t xml:space="preserve">.      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האם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ראוי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להעמיד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לדין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בישראל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מכוח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הזיקה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הפרוטקטיבית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אדם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שביצע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לארגון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טרור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מחוץ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לתחומי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מדינת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ישראל</w:t>
      </w:r>
      <w:r>
        <w:rPr>
          <w:rStyle w:val="Ruller4"/>
          <w:rFonts w:cs="FrankRuehl"/>
          <w:sz w:val="28"/>
          <w:szCs w:val="28"/>
          <w:rtl w:val="true"/>
        </w:rPr>
        <w:t xml:space="preserve">?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להשקפתי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התשובה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לכך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חיובית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במישור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העקרוני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קשה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להטיל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ספק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בכך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לארגון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טרור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גלומה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סכנה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טבועה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לביטחון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מטרת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ארגוני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הטרור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ובכלל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ארגון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חמאס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פגיעה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בביטחון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ואזרחיה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במקרים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רבים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סיוע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ושירות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לפעולות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טרור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משרת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הגשמתה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מטרה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זו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בהתאם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לכך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בעבר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בפסיקה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"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מעשיו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פלוני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המהווים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חוליה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בשרשרת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הטרור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מדובר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במימון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פעילות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ארגון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טרור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מדובר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בהברחת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לידי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אותו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ארגון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מהווים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איום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קונקרטי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לביטחון</w:t>
      </w:r>
      <w:r>
        <w:rPr>
          <w:rStyle w:val="Ruller4"/>
          <w:rFonts w:cs="FrankRuehl"/>
          <w:sz w:val="28"/>
          <w:szCs w:val="28"/>
          <w:rtl w:val="true"/>
        </w:rPr>
        <w:t>" (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עניין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בפסקה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</w:rPr>
        <w:t>29</w:t>
      </w:r>
      <w:r>
        <w:rPr>
          <w:rStyle w:val="Ruller4"/>
          <w:rFonts w:cs="FrankRuehl"/>
          <w:sz w:val="28"/>
          <w:szCs w:val="28"/>
          <w:rtl w:val="true"/>
        </w:rPr>
        <w:t xml:space="preserve">).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ואכן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הכיר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בסמכות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לשפוט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בישראל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נאשמים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שסיפקו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אמצעים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תמיכה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לארגוני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טרור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מחוץ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לגבולות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וברצועת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עזה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ספציפי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(</w:t>
      </w:r>
      <w:r>
        <w:rPr>
          <w:rStyle w:val="Ruller4"/>
          <w:rFonts w:cs="FrankRuehl"/>
          <w:sz w:val="28"/>
          <w:sz w:val="28"/>
          <w:szCs w:val="28"/>
          <w:rtl w:val="true"/>
        </w:rPr>
        <w:t>ראו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למשל</w:t>
      </w:r>
      <w:r>
        <w:rPr>
          <w:rStyle w:val="Ruller4"/>
          <w:rFonts w:cs="FrankRuehl"/>
          <w:sz w:val="28"/>
          <w:szCs w:val="28"/>
          <w:rtl w:val="true"/>
        </w:rPr>
        <w:t xml:space="preserve">: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עניין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Style w:val="Ruller4"/>
          <w:rFonts w:cs="FrankRuehl"/>
          <w:sz w:val="28"/>
          <w:szCs w:val="28"/>
          <w:rtl w:val="true"/>
        </w:rPr>
        <w:t xml:space="preserve">; </w:t>
      </w:r>
      <w:hyperlink r:id="rId159">
        <w:r>
          <w:rPr>
            <w:rStyle w:val="Hyperlink"/>
            <w:rFonts w:ascii="Arial TUR;Arial" w:hAnsi="Arial TUR;Arial" w:cs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Miriam"/>
            <w:color w:val="0000FF"/>
            <w:spacing w:val="0"/>
            <w:sz w:val="24"/>
            <w:szCs w:val="24"/>
            <w:u w:val="single"/>
          </w:rPr>
          <w:t>3827/06</w:t>
        </w:r>
      </w:hyperlink>
      <w:r>
        <w:rPr>
          <w:rStyle w:val="Ruller4"/>
          <w:rFonts w:cs="FrankRuehl"/>
          <w:sz w:val="28"/>
          <w:szCs w:val="28"/>
          <w:rtl w:val="true"/>
        </w:rPr>
        <w:t xml:space="preserve">) </w:t>
      </w:r>
      <w:r>
        <w:rPr>
          <w:rStyle w:val="Ruller4"/>
          <w:rFonts w:cs="David"/>
          <w:spacing w:val="0"/>
          <w:sz w:val="22"/>
          <w:szCs w:val="24"/>
          <w:rtl w:val="true"/>
        </w:rPr>
        <w:t>[</w:t>
      </w:r>
      <w:r>
        <w:rPr>
          <w:rStyle w:val="Ruller4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Ruller4"/>
          <w:rFonts w:ascii="Times New Roman" w:hAnsi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Ruller4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Ruller4"/>
          <w:rFonts w:cs="David"/>
          <w:spacing w:val="0"/>
          <w:sz w:val="22"/>
          <w:szCs w:val="24"/>
          <w:rtl w:val="true"/>
        </w:rPr>
        <w:t>]</w:t>
      </w:r>
      <w:r>
        <w:rPr>
          <w:rStyle w:val="Ruller4"/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Ruller4"/>
          <w:rFonts w:cs="FrankRuehl"/>
          <w:sz w:val="28"/>
          <w:szCs w:val="28"/>
        </w:rPr>
        <w:t>81</w:t>
      </w:r>
      <w:r>
        <w:rPr>
          <w:rStyle w:val="Ruller4"/>
          <w:rFonts w:cs="FrankRuehl"/>
          <w:sz w:val="28"/>
          <w:szCs w:val="28"/>
          <w:rtl w:val="true"/>
        </w:rPr>
        <w:t xml:space="preserve">.     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כן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אינני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רואה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לאמץ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שהוצע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בפסק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דינו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בעניינו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שביר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לעניין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תחולתה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הזיקה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הפרוטקטיבית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("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מעשי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שכוונו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במיוחד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לפגיעה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בבטחון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ישראל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שכאלה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שנסיבותיהם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מלמדות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קיומה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סכנה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מוחשית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בדרגת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ודאות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קרובה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לפגיעה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בביטחון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Ruller4"/>
          <w:rFonts w:cs="FrankRuehl"/>
          <w:sz w:val="28"/>
          <w:szCs w:val="28"/>
          <w:rtl w:val="true"/>
        </w:rPr>
        <w:t>" (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בעמ</w:t>
      </w:r>
      <w:r>
        <w:rPr>
          <w:rStyle w:val="Ruller4"/>
          <w:rFonts w:cs="FrankRuehl"/>
          <w:sz w:val="28"/>
          <w:szCs w:val="28"/>
          <w:rtl w:val="true"/>
        </w:rPr>
        <w:t xml:space="preserve">' </w:t>
      </w:r>
      <w:r>
        <w:rPr>
          <w:rStyle w:val="Ruller4"/>
          <w:rFonts w:cs="FrankRuehl"/>
          <w:sz w:val="28"/>
          <w:szCs w:val="28"/>
        </w:rPr>
        <w:t>52</w:t>
      </w:r>
      <w:r>
        <w:rPr>
          <w:rStyle w:val="Ruller4"/>
          <w:rFonts w:cs="FrankRuehl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להכרעת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"/>
          <w:rFonts w:cs="FrankRuehl"/>
          <w:sz w:val="28"/>
          <w:szCs w:val="28"/>
          <w:rtl w:val="true"/>
        </w:rPr>
        <w:t xml:space="preserve">).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זהו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מבחן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צר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יתר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המידה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חורג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ממה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בעבר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בפסיקה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(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השוו</w:t>
      </w:r>
      <w:r>
        <w:rPr>
          <w:rStyle w:val="Ruller4"/>
          <w:rFonts w:cs="FrankRuehl"/>
          <w:sz w:val="28"/>
          <w:szCs w:val="28"/>
          <w:rtl w:val="true"/>
        </w:rPr>
        <w:t xml:space="preserve">: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עניין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בפסקאות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</w:rPr>
        <w:t>31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Cs w:val="28"/>
        </w:rPr>
        <w:t>37-36</w:t>
      </w:r>
      <w:r>
        <w:rPr>
          <w:rStyle w:val="Ruller4"/>
          <w:rFonts w:cs="FrankRuehl"/>
          <w:sz w:val="28"/>
          <w:szCs w:val="28"/>
          <w:rtl w:val="true"/>
        </w:rPr>
        <w:t xml:space="preserve">;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עניין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אלשחרה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בפסקאות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</w:rPr>
        <w:t>26-25</w:t>
      </w:r>
      <w:r>
        <w:rPr>
          <w:rStyle w:val="Ruller4"/>
          <w:rFonts w:cs="FrankRuehl"/>
          <w:sz w:val="28"/>
          <w:szCs w:val="28"/>
          <w:rtl w:val="true"/>
        </w:rPr>
        <w:t xml:space="preserve">).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אכן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עיון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דינו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שביר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מבחן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הוצע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rFonts w:cs="FrankRuehl"/>
          <w:sz w:val="28"/>
          <w:szCs w:val="28"/>
          <w:rtl w:val="true"/>
        </w:rPr>
        <w:t>-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ידו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במטרה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לאזן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שמירה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האינטרסים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החיוניים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ישראל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לבין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הנסיבות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המיוחדות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השוררות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בעזה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אולם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אני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סבורה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שנסיבות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שמשקלן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דנן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גבוה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יותר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מעבירות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אחרות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צריכות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למצוא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ביטוין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תפורש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עצמה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לכך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אפנה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"/>
          <w:rFonts w:cs="FrankRuehl"/>
          <w:sz w:val="28"/>
          <w:szCs w:val="28"/>
          <w:rtl w:val="true"/>
        </w:rPr>
        <w:t>.</w:t>
      </w:r>
      <w:r>
        <w:rPr>
          <w:rStyle w:val="Ruller4"/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שיקולים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מנחים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לפרשנות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תושב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רצועת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ומקבל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חמאס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שרטוט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בייחודיותה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להתוויית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ופעילותו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ולהיפך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160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3827/06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הנזכר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שבבואנו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10987/07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644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693-677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2996/09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11.5.2011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6237/12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ולאני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6.9.2016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כחלק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העסקים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היומיומי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צעידי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במהותם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4004/93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יעקובוביץ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133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קניין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2568/97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כנען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ממשלת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ארצות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הברית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פירעון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4269/11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יהודה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אלקלעי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מפרקה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אקסלרוד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יאיר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19.6.2013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הסוחר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נועדה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לשמש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במקצוע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במלאכה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בעסק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קונקלוסיבי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ייתכנו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לקוחותיו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מהנדס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ספוראדית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65-63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מהכלל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הפרט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להרשיע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משרהאוי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להתאחדות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מותרת</w:t>
      </w:r>
      <w:r>
        <w:rPr>
          <w:rFonts w:cs="Miriam"/>
          <w:spacing w:val="0"/>
          <w:sz w:val="24"/>
          <w:szCs w:val="24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להנמקה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המבחנים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כחשמלאי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44-41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מנומקת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לרוכשים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רוכשי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בחינתן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אופיים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האמצעים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שסופקו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קיומו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צורך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להכנסת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האמצעי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לרצועת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העדרו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הגורם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.         </w:t>
      </w:r>
      <w:r>
        <w:rPr>
          <w:rFonts w:cs="Miriam"/>
          <w:spacing w:val="0"/>
          <w:sz w:val="24"/>
          <w:sz w:val="24"/>
          <w:szCs w:val="24"/>
          <w:rtl w:val="true"/>
        </w:rPr>
        <w:t>יוזם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/>
          <w:spacing w:val="0"/>
          <w:sz w:val="24"/>
          <w:szCs w:val="24"/>
          <w:rtl w:val="true"/>
        </w:rPr>
        <w:t xml:space="preserve">.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נמכר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 xml:space="preserve">.          </w:t>
      </w:r>
      <w:r>
        <w:rPr>
          <w:rFonts w:cs="Miriam"/>
          <w:spacing w:val="0"/>
          <w:sz w:val="24"/>
          <w:sz w:val="24"/>
          <w:szCs w:val="24"/>
          <w:rtl w:val="true"/>
        </w:rPr>
        <w:t>תדירות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ז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היקף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קיומה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חופשית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העסקים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הרגיל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הכבלים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משרהאוי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המבחנים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והגורפת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.         </w:t>
      </w:r>
      <w:r>
        <w:rPr>
          <w:rFonts w:cs="Miriam"/>
          <w:spacing w:val="0"/>
          <w:sz w:val="24"/>
          <w:sz w:val="24"/>
          <w:szCs w:val="24"/>
          <w:rtl w:val="true"/>
        </w:rPr>
        <w:t>אופיים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האמצעים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שסופקו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פרוז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קטורים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בעיקרם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ניתנים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22-10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הכנסתו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האמצעי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לרצועה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מחייבת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הצריכו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למגנומטר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הגורם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חשמלאי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אוניברסיטת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הטכנולוגיה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שביעי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משוחררי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שמיני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תשיעי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פלטל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').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לשיוכו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לפלטל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לתכליתו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.         </w:t>
      </w:r>
      <w:r>
        <w:rPr>
          <w:rFonts w:cs="Miriam"/>
          <w:spacing w:val="0"/>
          <w:sz w:val="24"/>
          <w:sz w:val="24"/>
          <w:szCs w:val="24"/>
          <w:rtl w:val="true"/>
        </w:rPr>
        <w:t>יוזם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שיוזמי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/>
          <w:spacing w:val="0"/>
          <w:sz w:val="24"/>
          <w:szCs w:val="24"/>
          <w:rtl w:val="true"/>
        </w:rPr>
        <w:t xml:space="preserve">.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נמכר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המוצר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2014-2012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 xml:space="preserve">.          </w:t>
      </w:r>
      <w:r>
        <w:rPr>
          <w:rFonts w:cs="Miriam"/>
          <w:spacing w:val="0"/>
          <w:sz w:val="24"/>
          <w:sz w:val="24"/>
          <w:szCs w:val="24"/>
          <w:rtl w:val="true"/>
        </w:rPr>
        <w:t>תדירות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בהתקשרויות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לאוניברסיטת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הטכנולוגיה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spacing w:before="0" w:after="240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ז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היקף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לחשמלאי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לאוניברסיטת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הטכנולוגיה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 xml:space="preserve">.         </w:t>
      </w:r>
      <w:r>
        <w:rPr>
          <w:rFonts w:cs="Miriam"/>
          <w:spacing w:val="0"/>
          <w:sz w:val="24"/>
          <w:sz w:val="24"/>
          <w:szCs w:val="24"/>
          <w:rtl w:val="true"/>
        </w:rPr>
        <w:t>קיומה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חופשית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העסקים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הרגיל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ההתקשרויות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התקשרויות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פומבי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50-49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74-72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33-32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ניתוק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מסוננים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נוספות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101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102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טפלות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נלוות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103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" (</w:t>
      </w:r>
      <w:hyperlink r:id="rId1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6833/14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נפאע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31.8.2015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104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בהפגזה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מכונת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עאשור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47-37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התוצאה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106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בפרק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לקראת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סיום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גבולות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והמאבק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בטרור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108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ונחרץ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תרופה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שהאפקטיביות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להחרימם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3023/15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אקס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אוברסיז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30.5.2016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מצלאח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וברצועת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109</w:t>
      </w:r>
      <w:r>
        <w:rPr>
          <w:rFonts w:cs="FrankRuehl"/>
          <w:sz w:val="28"/>
          <w:szCs w:val="28"/>
          <w:rtl w:val="true"/>
        </w:rPr>
        <w:t xml:space="preserve">.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6434/15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838/16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Cs w:val="24"/>
          <w:u w:val="single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בדימ</w:t>
      </w:r>
      <w:r>
        <w:rPr>
          <w:rFonts w:cs="Miriam"/>
          <w:spacing w:val="0"/>
          <w:sz w:val="24"/>
          <w:szCs w:val="24"/>
          <w:rtl w:val="true"/>
        </w:rPr>
        <w:t>')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גנטי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החמאסי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מיוצרי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מיצרי</w:t>
      </w:r>
      <w:r>
        <w:rPr>
          <w:rFonts w:cs="FrankRuehl"/>
          <w:sz w:val="28"/>
          <w:szCs w:val="28"/>
          <w:rtl w:val="true"/>
        </w:rPr>
        <w:t>", (</w:t>
      </w:r>
      <w:r>
        <w:rPr>
          <w:rFonts w:cs="FrankRuehl"/>
          <w:sz w:val="28"/>
          <w:sz w:val="28"/>
          <w:szCs w:val="28"/>
          <w:rtl w:val="true"/>
        </w:rPr>
        <w:t>בבלי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להקפיד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האתגר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בטרור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תשע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1945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הגיאומטרי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הרמטית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2.30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מוקפדת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במאבקן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ועלולים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כפשוטו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וכוללנית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1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("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שבעיניי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ומורכבותו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רפואה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" "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90-86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המנדטוריות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שראשיתן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מדהים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סמכויות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שעת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חירום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מעצרים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8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6175/14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האגודה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לזכויות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האזרח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11.6.17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העיתונות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שניתנים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רופאים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לזכויות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ראש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נזדמן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הבינלאומי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הבינלאומית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בחידושים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הבינלאומי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המחויבות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הבינלאומי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האתגרים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שאחריותם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ומסייעיו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ופושטים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ונוקטים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נתחכמה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כבוד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האדם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וחירותו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Miriam"/>
          <w:spacing w:val="0"/>
          <w:sz w:val="24"/>
          <w:sz w:val="24"/>
          <w:szCs w:val="24"/>
          <w:rtl w:val="true"/>
        </w:rPr>
        <w:t>עיוני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נתיבי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225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226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האתגר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בעיצומו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כבוד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האדם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וחירותו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יימשך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נמשיל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ונשמרתם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לנפשותיכם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במובנו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שבתורה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יופקר</w:t>
      </w:r>
      <w:r>
        <w:rPr>
          <w:rFonts w:cs="FrankRuehl"/>
          <w:sz w:val="28"/>
          <w:szCs w:val="28"/>
          <w:rtl w:val="true"/>
        </w:rPr>
        <w:t>".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והאתגר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שביר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כנתינת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משרהאוי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ההפוך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ספיקא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הרועדת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ואקי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מעבר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לספק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סביר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גמישות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ההוכחה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הישראלי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חמקמק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סטיוארט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פורנוגרפיה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הנמקתה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שחשיבותה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הלוחמים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במלאכה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המשנה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לנשיאה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בדימ</w:t>
      </w:r>
      <w:r>
        <w:rPr>
          <w:rFonts w:cs="Miriam"/>
          <w:spacing w:val="0"/>
          <w:sz w:val="24"/>
          <w:szCs w:val="24"/>
          <w:rtl w:val="true"/>
        </w:rPr>
        <w:t>')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4.7.2017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Miriam"/>
                <w:color w:val="FFFFFF"/>
                <w:spacing w:val="0"/>
                <w:sz w:val="2"/>
                <w:szCs w:val="2"/>
              </w:rPr>
              <w:t>54678313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המשנה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לנשיאה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Cs w:val="24"/>
                <w:rtl w:val="true"/>
              </w:rPr>
              <w:t>(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בדימ</w:t>
            </w:r>
            <w:r>
              <w:rPr>
                <w:rFonts w:cs="Miriam"/>
                <w:spacing w:val="0"/>
                <w:sz w:val="24"/>
                <w:szCs w:val="24"/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Miriam"/>
                <w:spacing w:val="0"/>
                <w:sz w:val="24"/>
                <w:szCs w:val="24"/>
                <w:rtl w:val="true"/>
              </w:rPr>
              <w:t>(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בדימ</w:t>
            </w:r>
            <w:r>
              <w:rPr>
                <w:rFonts w:cs="Miriam"/>
                <w:spacing w:val="0"/>
                <w:sz w:val="24"/>
                <w:szCs w:val="24"/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spacing w:val="0"/>
                <w:sz w:val="24"/>
                <w:szCs w:val="24"/>
                <w:rtl w:val="true"/>
              </w:rPr>
              <w:t xml:space="preserve">                        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15064340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A23.doc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9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9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בדימ</w:t>
      </w:r>
      <w:r>
        <w:rPr>
          <w:rFonts w:cs="David" w:ascii="David" w:hAnsi="David"/>
          <w:color w:val="000000"/>
          <w:rtl w:val="true"/>
        </w:rPr>
        <w:t xml:space="preserve">') </w:t>
      </w:r>
      <w:r>
        <w:rPr>
          <w:rFonts w:ascii="David" w:hAnsi="David" w:cs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זילברטל </w:t>
      </w:r>
      <w:r>
        <w:rPr>
          <w:rFonts w:cs="David" w:ascii="David" w:hAnsi="David"/>
          <w:color w:val="000000"/>
        </w:rPr>
        <w:t>54678313-6434/15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198"/>
      <w:footerReference w:type="default" r:id="rId19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6434/15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עבד אל חכים שביר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6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first">
    <w:name w:val="msolistparagraphcxspfir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middle">
    <w:name w:val="msolistparagraphcxspmiddle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last">
    <w:name w:val="msolistparagraphcxspla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page">
    <w:name w:val="page"/>
    <w:basedOn w:val="Normal"/>
    <w:qFormat/>
    <w:pPr>
      <w:overflowPunct w:val="true"/>
      <w:ind w:hanging="0" w:start="0" w:end="0"/>
      <w:jc w:val="start"/>
    </w:pPr>
    <w:rPr/>
  </w:style>
  <w:style w:type="paragraph" w:styleId="Style17">
    <w:name w:val="טקסט הערה"/>
    <w:basedOn w:val="Normal"/>
    <w:qFormat/>
    <w:pPr/>
    <w:rPr/>
  </w:style>
  <w:style w:type="paragraph" w:styleId="Style18">
    <w:name w:val="נושא הערה"/>
    <w:basedOn w:val="Normal"/>
    <w:qFormat/>
    <w:pPr/>
    <w:rPr/>
  </w:style>
  <w:style w:type="paragraph" w:styleId="Style19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24394" TargetMode="External"/><Relationship Id="rId3" Type="http://schemas.openxmlformats.org/officeDocument/2006/relationships/hyperlink" Target="http://www.nevo.co.il/case/20038773" TargetMode="External"/><Relationship Id="rId4" Type="http://schemas.openxmlformats.org/officeDocument/2006/relationships/hyperlink" Target="http://www.nevo.co.il/case/20930827" TargetMode="External"/><Relationship Id="rId5" Type="http://schemas.openxmlformats.org/officeDocument/2006/relationships/hyperlink" Target="http://www.nevo.co.il/case/20593844" TargetMode="External"/><Relationship Id="rId6" Type="http://schemas.openxmlformats.org/officeDocument/2006/relationships/hyperlink" Target="http://www.nevo.co.il/law/73729" TargetMode="External"/><Relationship Id="rId7" Type="http://schemas.openxmlformats.org/officeDocument/2006/relationships/hyperlink" Target="http://www.nevo.co.il/law/73729/85" TargetMode="External"/><Relationship Id="rId8" Type="http://schemas.openxmlformats.org/officeDocument/2006/relationships/hyperlink" Target="http://www.nevo.co.il/law/73729/85.1" TargetMode="External"/><Relationship Id="rId9" Type="http://schemas.openxmlformats.org/officeDocument/2006/relationships/hyperlink" Target="http://www.nevo.co.il/law/73729/85.1.c" TargetMode="External"/><Relationship Id="rId10" Type="http://schemas.openxmlformats.org/officeDocument/2006/relationships/hyperlink" Target="http://www.nevo.co.il/law/73729/85.1.j" TargetMode="External"/><Relationship Id="rId11" Type="http://schemas.openxmlformats.org/officeDocument/2006/relationships/hyperlink" Target="http://www.nevo.co.il/law/73729/94" TargetMode="External"/><Relationship Id="rId12" Type="http://schemas.openxmlformats.org/officeDocument/2006/relationships/hyperlink" Target="http://www.nevo.co.il/law/73729/111" TargetMode="External"/><Relationship Id="rId13" Type="http://schemas.openxmlformats.org/officeDocument/2006/relationships/hyperlink" Target="http://www.nevo.co.il/law/73729/112" TargetMode="External"/><Relationship Id="rId14" Type="http://schemas.openxmlformats.org/officeDocument/2006/relationships/hyperlink" Target="http://www.nevo.co.il/law/73729/112a" TargetMode="External"/><Relationship Id="rId15" Type="http://schemas.openxmlformats.org/officeDocument/2006/relationships/hyperlink" Target="http://www.nevo.co.il/law/73729/112b" TargetMode="External"/><Relationship Id="rId16" Type="http://schemas.openxmlformats.org/officeDocument/2006/relationships/hyperlink" Target="http://www.nevo.co.il/law/141771" TargetMode="External"/><Relationship Id="rId17" Type="http://schemas.openxmlformats.org/officeDocument/2006/relationships/hyperlink" Target="http://www.nevo.co.il/law/141771/1" TargetMode="External"/><Relationship Id="rId18" Type="http://schemas.openxmlformats.org/officeDocument/2006/relationships/hyperlink" Target="http://www.nevo.co.il/law/141771/23" TargetMode="External"/><Relationship Id="rId19" Type="http://schemas.openxmlformats.org/officeDocument/2006/relationships/hyperlink" Target="http://www.nevo.co.il/law/141771/25" TargetMode="External"/><Relationship Id="rId20" Type="http://schemas.openxmlformats.org/officeDocument/2006/relationships/hyperlink" Target="http://www.nevo.co.il/law/141771/25.1" TargetMode="External"/><Relationship Id="rId21" Type="http://schemas.openxmlformats.org/officeDocument/2006/relationships/hyperlink" Target="http://www.nevo.co.il/law/141771/25.2" TargetMode="External"/><Relationship Id="rId22" Type="http://schemas.openxmlformats.org/officeDocument/2006/relationships/hyperlink" Target="http://www.nevo.co.il/law/141771/32" TargetMode="External"/><Relationship Id="rId23" Type="http://schemas.openxmlformats.org/officeDocument/2006/relationships/hyperlink" Target="http://www.nevo.co.il/law/141771/10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5.a" TargetMode="External"/><Relationship Id="rId26" Type="http://schemas.openxmlformats.org/officeDocument/2006/relationships/hyperlink" Target="http://www.nevo.co.il/law/70301/7.b" TargetMode="External"/><Relationship Id="rId27" Type="http://schemas.openxmlformats.org/officeDocument/2006/relationships/hyperlink" Target="http://www.nevo.co.il/law/70301/9b" TargetMode="External"/><Relationship Id="rId28" Type="http://schemas.openxmlformats.org/officeDocument/2006/relationships/hyperlink" Target="http://www.nevo.co.il/law/70301/13" TargetMode="External"/><Relationship Id="rId29" Type="http://schemas.openxmlformats.org/officeDocument/2006/relationships/hyperlink" Target="http://www.nevo.co.il/law/70301/13.a.1" TargetMode="External"/><Relationship Id="rId30" Type="http://schemas.openxmlformats.org/officeDocument/2006/relationships/hyperlink" Target="http://www.nevo.co.il/law/70301/14" TargetMode="External"/><Relationship Id="rId31" Type="http://schemas.openxmlformats.org/officeDocument/2006/relationships/hyperlink" Target="http://www.nevo.co.il/law/70301/15" TargetMode="External"/><Relationship Id="rId32" Type="http://schemas.openxmlformats.org/officeDocument/2006/relationships/hyperlink" Target="http://www.nevo.co.il/law/70301/16" TargetMode="External"/><Relationship Id="rId33" Type="http://schemas.openxmlformats.org/officeDocument/2006/relationships/hyperlink" Target="http://www.nevo.co.il/law/70301/17" TargetMode="External"/><Relationship Id="rId34" Type="http://schemas.openxmlformats.org/officeDocument/2006/relationships/hyperlink" Target="http://www.nevo.co.il/law/70301/114.a" TargetMode="External"/><Relationship Id="rId35" Type="http://schemas.openxmlformats.org/officeDocument/2006/relationships/hyperlink" Target="http://www.nevo.co.il/law/70301/185" TargetMode="External"/><Relationship Id="rId36" Type="http://schemas.openxmlformats.org/officeDocument/2006/relationships/hyperlink" Target="http://www.nevo.co.il/law/70301/288" TargetMode="External"/><Relationship Id="rId37" Type="http://schemas.openxmlformats.org/officeDocument/2006/relationships/hyperlink" Target="http://www.nevo.co.il/law/70301/415" TargetMode="External"/><Relationship Id="rId38" Type="http://schemas.openxmlformats.org/officeDocument/2006/relationships/hyperlink" Target="http://www.nevo.co.il/law/70301/499.a.2" TargetMode="External"/><Relationship Id="rId39" Type="http://schemas.openxmlformats.org/officeDocument/2006/relationships/hyperlink" Target="http://www.nevo.co.il/law/70301/jaCfS" TargetMode="External"/><Relationship Id="rId40" Type="http://schemas.openxmlformats.org/officeDocument/2006/relationships/hyperlink" Target="http://www.nevo.co.il/law/73854" TargetMode="External"/><Relationship Id="rId41" Type="http://schemas.openxmlformats.org/officeDocument/2006/relationships/hyperlink" Target="http://www.nevo.co.il/law/73854/9.a.3" TargetMode="External"/><Relationship Id="rId42" Type="http://schemas.openxmlformats.org/officeDocument/2006/relationships/hyperlink" Target="http://www.nevo.co.il/law/73211" TargetMode="External"/><Relationship Id="rId43" Type="http://schemas.openxmlformats.org/officeDocument/2006/relationships/hyperlink" Target="http://www.nevo.co.il/law/70320" TargetMode="External"/><Relationship Id="rId44" Type="http://schemas.openxmlformats.org/officeDocument/2006/relationships/hyperlink" Target="http://www.nevo.co.il/safrut/bookgroup/358" TargetMode="External"/><Relationship Id="rId45" Type="http://schemas.openxmlformats.org/officeDocument/2006/relationships/hyperlink" Target="http://www.nevo.co.il/safrut/bookgroup/358" TargetMode="External"/><Relationship Id="rId46" Type="http://schemas.openxmlformats.org/officeDocument/2006/relationships/hyperlink" Target="http://www.nevo.co.il/safrut/bookgroup/1254" TargetMode="External"/><Relationship Id="rId47" Type="http://schemas.openxmlformats.org/officeDocument/2006/relationships/hyperlink" Target="http://www.nevo.co.il/safrut/book/6985" TargetMode="External"/><Relationship Id="rId48" Type="http://schemas.openxmlformats.org/officeDocument/2006/relationships/hyperlink" Target="http://www.nevo.co.il/safrut/book/6985" TargetMode="External"/><Relationship Id="rId49" Type="http://schemas.openxmlformats.org/officeDocument/2006/relationships/hyperlink" Target="http://www.nevo.co.il/safrut/book/14924" TargetMode="External"/><Relationship Id="rId50" Type="http://schemas.openxmlformats.org/officeDocument/2006/relationships/hyperlink" Target="http://www.nevo.co.il/case/20593844" TargetMode="External"/><Relationship Id="rId51" Type="http://schemas.openxmlformats.org/officeDocument/2006/relationships/hyperlink" Target="http://www.nevo.co.il/case/20930827" TargetMode="External"/><Relationship Id="rId52" Type="http://schemas.openxmlformats.org/officeDocument/2006/relationships/hyperlink" Target="http://www.nevo.co.il/law/73729/85.1.c" TargetMode="External"/><Relationship Id="rId53" Type="http://schemas.openxmlformats.org/officeDocument/2006/relationships/hyperlink" Target="http://www.nevo.co.il/law/73729" TargetMode="External"/><Relationship Id="rId54" Type="http://schemas.openxmlformats.org/officeDocument/2006/relationships/hyperlink" Target="http://www.nevo.co.il/law/73729/85" TargetMode="External"/><Relationship Id="rId55" Type="http://schemas.openxmlformats.org/officeDocument/2006/relationships/hyperlink" Target="http://www.nevo.co.il/law/141771/23" TargetMode="External"/><Relationship Id="rId56" Type="http://schemas.openxmlformats.org/officeDocument/2006/relationships/hyperlink" Target="http://www.nevo.co.il/law/141771/23" TargetMode="External"/><Relationship Id="rId57" Type="http://schemas.openxmlformats.org/officeDocument/2006/relationships/hyperlink" Target="http://www.nevo.co.il/law/73729/85.1.c" TargetMode="External"/><Relationship Id="rId58" Type="http://schemas.openxmlformats.org/officeDocument/2006/relationships/hyperlink" Target="http://www.nevo.co.il/law/70301/5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3729/85.1.c" TargetMode="External"/><Relationship Id="rId61" Type="http://schemas.openxmlformats.org/officeDocument/2006/relationships/hyperlink" Target="http://www.nevo.co.il/law/73729" TargetMode="External"/><Relationship Id="rId62" Type="http://schemas.openxmlformats.org/officeDocument/2006/relationships/hyperlink" Target="http://www.nevo.co.il/law/141771" TargetMode="External"/><Relationship Id="rId63" Type="http://schemas.openxmlformats.org/officeDocument/2006/relationships/hyperlink" Target="http://www.nevo.co.il/law/141771/23" TargetMode="External"/><Relationship Id="rId64" Type="http://schemas.openxmlformats.org/officeDocument/2006/relationships/hyperlink" Target="http://www.nevo.co.il/law/73729/85.1.c" TargetMode="External"/><Relationship Id="rId65" Type="http://schemas.openxmlformats.org/officeDocument/2006/relationships/hyperlink" Target="http://www.nevo.co.il/law/73729/85.1.c" TargetMode="External"/><Relationship Id="rId66" Type="http://schemas.openxmlformats.org/officeDocument/2006/relationships/hyperlink" Target="http://www.nevo.co.il/case/18824394" TargetMode="External"/><Relationship Id="rId67" Type="http://schemas.openxmlformats.org/officeDocument/2006/relationships/hyperlink" Target="http://www.nevo.co.il/case/20038773" TargetMode="External"/><Relationship Id="rId68" Type="http://schemas.openxmlformats.org/officeDocument/2006/relationships/hyperlink" Target="http://www.nevo.co.il/law/73729/85.1.c" TargetMode="External"/><Relationship Id="rId69" Type="http://schemas.openxmlformats.org/officeDocument/2006/relationships/hyperlink" Target="http://www.nevo.co.il/law/70301/499.a.2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288" TargetMode="External"/><Relationship Id="rId72" Type="http://schemas.openxmlformats.org/officeDocument/2006/relationships/hyperlink" Target="http://www.nevo.co.il/law/70301/288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3729/85.1.c" TargetMode="External"/><Relationship Id="rId75" Type="http://schemas.openxmlformats.org/officeDocument/2006/relationships/hyperlink" Target="http://www.nevo.co.il/law/73729/85.1.c" TargetMode="External"/><Relationship Id="rId76" Type="http://schemas.openxmlformats.org/officeDocument/2006/relationships/hyperlink" Target="http://www.nevo.co.il/law/73854/9.a.3" TargetMode="External"/><Relationship Id="rId77" Type="http://schemas.openxmlformats.org/officeDocument/2006/relationships/hyperlink" Target="http://www.nevo.co.il/law/73854" TargetMode="External"/><Relationship Id="rId78" Type="http://schemas.openxmlformats.org/officeDocument/2006/relationships/hyperlink" Target="http://www.nevo.co.il/law/70301/114.a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15" TargetMode="External"/><Relationship Id="rId81" Type="http://schemas.openxmlformats.org/officeDocument/2006/relationships/hyperlink" Target="http://www.nevo.co.il/law/73729/85" TargetMode="External"/><Relationship Id="rId82" Type="http://schemas.openxmlformats.org/officeDocument/2006/relationships/hyperlink" Target="http://www.nevo.co.il/law/73729/85.1.c" TargetMode="External"/><Relationship Id="rId83" Type="http://schemas.openxmlformats.org/officeDocument/2006/relationships/hyperlink" Target="http://www.nevo.co.il/law/73729/85" TargetMode="External"/><Relationship Id="rId84" Type="http://schemas.openxmlformats.org/officeDocument/2006/relationships/hyperlink" Target="http://www.nevo.co.il/law/141771/100" TargetMode="External"/><Relationship Id="rId85" Type="http://schemas.openxmlformats.org/officeDocument/2006/relationships/hyperlink" Target="http://www.nevo.co.il/case/21474276" TargetMode="External"/><Relationship Id="rId86" Type="http://schemas.openxmlformats.org/officeDocument/2006/relationships/hyperlink" Target="http://www.nevo.co.il/law/141771/23" TargetMode="External"/><Relationship Id="rId87" Type="http://schemas.openxmlformats.org/officeDocument/2006/relationships/hyperlink" Target="http://www.nevo.co.il/law/73729/85.1.c" TargetMode="External"/><Relationship Id="rId88" Type="http://schemas.openxmlformats.org/officeDocument/2006/relationships/hyperlink" Target="http://www.nevo.co.il/law/73729/85" TargetMode="External"/><Relationship Id="rId89" Type="http://schemas.openxmlformats.org/officeDocument/2006/relationships/hyperlink" Target="http://www.nevo.co.il/law/141771/23" TargetMode="External"/><Relationship Id="rId90" Type="http://schemas.openxmlformats.org/officeDocument/2006/relationships/hyperlink" Target="http://www.nevo.co.il/law/141771/23" TargetMode="External"/><Relationship Id="rId91" Type="http://schemas.openxmlformats.org/officeDocument/2006/relationships/hyperlink" Target="http://www.nevo.co.il/law/70301/9b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case/13038775" TargetMode="External"/><Relationship Id="rId94" Type="http://schemas.openxmlformats.org/officeDocument/2006/relationships/hyperlink" Target="http://www.nevo.co.il/law/73729/85.1.c" TargetMode="External"/><Relationship Id="rId95" Type="http://schemas.openxmlformats.org/officeDocument/2006/relationships/hyperlink" Target="http://www.nevo.co.il/law/73729/85.1.c" TargetMode="External"/><Relationship Id="rId96" Type="http://schemas.openxmlformats.org/officeDocument/2006/relationships/hyperlink" Target="http://www.nevo.co.il/law/141771/23" TargetMode="External"/><Relationship Id="rId97" Type="http://schemas.openxmlformats.org/officeDocument/2006/relationships/hyperlink" Target="http://www.nevo.co.il/law/73854" TargetMode="External"/><Relationship Id="rId98" Type="http://schemas.openxmlformats.org/officeDocument/2006/relationships/hyperlink" Target="http://www.nevo.co.il/law/73729/85.1.c" TargetMode="External"/><Relationship Id="rId99" Type="http://schemas.openxmlformats.org/officeDocument/2006/relationships/hyperlink" Target="http://www.nevo.co.il/case/5718924" TargetMode="External"/><Relationship Id="rId100" Type="http://schemas.openxmlformats.org/officeDocument/2006/relationships/hyperlink" Target="http://www.nevo.co.il/safrut/bookgroup/358" TargetMode="External"/><Relationship Id="rId101" Type="http://schemas.openxmlformats.org/officeDocument/2006/relationships/hyperlink" Target="http://www.nevo.co.il/law/141771/23" TargetMode="External"/><Relationship Id="rId102" Type="http://schemas.openxmlformats.org/officeDocument/2006/relationships/hyperlink" Target="http://www.nevo.co.il/law/73729/85.1.c" TargetMode="External"/><Relationship Id="rId103" Type="http://schemas.openxmlformats.org/officeDocument/2006/relationships/hyperlink" Target="http://www.nevo.co.il/law/70301/5.a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case/10502269" TargetMode="External"/><Relationship Id="rId106" Type="http://schemas.openxmlformats.org/officeDocument/2006/relationships/hyperlink" Target="http://www.nevo.co.il/law/73729/85.1.c" TargetMode="External"/><Relationship Id="rId107" Type="http://schemas.openxmlformats.org/officeDocument/2006/relationships/hyperlink" Target="http://www.nevo.co.il/law/73729/85.1.c" TargetMode="External"/><Relationship Id="rId108" Type="http://schemas.openxmlformats.org/officeDocument/2006/relationships/hyperlink" Target="http://www.nevo.co.il/law/141771/23" TargetMode="External"/><Relationship Id="rId109" Type="http://schemas.openxmlformats.org/officeDocument/2006/relationships/hyperlink" Target="http://www.nevo.co.il/law/73729/85.1.c" TargetMode="External"/><Relationship Id="rId110" Type="http://schemas.openxmlformats.org/officeDocument/2006/relationships/hyperlink" Target="http://www.nevo.co.il/law/73729/85.1.c" TargetMode="External"/><Relationship Id="rId111" Type="http://schemas.openxmlformats.org/officeDocument/2006/relationships/hyperlink" Target="http://www.nevo.co.il/law/73729/85.1.c" TargetMode="External"/><Relationship Id="rId112" Type="http://schemas.openxmlformats.org/officeDocument/2006/relationships/hyperlink" Target="http://www.nevo.co.il/law/73729/85.1.c" TargetMode="External"/><Relationship Id="rId113" Type="http://schemas.openxmlformats.org/officeDocument/2006/relationships/hyperlink" Target="http://www.nevo.co.il/law/141771/23" TargetMode="External"/><Relationship Id="rId114" Type="http://schemas.openxmlformats.org/officeDocument/2006/relationships/hyperlink" Target="http://www.nevo.co.il/law/141771/23" TargetMode="External"/><Relationship Id="rId115" Type="http://schemas.openxmlformats.org/officeDocument/2006/relationships/hyperlink" Target="http://www.nevo.co.il/law/73729/85.1.c" TargetMode="External"/><Relationship Id="rId116" Type="http://schemas.openxmlformats.org/officeDocument/2006/relationships/hyperlink" Target="http://www.nevo.co.il/case/5704431" TargetMode="External"/><Relationship Id="rId117" Type="http://schemas.openxmlformats.org/officeDocument/2006/relationships/hyperlink" Target="http://www.nevo.co.il/safrut/book/6985" TargetMode="External"/><Relationship Id="rId118" Type="http://schemas.openxmlformats.org/officeDocument/2006/relationships/hyperlink" Target="http://www.nevo.co.il/safrut/book/14924" TargetMode="External"/><Relationship Id="rId119" Type="http://schemas.openxmlformats.org/officeDocument/2006/relationships/hyperlink" Target="http://www.nevo.co.il/law/141771/1" TargetMode="External"/><Relationship Id="rId120" Type="http://schemas.openxmlformats.org/officeDocument/2006/relationships/hyperlink" Target="http://www.nevo.co.il/law/141771/25" TargetMode="External"/><Relationship Id="rId121" Type="http://schemas.openxmlformats.org/officeDocument/2006/relationships/hyperlink" Target="http://www.nevo.co.il/law/141771/25" TargetMode="External"/><Relationship Id="rId122" Type="http://schemas.openxmlformats.org/officeDocument/2006/relationships/hyperlink" Target="http://www.nevo.co.il/law/141771/25" TargetMode="External"/><Relationship Id="rId123" Type="http://schemas.openxmlformats.org/officeDocument/2006/relationships/hyperlink" Target="http://www.nevo.co.il/law/141771/25.1" TargetMode="External"/><Relationship Id="rId124" Type="http://schemas.openxmlformats.org/officeDocument/2006/relationships/hyperlink" Target="http://www.nevo.co.il/law/141771/25.2" TargetMode="External"/><Relationship Id="rId125" Type="http://schemas.openxmlformats.org/officeDocument/2006/relationships/hyperlink" Target="http://www.nevo.co.il/law/141771/23" TargetMode="External"/><Relationship Id="rId126" Type="http://schemas.openxmlformats.org/officeDocument/2006/relationships/hyperlink" Target="http://www.nevo.co.il/law/141771/25" TargetMode="External"/><Relationship Id="rId127" Type="http://schemas.openxmlformats.org/officeDocument/2006/relationships/hyperlink" Target="http://www.nevo.co.il/case/6145732" TargetMode="External"/><Relationship Id="rId128" Type="http://schemas.openxmlformats.org/officeDocument/2006/relationships/hyperlink" Target="http://www.nevo.co.il/case/21474857" TargetMode="External"/><Relationship Id="rId129" Type="http://schemas.openxmlformats.org/officeDocument/2006/relationships/hyperlink" Target="http://www.nevo.co.il/case/5751007" TargetMode="External"/><Relationship Id="rId130" Type="http://schemas.openxmlformats.org/officeDocument/2006/relationships/hyperlink" Target="http://www.nevo.co.il/case/17937223" TargetMode="External"/><Relationship Id="rId131" Type="http://schemas.openxmlformats.org/officeDocument/2006/relationships/hyperlink" Target="http://www.nevo.co.il/case/6248550" TargetMode="External"/><Relationship Id="rId132" Type="http://schemas.openxmlformats.org/officeDocument/2006/relationships/hyperlink" Target="http://www.nevo.co.il/case/6061724" TargetMode="External"/><Relationship Id="rId133" Type="http://schemas.openxmlformats.org/officeDocument/2006/relationships/hyperlink" Target="http://www.nevo.co.il/case/17947940" TargetMode="External"/><Relationship Id="rId134" Type="http://schemas.openxmlformats.org/officeDocument/2006/relationships/hyperlink" Target="http://www.nevo.co.il/case/16917367" TargetMode="External"/><Relationship Id="rId135" Type="http://schemas.openxmlformats.org/officeDocument/2006/relationships/hyperlink" Target="http://www.nevo.co.il/case/21472830" TargetMode="External"/><Relationship Id="rId136" Type="http://schemas.openxmlformats.org/officeDocument/2006/relationships/hyperlink" Target="http://www.nevo.co.il/law/73729/85.1.c" TargetMode="External"/><Relationship Id="rId137" Type="http://schemas.openxmlformats.org/officeDocument/2006/relationships/hyperlink" Target="http://www.nevo.co.il/case/5594135" TargetMode="External"/><Relationship Id="rId138" Type="http://schemas.openxmlformats.org/officeDocument/2006/relationships/hyperlink" Target="http://www.nevo.co.il/case/6246779" TargetMode="External"/><Relationship Id="rId139" Type="http://schemas.openxmlformats.org/officeDocument/2006/relationships/hyperlink" Target="http://www.nevo.co.il/case/5828405" TargetMode="External"/><Relationship Id="rId140" Type="http://schemas.openxmlformats.org/officeDocument/2006/relationships/hyperlink" Target="http://www.nevo.co.il/case/5815435" TargetMode="External"/><Relationship Id="rId141" Type="http://schemas.openxmlformats.org/officeDocument/2006/relationships/hyperlink" Target="http://www.nevo.co.il/case/6128379" TargetMode="External"/><Relationship Id="rId142" Type="http://schemas.openxmlformats.org/officeDocument/2006/relationships/hyperlink" Target="http://www.nevo.co.il/case/5881170" TargetMode="External"/><Relationship Id="rId143" Type="http://schemas.openxmlformats.org/officeDocument/2006/relationships/hyperlink" Target="http://www.nevo.co.il/case/5594497" TargetMode="External"/><Relationship Id="rId144" Type="http://schemas.openxmlformats.org/officeDocument/2006/relationships/hyperlink" Target="http://www.nevo.co.il/case/6147522" TargetMode="External"/><Relationship Id="rId145" Type="http://schemas.openxmlformats.org/officeDocument/2006/relationships/hyperlink" Target="http://www.nevo.co.il/case/6216271" TargetMode="External"/><Relationship Id="rId146" Type="http://schemas.openxmlformats.org/officeDocument/2006/relationships/hyperlink" Target="http://www.nevo.co.il/case/6216271" TargetMode="External"/><Relationship Id="rId147" Type="http://schemas.openxmlformats.org/officeDocument/2006/relationships/hyperlink" Target="http://www.nevo.co.il/law/70301/7.b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law/70301/13;14;15;16;17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case/5966318" TargetMode="External"/><Relationship Id="rId152" Type="http://schemas.openxmlformats.org/officeDocument/2006/relationships/hyperlink" Target="http://www.nevo.co.il/law/70301/13" TargetMode="External"/><Relationship Id="rId153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law/70301/13.a.1" TargetMode="External"/><Relationship Id="rId155" Type="http://schemas.openxmlformats.org/officeDocument/2006/relationships/hyperlink" Target="http://www.nevo.co.il/law/70301" TargetMode="External"/><Relationship Id="rId156" Type="http://schemas.openxmlformats.org/officeDocument/2006/relationships/hyperlink" Target="http://www.nevo.co.il/case/5612456" TargetMode="External"/><Relationship Id="rId157" Type="http://schemas.openxmlformats.org/officeDocument/2006/relationships/hyperlink" Target="http://www.nevo.co.il/case/21012280" TargetMode="External"/><Relationship Id="rId158" Type="http://schemas.openxmlformats.org/officeDocument/2006/relationships/hyperlink" Target="http://www.nevo.co.il/case/6138821" TargetMode="External"/><Relationship Id="rId159" Type="http://schemas.openxmlformats.org/officeDocument/2006/relationships/hyperlink" Target="http://www.nevo.co.il/case/6216271" TargetMode="External"/><Relationship Id="rId160" Type="http://schemas.openxmlformats.org/officeDocument/2006/relationships/hyperlink" Target="http://www.nevo.co.il/case/6216271" TargetMode="External"/><Relationship Id="rId161" Type="http://schemas.openxmlformats.org/officeDocument/2006/relationships/hyperlink" Target="http://www.nevo.co.il/case/5698660" TargetMode="External"/><Relationship Id="rId162" Type="http://schemas.openxmlformats.org/officeDocument/2006/relationships/hyperlink" Target="http://www.nevo.co.il/case/5734189" TargetMode="External"/><Relationship Id="rId163" Type="http://schemas.openxmlformats.org/officeDocument/2006/relationships/hyperlink" Target="http://www.nevo.co.il/case/5592791" TargetMode="External"/><Relationship Id="rId164" Type="http://schemas.openxmlformats.org/officeDocument/2006/relationships/hyperlink" Target="http://www.nevo.co.il/case/17921725" TargetMode="External"/><Relationship Id="rId165" Type="http://schemas.openxmlformats.org/officeDocument/2006/relationships/hyperlink" Target="http://www.nevo.co.il/case/5840706" TargetMode="External"/><Relationship Id="rId166" Type="http://schemas.openxmlformats.org/officeDocument/2006/relationships/hyperlink" Target="http://www.nevo.co.il/case/5947424" TargetMode="External"/><Relationship Id="rId167" Type="http://schemas.openxmlformats.org/officeDocument/2006/relationships/hyperlink" Target="http://www.nevo.co.il/law/70301/185" TargetMode="External"/><Relationship Id="rId168" Type="http://schemas.openxmlformats.org/officeDocument/2006/relationships/hyperlink" Target="http://www.nevo.co.il/law/70301" TargetMode="External"/><Relationship Id="rId169" Type="http://schemas.openxmlformats.org/officeDocument/2006/relationships/hyperlink" Target="http://www.nevo.co.il/law/141771/25" TargetMode="External"/><Relationship Id="rId170" Type="http://schemas.openxmlformats.org/officeDocument/2006/relationships/hyperlink" Target="http://www.nevo.co.il/law/70301/114.a" TargetMode="External"/><Relationship Id="rId171" Type="http://schemas.openxmlformats.org/officeDocument/2006/relationships/hyperlink" Target="http://www.nevo.co.il/law/70301" TargetMode="External"/><Relationship Id="rId172" Type="http://schemas.openxmlformats.org/officeDocument/2006/relationships/hyperlink" Target="http://www.nevo.co.il/case/18098716" TargetMode="External"/><Relationship Id="rId173" Type="http://schemas.openxmlformats.org/officeDocument/2006/relationships/hyperlink" Target="http://www.nevo.co.il/law/141771/32" TargetMode="External"/><Relationship Id="rId174" Type="http://schemas.openxmlformats.org/officeDocument/2006/relationships/hyperlink" Target="http://www.nevo.co.il/law/70301/jaCfS" TargetMode="External"/><Relationship Id="rId175" Type="http://schemas.openxmlformats.org/officeDocument/2006/relationships/hyperlink" Target="http://www.nevo.co.il/law/70301" TargetMode="External"/><Relationship Id="rId176" Type="http://schemas.openxmlformats.org/officeDocument/2006/relationships/hyperlink" Target="http://www.nevo.co.il/case/20243549" TargetMode="External"/><Relationship Id="rId177" Type="http://schemas.openxmlformats.org/officeDocument/2006/relationships/hyperlink" Target="http://www.nevo.co.il/law/141771/23" TargetMode="External"/><Relationship Id="rId178" Type="http://schemas.openxmlformats.org/officeDocument/2006/relationships/hyperlink" Target="http://www.nevo.co.il/law/141771" TargetMode="External"/><Relationship Id="rId179" Type="http://schemas.openxmlformats.org/officeDocument/2006/relationships/hyperlink" Target="http://www.nevo.co.il/law/73729/85.1" TargetMode="External"/><Relationship Id="rId180" Type="http://schemas.openxmlformats.org/officeDocument/2006/relationships/hyperlink" Target="http://www.nevo.co.il/law/141771/23" TargetMode="External"/><Relationship Id="rId181" Type="http://schemas.openxmlformats.org/officeDocument/2006/relationships/hyperlink" Target="http://www.nevo.co.il/law/141771/25" TargetMode="External"/><Relationship Id="rId182" Type="http://schemas.openxmlformats.org/officeDocument/2006/relationships/hyperlink" Target="http://www.nevo.co.il/law/141771/23" TargetMode="External"/><Relationship Id="rId183" Type="http://schemas.openxmlformats.org/officeDocument/2006/relationships/hyperlink" Target="http://www.nevo.co.il/law/141771/25" TargetMode="External"/><Relationship Id="rId184" Type="http://schemas.openxmlformats.org/officeDocument/2006/relationships/hyperlink" Target="http://www.nevo.co.il/law/73729/85.1" TargetMode="External"/><Relationship Id="rId185" Type="http://schemas.openxmlformats.org/officeDocument/2006/relationships/hyperlink" Target="http://www.nevo.co.il/law/73211" TargetMode="External"/><Relationship Id="rId186" Type="http://schemas.openxmlformats.org/officeDocument/2006/relationships/hyperlink" Target="http://www.nevo.co.il/law/73729/85.1.j" TargetMode="External"/><Relationship Id="rId187" Type="http://schemas.openxmlformats.org/officeDocument/2006/relationships/hyperlink" Target="http://www.nevo.co.il/law/73729/111;112;112a;112b" TargetMode="External"/><Relationship Id="rId188" Type="http://schemas.openxmlformats.org/officeDocument/2006/relationships/hyperlink" Target="http://www.nevo.co.il/case/17947694" TargetMode="External"/><Relationship Id="rId189" Type="http://schemas.openxmlformats.org/officeDocument/2006/relationships/hyperlink" Target="http://www.nevo.co.il/law/73729/94" TargetMode="External"/><Relationship Id="rId190" Type="http://schemas.openxmlformats.org/officeDocument/2006/relationships/hyperlink" Target="http://www.nevo.co.il/law/73729/85.1.c" TargetMode="External"/><Relationship Id="rId191" Type="http://schemas.openxmlformats.org/officeDocument/2006/relationships/hyperlink" Target="http://www.nevo.co.il/law/141771/23" TargetMode="External"/><Relationship Id="rId192" Type="http://schemas.openxmlformats.org/officeDocument/2006/relationships/hyperlink" Target="http://www.nevo.co.il/case/5684181" TargetMode="External"/><Relationship Id="rId193" Type="http://schemas.openxmlformats.org/officeDocument/2006/relationships/hyperlink" Target="http://www.nevo.co.il/law/70320" TargetMode="External"/><Relationship Id="rId194" Type="http://schemas.openxmlformats.org/officeDocument/2006/relationships/hyperlink" Target="http://www.nevo.co.il/law/70320" TargetMode="External"/><Relationship Id="rId195" Type="http://schemas.openxmlformats.org/officeDocument/2006/relationships/hyperlink" Target="http://www.nevo.co.il/safrut/bookgroup/1254" TargetMode="External"/><Relationship Id="rId196" Type="http://schemas.openxmlformats.org/officeDocument/2006/relationships/hyperlink" Target="http://www.court.gov.il/" TargetMode="External"/><Relationship Id="rId197" Type="http://schemas.openxmlformats.org/officeDocument/2006/relationships/hyperlink" Target="http://www.nevo.co.il/advertisements/nevo-100.doc" TargetMode="External"/><Relationship Id="rId198" Type="http://schemas.openxmlformats.org/officeDocument/2006/relationships/header" Target="header1.xml"/><Relationship Id="rId199" Type="http://schemas.openxmlformats.org/officeDocument/2006/relationships/footer" Target="footer1.xml"/><Relationship Id="rId200" Type="http://schemas.openxmlformats.org/officeDocument/2006/relationships/fontTable" Target="fontTable.xml"/><Relationship Id="rId201" Type="http://schemas.openxmlformats.org/officeDocument/2006/relationships/settings" Target="settings.xml"/><Relationship Id="rId20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2017-07-10T11:46:00Z</dcterms:created>
  <dc:creator> </dc:creator>
  <dc:description/>
  <cp:keywords/>
  <dc:language>en-IL</dc:language>
  <cp:lastModifiedBy>Hofit</cp:lastModifiedBy>
  <dcterms:modified xsi:type="dcterms:W3CDTF">2017-07-10T11:46:00Z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ישראל;ריאד משרהאוי</vt:lpwstr>
  </property>
  <property fmtid="{D5CDD505-2E9C-101B-9397-08002B2CF9AE}" pid="3" name="APPELLEE">
    <vt:lpwstr>עבד אל חכים שביר;מדינת ישראל</vt:lpwstr>
  </property>
  <property fmtid="{D5CDD505-2E9C-101B-9397-08002B2CF9AE}" pid="4" name="BOOKGROUPTMP1">
    <vt:lpwstr>358:2;1254:2</vt:lpwstr>
  </property>
  <property fmtid="{D5CDD505-2E9C-101B-9397-08002B2CF9AE}" pid="5" name="BOOKLISTTMP1">
    <vt:lpwstr>6985;14924</vt:lpwstr>
  </property>
  <property fmtid="{D5CDD505-2E9C-101B-9397-08002B2CF9AE}" pid="6" name="CASESLISTTMP1">
    <vt:lpwstr>18824394:2;20038773:2;20930827;20593844;21474276;13038775;5718924;10502269;5704431;6145732;21474857;5751007;17937223;6248550;6061724;17947940;16917367;21472830;5594135;6246779;5828405;5815435;6128379;5881170;5594497;6147522;6216271:4;5966318;5612456</vt:lpwstr>
  </property>
  <property fmtid="{D5CDD505-2E9C-101B-9397-08002B2CF9AE}" pid="7" name="CASESLISTTMP2">
    <vt:lpwstr>21012280;6138821;5698660;5734189;5592791;17921725;5840706;5947424;18098716;20243549;17947694;5684181</vt:lpwstr>
  </property>
  <property fmtid="{D5CDD505-2E9C-101B-9397-08002B2CF9AE}" pid="8" name="DATE">
    <vt:lpwstr>20170704</vt:lpwstr>
  </property>
  <property fmtid="{D5CDD505-2E9C-101B-9397-08002B2CF9AE}" pid="9" name="ISABSTRACT">
    <vt:lpwstr>Y</vt:lpwstr>
  </property>
  <property fmtid="{D5CDD505-2E9C-101B-9397-08002B2CF9AE}" pid="10" name="JUDGE">
    <vt:lpwstr>צ' זילברטל;ד' ברק ארז;א' רובינשטיין</vt:lpwstr>
  </property>
  <property fmtid="{D5CDD505-2E9C-101B-9397-08002B2CF9AE}" pid="11" name="LAWLISTTMP1">
    <vt:lpwstr>73729/085.1.c:21;085:3;085.1:2;085.1.j;111;112;112a;112b;094</vt:lpwstr>
  </property>
  <property fmtid="{D5CDD505-2E9C-101B-9397-08002B2CF9AE}" pid="12" name="LAWLISTTMP2">
    <vt:lpwstr>141771/023:14;100;001;025:7;025.1;025.2;032</vt:lpwstr>
  </property>
  <property fmtid="{D5CDD505-2E9C-101B-9397-08002B2CF9AE}" pid="13" name="LAWLISTTMP3">
    <vt:lpwstr>70301/499.a.2;288:2;114.a:2;415;009b;005.a;007.b;013:2;014;015;016;017;013.a.1;185;jaCfS</vt:lpwstr>
  </property>
  <property fmtid="{D5CDD505-2E9C-101B-9397-08002B2CF9AE}" pid="14" name="LAWLISTTMP4">
    <vt:lpwstr>73854/009.a.3</vt:lpwstr>
  </property>
  <property fmtid="{D5CDD505-2E9C-101B-9397-08002B2CF9AE}" pid="15" name="LAWLISTTMP5">
    <vt:lpwstr>73211</vt:lpwstr>
  </property>
  <property fmtid="{D5CDD505-2E9C-101B-9397-08002B2CF9AE}" pid="16" name="LAWLISTTMP6">
    <vt:lpwstr>70320:2</vt:lpwstr>
  </property>
  <property fmtid="{D5CDD505-2E9C-101B-9397-08002B2CF9AE}" pid="17" name="LAWYER">
    <vt:lpwstr>אריה פטר;מורן גז;אחמד חמזה יונס;מואנס יונס</vt:lpwstr>
  </property>
  <property fmtid="{D5CDD505-2E9C-101B-9397-08002B2CF9AE}" pid="18" name="METAKZER">
    <vt:lpwstr>נעה</vt:lpwstr>
  </property>
  <property fmtid="{D5CDD505-2E9C-101B-9397-08002B2CF9AE}" pid="19" name="NOSE11">
    <vt:lpwstr>פרשנות</vt:lpwstr>
  </property>
  <property fmtid="{D5CDD505-2E9C-101B-9397-08002B2CF9AE}" pid="20" name="NOSE110">
    <vt:lpwstr/>
  </property>
  <property fmtid="{D5CDD505-2E9C-101B-9397-08002B2CF9AE}" pid="21" name="NOSE12">
    <vt:lpwstr>עונשין</vt:lpwstr>
  </property>
  <property fmtid="{D5CDD505-2E9C-101B-9397-08002B2CF9AE}" pid="22" name="NOSE13">
    <vt:lpwstr>עונשין</vt:lpwstr>
  </property>
  <property fmtid="{D5CDD505-2E9C-101B-9397-08002B2CF9AE}" pid="23" name="NOSE14">
    <vt:lpwstr/>
  </property>
  <property fmtid="{D5CDD505-2E9C-101B-9397-08002B2CF9AE}" pid="24" name="NOSE15">
    <vt:lpwstr/>
  </property>
  <property fmtid="{D5CDD505-2E9C-101B-9397-08002B2CF9AE}" pid="25" name="NOSE16">
    <vt:lpwstr/>
  </property>
  <property fmtid="{D5CDD505-2E9C-101B-9397-08002B2CF9AE}" pid="26" name="NOSE17">
    <vt:lpwstr/>
  </property>
  <property fmtid="{D5CDD505-2E9C-101B-9397-08002B2CF9AE}" pid="27" name="NOSE18">
    <vt:lpwstr/>
  </property>
  <property fmtid="{D5CDD505-2E9C-101B-9397-08002B2CF9AE}" pid="28" name="NOSE19">
    <vt:lpwstr/>
  </property>
  <property fmtid="{D5CDD505-2E9C-101B-9397-08002B2CF9AE}" pid="29" name="NOSE1ID">
    <vt:lpwstr>84;77;77</vt:lpwstr>
  </property>
  <property fmtid="{D5CDD505-2E9C-101B-9397-08002B2CF9AE}" pid="30" name="NOSE21">
    <vt:lpwstr>דין</vt:lpwstr>
  </property>
  <property fmtid="{D5CDD505-2E9C-101B-9397-08002B2CF9AE}" pid="31" name="NOSE210">
    <vt:lpwstr/>
  </property>
  <property fmtid="{D5CDD505-2E9C-101B-9397-08002B2CF9AE}" pid="32" name="NOSE22">
    <vt:lpwstr>עבירות</vt:lpwstr>
  </property>
  <property fmtid="{D5CDD505-2E9C-101B-9397-08002B2CF9AE}" pid="33" name="NOSE23">
    <vt:lpwstr>עבירות</vt:lpwstr>
  </property>
  <property fmtid="{D5CDD505-2E9C-101B-9397-08002B2CF9AE}" pid="34" name="NOSE24">
    <vt:lpwstr/>
  </property>
  <property fmtid="{D5CDD505-2E9C-101B-9397-08002B2CF9AE}" pid="35" name="NOSE25">
    <vt:lpwstr/>
  </property>
  <property fmtid="{D5CDD505-2E9C-101B-9397-08002B2CF9AE}" pid="36" name="NOSE26">
    <vt:lpwstr/>
  </property>
  <property fmtid="{D5CDD505-2E9C-101B-9397-08002B2CF9AE}" pid="37" name="NOSE27">
    <vt:lpwstr/>
  </property>
  <property fmtid="{D5CDD505-2E9C-101B-9397-08002B2CF9AE}" pid="38" name="NOSE28">
    <vt:lpwstr/>
  </property>
  <property fmtid="{D5CDD505-2E9C-101B-9397-08002B2CF9AE}" pid="39" name="NOSE29">
    <vt:lpwstr/>
  </property>
  <property fmtid="{D5CDD505-2E9C-101B-9397-08002B2CF9AE}" pid="40" name="NOSE2ID">
    <vt:lpwstr>1517;1443;1443</vt:lpwstr>
  </property>
  <property fmtid="{D5CDD505-2E9C-101B-9397-08002B2CF9AE}" pid="41" name="NOSE31">
    <vt:lpwstr>חוק המאבק בטרור</vt:lpwstr>
  </property>
  <property fmtid="{D5CDD505-2E9C-101B-9397-08002B2CF9AE}" pid="42" name="NOSE310">
    <vt:lpwstr/>
  </property>
  <property fmtid="{D5CDD505-2E9C-101B-9397-08002B2CF9AE}" pid="43" name="NOSE32">
    <vt:lpwstr>ביצוע שירות עבור התאחדות בלתי מוכרת</vt:lpwstr>
  </property>
  <property fmtid="{D5CDD505-2E9C-101B-9397-08002B2CF9AE}" pid="44" name="NOSE33">
    <vt:lpwstr>עבירות חוץ</vt:lpwstr>
  </property>
  <property fmtid="{D5CDD505-2E9C-101B-9397-08002B2CF9AE}" pid="45" name="NOSE34">
    <vt:lpwstr/>
  </property>
  <property fmtid="{D5CDD505-2E9C-101B-9397-08002B2CF9AE}" pid="46" name="NOSE35">
    <vt:lpwstr/>
  </property>
  <property fmtid="{D5CDD505-2E9C-101B-9397-08002B2CF9AE}" pid="47" name="NOSE36">
    <vt:lpwstr/>
  </property>
  <property fmtid="{D5CDD505-2E9C-101B-9397-08002B2CF9AE}" pid="48" name="NOSE37">
    <vt:lpwstr/>
  </property>
  <property fmtid="{D5CDD505-2E9C-101B-9397-08002B2CF9AE}" pid="49" name="NOSE38">
    <vt:lpwstr/>
  </property>
  <property fmtid="{D5CDD505-2E9C-101B-9397-08002B2CF9AE}" pid="50" name="NOSE39">
    <vt:lpwstr/>
  </property>
  <property fmtid="{D5CDD505-2E9C-101B-9397-08002B2CF9AE}" pid="51" name="NOSE3ID">
    <vt:lpwstr>;8771;8882</vt:lpwstr>
  </property>
  <property fmtid="{D5CDD505-2E9C-101B-9397-08002B2CF9AE}" pid="52" name="PADIDATE">
    <vt:lpwstr>20170705</vt:lpwstr>
  </property>
  <property fmtid="{D5CDD505-2E9C-101B-9397-08002B2CF9AE}" pid="53" name="PADIMAIL">
    <vt:lpwstr>YES</vt:lpwstr>
  </property>
  <property fmtid="{D5CDD505-2E9C-101B-9397-08002B2CF9AE}" pid="54" name="PROCESS">
    <vt:lpwstr>עפ;עפ</vt:lpwstr>
  </property>
  <property fmtid="{D5CDD505-2E9C-101B-9397-08002B2CF9AE}" pid="55" name="PROCNUM">
    <vt:lpwstr>6434;838</vt:lpwstr>
  </property>
  <property fmtid="{D5CDD505-2E9C-101B-9397-08002B2CF9AE}" pid="56" name="PROCYEAR">
    <vt:lpwstr>15;16</vt:lpwstr>
  </property>
  <property fmtid="{D5CDD505-2E9C-101B-9397-08002B2CF9AE}" pid="57" name="PSAKDIN">
    <vt:lpwstr>פסק-דין</vt:lpwstr>
  </property>
  <property fmtid="{D5CDD505-2E9C-101B-9397-08002B2CF9AE}" pid="58" name="TYPE">
    <vt:lpwstr>1</vt:lpwstr>
  </property>
  <property fmtid="{D5CDD505-2E9C-101B-9397-08002B2CF9AE}" pid="59" name="TYPE_ABS_DATE">
    <vt:lpwstr>410120170704</vt:lpwstr>
  </property>
  <property fmtid="{D5CDD505-2E9C-101B-9397-08002B2CF9AE}" pid="60" name="TYPE_N_DATE">
    <vt:lpwstr>41020170704</vt:lpwstr>
  </property>
  <property fmtid="{D5CDD505-2E9C-101B-9397-08002B2CF9AE}" pid="61" name="WORDNUMPAGES">
    <vt:lpwstr>47</vt:lpwstr>
  </property>
</Properties>
</file>