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6459/17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6856/17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6870/17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36"/>
        </w:rPr>
      </w:pPr>
      <w:r>
        <w:rPr>
          <w:rFonts w:cs="Miriam"/>
          <w:b/>
          <w:bCs/>
          <w:sz w:val="28"/>
          <w:szCs w:val="3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6856/17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6870/17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6870/17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קדושים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6856/17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אלקבץ</w:t>
            </w:r>
          </w:p>
        </w:tc>
      </w:tr>
    </w:tbl>
    <w:p>
      <w:pPr>
        <w:pStyle w:val="Ruller31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16644-04-16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16.4.2017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6856/17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6870/17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חלואה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6870/17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6459/17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6856/17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8"/>
          <w:szCs w:val="36"/>
        </w:rPr>
      </w:pPr>
      <w:r>
        <w:rPr>
          <w:sz w:val="28"/>
          <w:szCs w:val="3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6"/>
        </w:rPr>
      </w:pPr>
      <w:r>
        <w:rPr>
          <w:rFonts w:cs="FrankRuehl" w:ascii="FrankRuehl" w:hAnsi="FrankRuehl"/>
          <w:sz w:val="24"/>
          <w:szCs w:val="3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6459/17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6459/17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6870/17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6459/17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6856/17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וערעורי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שיבוש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הופעל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פסילה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השחרור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6459/17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6870/17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6856/17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שתהלום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שתרתיע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ושתגן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הגלומות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פתרון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סכסוכים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כשהשימוש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שטח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עירוני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ובסביבת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ומחושב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הצהריים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מדוקדק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גנוב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והימלטות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בסרעפת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ובכבד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שהצריכו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כריתת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מהכבד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נמוכה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ריצו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המיוחס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להודאת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2"/>
        <w:numPr>
          <w:ilvl w:val="0"/>
          <w:numId w:val="1"/>
        </w:numPr>
        <w:ind w:end="0"/>
        <w:jc w:val="both"/>
        <w:rPr>
          <w:szCs w:val="32"/>
        </w:rPr>
      </w:pPr>
      <w:bookmarkStart w:id="15" w:name="Start_Write"/>
      <w:bookmarkEnd w:id="15"/>
      <w:r>
        <w:rPr>
          <w:rtl w:val="true"/>
        </w:rPr>
        <w:t>לפנינו שלושה ערעורים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14.6.2017</w:t>
      </w:r>
      <w:r>
        <w:rPr>
          <w:rtl w:val="true"/>
        </w:rPr>
        <w:t xml:space="preserve">: </w:t>
      </w:r>
      <w:r>
        <w:rPr>
          <w:rtl w:val="true"/>
        </w:rPr>
        <w:t xml:space="preserve">ערעור המדינה על קולת העונש שגזר בית המשפט על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6459/17</w:t>
      </w:r>
      <w:r>
        <w:rPr>
          <w:rtl w:val="true"/>
        </w:rPr>
        <w:t xml:space="preserve">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6870/17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ועל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6459/17</w:t>
      </w:r>
      <w:r>
        <w:rPr>
          <w:rtl w:val="true"/>
        </w:rPr>
        <w:t xml:space="preserve">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6856/17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; 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); </w:t>
      </w:r>
      <w:r>
        <w:rPr>
          <w:rtl w:val="true"/>
        </w:rPr>
        <w:t>וערעוריהם של האחרונים על חומרת העונש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Cs w:val="32"/>
        </w:rPr>
      </w:pPr>
      <w:r>
        <w:rPr>
          <w:szCs w:val="3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המשיבים הורשעו יחד עם אדם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b/>
          <w:b/>
          <w:sz w:val="22"/>
          <w:sz w:val="22"/>
          <w:rtl w:val="true"/>
        </w:rPr>
        <w:t>הנאשם הנוסף</w:t>
      </w:r>
      <w:r>
        <w:rPr>
          <w:rtl w:val="true"/>
        </w:rPr>
        <w:t xml:space="preserve">), </w:t>
      </w:r>
      <w:r>
        <w:rPr>
          <w:rtl w:val="true"/>
        </w:rPr>
        <w:t xml:space="preserve">על פי הודאתם שניתנה במסגרת הסדר טיעון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b/>
          <w:b/>
          <w:sz w:val="22"/>
          <w:sz w:val="22"/>
          <w:rtl w:val="true"/>
        </w:rPr>
        <w:t>הסדר הטיעון</w:t>
      </w:r>
      <w:r>
        <w:rPr>
          <w:rtl w:val="true"/>
        </w:rPr>
        <w:t xml:space="preserve">), </w:t>
      </w:r>
      <w:r>
        <w:rPr>
          <w:rtl w:val="true"/>
        </w:rPr>
        <w:t xml:space="preserve">בכתב אישום מתוקן שבגדרו יוחסו למשיבים עבירות של קשירת קשר לפשע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b/>
          <w:b/>
          <w:sz w:val="22"/>
          <w:sz w:val="22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חבלה בכוונה מחמירה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noBreakHyphen/>
      </w: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שיבוש מהלכי משפט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ונשיאת נשק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start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בלבד בעבירה של הפרת הוראה חוקית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האישום הראשון בכתב האישום המתוקן</w:t>
      </w:r>
      <w:r>
        <w:rPr>
          <w:rtl w:val="true"/>
        </w:rPr>
        <w:t xml:space="preserve">, </w:t>
      </w:r>
      <w:r>
        <w:rPr>
          <w:rtl w:val="true"/>
        </w:rPr>
        <w:t>קשרו המשיבים קשר לגרום למתלונן חבלה חמורה באמצעות ירי מאקדח ולשם כך הצטיידו באופנוע ובקסדה שנגנבו</w:t>
      </w:r>
      <w:r>
        <w:rPr>
          <w:rtl w:val="true"/>
        </w:rPr>
        <w:t xml:space="preserve">, </w:t>
      </w:r>
      <w:r>
        <w:rPr>
          <w:rtl w:val="true"/>
        </w:rPr>
        <w:t xml:space="preserve">באקדח חצי אוטומטי מסוג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ובתחמושת תואמת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 xml:space="preserve">הגיעו השניים סמוך לשעה </w:t>
      </w:r>
      <w:r>
        <w:rPr/>
        <w:t>15:20</w:t>
      </w:r>
      <w:r>
        <w:rPr>
          <w:rtl w:val="true"/>
        </w:rPr>
        <w:t xml:space="preserve"> </w:t>
      </w:r>
      <w:r>
        <w:rPr>
          <w:rtl w:val="true"/>
        </w:rPr>
        <w:t xml:space="preserve">למקום שבו שהה המתלונן ברכבו כשהם רכובים על האופנוע הגנוב כאשר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נוהג באופנוע והמשיב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 מאחוריו ואוחז באקדח</w:t>
      </w:r>
      <w:r>
        <w:rPr>
          <w:rtl w:val="true"/>
        </w:rPr>
        <w:t xml:space="preserve">. </w:t>
      </w:r>
      <w:r>
        <w:rPr>
          <w:rtl w:val="true"/>
        </w:rPr>
        <w:t xml:space="preserve">המשיבים חלפו סמוך לרכבו של המתלונן ואז ירה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על דעת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קליע אחד בכוונה לפגוע במתלונן</w:t>
      </w:r>
      <w:r>
        <w:rPr>
          <w:rtl w:val="true"/>
        </w:rPr>
        <w:t xml:space="preserve">. </w:t>
      </w:r>
      <w:r>
        <w:rPr>
          <w:rtl w:val="true"/>
        </w:rPr>
        <w:t>הקליע שנורה חדר לחזהו של המתלונן דרך זרועו הימנית</w:t>
      </w:r>
      <w:r>
        <w:rPr>
          <w:rtl w:val="true"/>
        </w:rPr>
        <w:t xml:space="preserve">. </w:t>
      </w:r>
      <w:r>
        <w:rPr>
          <w:rtl w:val="true"/>
        </w:rPr>
        <w:t>כתוצאה מהירי נגרמו למתלונן חורים בקיבה</w:t>
      </w:r>
      <w:r>
        <w:rPr>
          <w:rtl w:val="true"/>
        </w:rPr>
        <w:t xml:space="preserve">, </w:t>
      </w:r>
      <w:r>
        <w:rPr>
          <w:rtl w:val="true"/>
        </w:rPr>
        <w:t>נזקים בסרעפת ובכבד</w:t>
      </w:r>
      <w:r>
        <w:rPr>
          <w:rtl w:val="true"/>
        </w:rPr>
        <w:t xml:space="preserve">, </w:t>
      </w:r>
      <w:r>
        <w:rPr>
          <w:rtl w:val="true"/>
        </w:rPr>
        <w:t>והוא נזקק לניתוח תחת הרדמה כללית שבמהלכו תוקנו החורים</w:t>
      </w:r>
      <w:r>
        <w:rPr>
          <w:rtl w:val="true"/>
        </w:rPr>
        <w:t xml:space="preserve">, </w:t>
      </w:r>
      <w:r>
        <w:rPr>
          <w:rtl w:val="true"/>
        </w:rPr>
        <w:t>בוצעה סגירה של הסרעפת ונכרת חלק מהכבד שרוטש בעקבות פגיעת הקליע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הירי המשיכו המשיבים בנסיעה</w:t>
      </w:r>
      <w:r>
        <w:rPr>
          <w:rtl w:val="true"/>
        </w:rPr>
        <w:t xml:space="preserve">, </w:t>
      </w:r>
      <w:r>
        <w:rPr>
          <w:rtl w:val="true"/>
        </w:rPr>
        <w:t>נטשו את האופנוע הגנוב והשליכו את הקסדה הגנובה בקרבת מקום</w:t>
      </w:r>
      <w:r>
        <w:rPr>
          <w:rtl w:val="true"/>
        </w:rPr>
        <w:t xml:space="preserve">. </w:t>
      </w:r>
      <w:r>
        <w:rPr>
          <w:rtl w:val="true"/>
        </w:rPr>
        <w:t xml:space="preserve">בהמשך נכנסו השניים לבניין מגורים סמוך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הבניין</w:t>
      </w:r>
      <w:r>
        <w:rPr>
          <w:rtl w:val="true"/>
        </w:rPr>
        <w:t xml:space="preserve">), </w:t>
      </w:r>
      <w:r>
        <w:rPr>
          <w:rtl w:val="true"/>
        </w:rPr>
        <w:t xml:space="preserve">הטמינו בחדר המדרגות את המעיל ואת הקסדה שלבש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והטמינו את האקדח בעליית הגג בתוך בית מנורה שמצאו במקום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הציוד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 הימלטותם של המשיבים מהזירה</w:t>
      </w:r>
      <w:r>
        <w:rPr>
          <w:rtl w:val="true"/>
        </w:rPr>
        <w:t xml:space="preserve">, </w:t>
      </w:r>
      <w:r>
        <w:rPr>
          <w:rtl w:val="true"/>
        </w:rPr>
        <w:t>פגשו הם בנאשם הנוסף</w:t>
      </w:r>
      <w:r>
        <w:rPr>
          <w:rtl w:val="true"/>
        </w:rPr>
        <w:t xml:space="preserve">, </w:t>
      </w:r>
      <w:r>
        <w:rPr>
          <w:rtl w:val="true"/>
        </w:rPr>
        <w:t>מסרו לו פרטים על אודות העבירה שעברו ועל מיקום הציוד וסיכמו עמו שיאסוף עבורם את הציוד במטרה להעלים ראיות ולהימלט מעונש</w:t>
      </w:r>
      <w:r>
        <w:rPr>
          <w:rtl w:val="true"/>
        </w:rPr>
        <w:t xml:space="preserve">. </w:t>
      </w:r>
      <w:r>
        <w:rPr>
          <w:rtl w:val="true"/>
        </w:rPr>
        <w:t>לאחר הדברים האלה הגיע הנאשם הנוסף לבניין בכוונה להכשיל הליך שיפוטי ולהעלים את הראיות על פי הסיכום עם המשיבים ובשליחותם</w:t>
      </w:r>
      <w:r>
        <w:rPr>
          <w:rtl w:val="true"/>
        </w:rPr>
        <w:t xml:space="preserve">, </w:t>
      </w:r>
      <w:r>
        <w:rPr>
          <w:rtl w:val="true"/>
        </w:rPr>
        <w:t>נטל את המעיל ואת הקסדה שהטמינו המשיבים בבניין והעלימם מפני המשטרה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הוסכם כי הצדדים יטענו באופן פתוח לעניין העונשים שיושתו על המשיבים</w:t>
      </w:r>
      <w:r>
        <w:rPr>
          <w:rtl w:val="true"/>
        </w:rPr>
        <w:t xml:space="preserve">; </w:t>
      </w:r>
      <w:r>
        <w:rPr>
          <w:rtl w:val="true"/>
        </w:rPr>
        <w:t>וכי באי כוחם יוכלו לבקש תסקירים בעניינם</w:t>
      </w:r>
      <w:r>
        <w:rPr>
          <w:rtl w:val="true"/>
        </w:rPr>
        <w:t xml:space="preserve">. </w:t>
      </w:r>
      <w:r>
        <w:rPr>
          <w:rtl w:val="true"/>
        </w:rPr>
        <w:t>בעקבות הרשעתם של המשיבים ובהתאם להסדר הטיעון</w:t>
      </w:r>
      <w:r>
        <w:rPr>
          <w:rtl w:val="true"/>
        </w:rPr>
        <w:t xml:space="preserve">, </w:t>
      </w:r>
      <w:r>
        <w:rPr>
          <w:rtl w:val="true"/>
        </w:rPr>
        <w:t>הוגשו תסקירים של שירות המבחן</w:t>
      </w:r>
      <w:r>
        <w:rPr>
          <w:rtl w:val="true"/>
        </w:rPr>
        <w:t xml:space="preserve">, </w:t>
      </w:r>
      <w:r>
        <w:rPr>
          <w:rtl w:val="true"/>
        </w:rPr>
        <w:t>ואלה נסקרו במפורט על ידי בית המשפט המחוזי בגזר דינו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המליץ שירות המבחן על ענישה מוחשית ומרתיעה</w:t>
      </w:r>
      <w:r>
        <w:rPr>
          <w:rtl w:val="true"/>
        </w:rPr>
        <w:t xml:space="preserve">, </w:t>
      </w:r>
      <w:r>
        <w:rPr>
          <w:rtl w:val="true"/>
        </w:rPr>
        <w:t>תוך בדיקת אפשרות לשילובו בטיפול במהלך נשיאתו בעונש המאסר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הומלץ על המשך ההליך הטיפולי שאותו החל לעבור בכלא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סקר בית המשפט המחוזי את טיעוני הצדדים ואת ראיותיהם לעניין העונשים</w:t>
      </w:r>
      <w:r>
        <w:rPr>
          <w:rtl w:val="true"/>
        </w:rPr>
        <w:t xml:space="preserve">. </w:t>
      </w:r>
      <w:r>
        <w:rPr>
          <w:rtl w:val="true"/>
        </w:rPr>
        <w:t xml:space="preserve">המדינה טענה כי מתחם העונש ההולם בעניין כל אחד מהמשיבים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אשר לעונש הראוי בתוך המתחם טענה המדינה כי בהינתן עברם הפלילי החמור של המשיבים מחד גיסא</w:t>
      </w:r>
      <w:r>
        <w:rPr>
          <w:rtl w:val="true"/>
        </w:rPr>
        <w:t xml:space="preserve">, </w:t>
      </w:r>
      <w:r>
        <w:rPr>
          <w:rtl w:val="true"/>
        </w:rPr>
        <w:t>והודאתם והחיסכון בזמן שיפוטי מאידך גיסא</w:t>
      </w:r>
      <w:r>
        <w:rPr>
          <w:rtl w:val="true"/>
        </w:rPr>
        <w:t xml:space="preserve">, </w:t>
      </w:r>
      <w:r>
        <w:rPr>
          <w:rtl w:val="true"/>
        </w:rPr>
        <w:t>יש לגזור את עונשם של המשיבים באמצעו של המתחם</w:t>
      </w:r>
      <w:r>
        <w:rPr>
          <w:rtl w:val="true"/>
        </w:rPr>
        <w:t xml:space="preserve">; </w:t>
      </w:r>
      <w:r>
        <w:rPr>
          <w:rtl w:val="true"/>
        </w:rPr>
        <w:t xml:space="preserve">וכי בנוסף יש להפעיל 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שהוטל בעבר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במצטבר לעונש המאסר בפועל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עתר בא כוח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לקביעת מתחם עונש הולם של שלוש עד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שבתוכו ייגזר 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ברף התחתון</w:t>
      </w:r>
      <w:r>
        <w:rPr>
          <w:rtl w:val="true"/>
        </w:rPr>
        <w:t xml:space="preserve">. </w:t>
      </w:r>
      <w:r>
        <w:rPr>
          <w:rtl w:val="true"/>
        </w:rPr>
        <w:t xml:space="preserve">בא כוח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עתר למתחם עונש הולם של שלוש עד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לענישה ברף התחתון בגדרו של זה ולהפעלה חופפת של עונש המאסר המותנה</w:t>
      </w:r>
      <w:r>
        <w:rPr>
          <w:rtl w:val="true"/>
        </w:rPr>
        <w:t xml:space="preserve">. </w:t>
      </w:r>
      <w:r>
        <w:rPr>
          <w:rtl w:val="true"/>
        </w:rPr>
        <w:t>בטיעוניהם</w:t>
      </w:r>
      <w:r>
        <w:rPr>
          <w:rtl w:val="true"/>
        </w:rPr>
        <w:t xml:space="preserve">, </w:t>
      </w:r>
      <w:r>
        <w:rPr>
          <w:rtl w:val="true"/>
        </w:rPr>
        <w:t>התבססו באי כוח המשיבים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החרטה שהביעו המשיבים ועל כך שלקחו אחריות על מעשיהם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בבואו לקבוע את מתחם העונש ההולם עמד בית המשפט על כך שהעבירות שבהן הורשעו המשיבים ונסיבותיהן הן חמורות במיוחד</w:t>
      </w:r>
      <w:r>
        <w:rPr>
          <w:rtl w:val="true"/>
        </w:rPr>
        <w:t xml:space="preserve">. </w:t>
      </w:r>
      <w:r>
        <w:rPr>
          <w:rtl w:val="true"/>
        </w:rPr>
        <w:t>בית המשפט ציין כי הערכים החברתיים המוגנים שנפגעו בעבירות המתוארות בכתב האישום הם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הזכות לשלמות גופו של אדם</w:t>
      </w:r>
      <w:r>
        <w:rPr>
          <w:rtl w:val="true"/>
        </w:rPr>
        <w:t xml:space="preserve">, </w:t>
      </w:r>
      <w:r>
        <w:rPr>
          <w:rtl w:val="true"/>
        </w:rPr>
        <w:t>לצד השמירה על שלום הציבור ועל בטחונו וכן השמירה על שלטון החוק ועל ניהול משפט תקין</w:t>
      </w:r>
      <w:r>
        <w:rPr>
          <w:rtl w:val="true"/>
        </w:rPr>
        <w:t xml:space="preserve">; </w:t>
      </w:r>
      <w:r>
        <w:rPr>
          <w:rtl w:val="true"/>
        </w:rPr>
        <w:t>וכי במקרה דנן הפגיעה בהם הייתה חמורה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ציין כי מדובר בעבירות מתוכננות היטב </w:t>
      </w:r>
      <w:r>
        <w:rPr>
          <w:rtl w:val="true"/>
        </w:rPr>
        <w:t>–</w:t>
      </w:r>
      <w:r>
        <w:rPr>
          <w:rtl w:val="true"/>
        </w:rPr>
        <w:t xml:space="preserve"> דבר אשר בא לידי ביטוי בהצטיידות הנאשמים באופנוע הגנוב ובקסדה וכן בהסתרת הציוד לאחר הירי</w:t>
      </w:r>
      <w:r>
        <w:rPr>
          <w:rtl w:val="true"/>
        </w:rPr>
        <w:t xml:space="preserve">; </w:t>
      </w:r>
      <w:r>
        <w:rPr>
          <w:rtl w:val="true"/>
        </w:rPr>
        <w:t>כי נגרמה למתלונן חבלה קשה – חורים בקיבה</w:t>
      </w:r>
      <w:r>
        <w:rPr>
          <w:rtl w:val="true"/>
        </w:rPr>
        <w:t xml:space="preserve">, </w:t>
      </w:r>
      <w:r>
        <w:rPr>
          <w:rtl w:val="true"/>
        </w:rPr>
        <w:t>פגיעה בסרעפת וניתוח לכריתה חלקית של הכבד</w:t>
      </w:r>
      <w:r>
        <w:rPr>
          <w:rtl w:val="true"/>
        </w:rPr>
        <w:t xml:space="preserve">; </w:t>
      </w:r>
      <w:r>
        <w:rPr>
          <w:rtl w:val="true"/>
        </w:rPr>
        <w:t>וכי היה עלול להיגרם נזק חמור עוד יותר מהירי בנשק החם שבוצע באזור מגורים</w:t>
      </w:r>
      <w:r>
        <w:rPr>
          <w:rtl w:val="true"/>
        </w:rPr>
        <w:t xml:space="preserve">. </w:t>
      </w:r>
      <w:r>
        <w:rPr>
          <w:rtl w:val="true"/>
        </w:rPr>
        <w:t>בית המשפט הדגיש כי בנסיבות אלו נדרשת ענישה מחמירה ומרתיעה</w:t>
      </w:r>
      <w:r>
        <w:rPr>
          <w:rtl w:val="true"/>
        </w:rPr>
        <w:t xml:space="preserve">, </w:t>
      </w:r>
      <w:r>
        <w:rPr>
          <w:rtl w:val="true"/>
        </w:rPr>
        <w:t>ועמד על כך שקיימת פסיקה מגוונת בהתייחס לרמת הענישה בגין העבירות ועל כך שכל מקרה נבחן בהתאם לנסיבותיו הקונקרטיות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העונש ההולם בגין האירוע נושא האישום הראשון ביחס למשיבים 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לפסיקת העונש בתוך המתחם</w:t>
      </w:r>
      <w:r>
        <w:rPr>
          <w:rtl w:val="true"/>
        </w:rPr>
        <w:t xml:space="preserve">, </w:t>
      </w:r>
      <w:r>
        <w:rPr>
          <w:rtl w:val="true"/>
        </w:rPr>
        <w:t>נקבע כי נוכח עברם הפלילי המכביד של המשיבים מהצד האחד</w:t>
      </w:r>
      <w:r>
        <w:rPr>
          <w:rtl w:val="true"/>
        </w:rPr>
        <w:t xml:space="preserve">, </w:t>
      </w:r>
      <w:r>
        <w:rPr>
          <w:rtl w:val="true"/>
        </w:rPr>
        <w:t xml:space="preserve">ולאור הודאתם ויתר הנסיבות המקלות בעניינם מן הצד האחר </w:t>
      </w:r>
      <w:r>
        <w:rPr>
          <w:rtl w:val="true"/>
        </w:rPr>
        <w:t>–</w:t>
      </w:r>
      <w:r>
        <w:rPr>
          <w:rtl w:val="true"/>
        </w:rPr>
        <w:t xml:space="preserve"> יש למקם את עונשו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במרכז מתחם העונש ההולם</w:t>
      </w:r>
      <w:r>
        <w:rPr>
          <w:rtl w:val="true"/>
        </w:rPr>
        <w:t xml:space="preserve">, </w:t>
      </w:r>
      <w:r>
        <w:rPr>
          <w:rtl w:val="true"/>
        </w:rPr>
        <w:t>בשים לב לכך שהוא היה זה שירה בפועל במתלונן</w:t>
      </w:r>
      <w:r>
        <w:rPr>
          <w:rtl w:val="true"/>
        </w:rPr>
        <w:t xml:space="preserve">; </w:t>
      </w:r>
      <w:r>
        <w:rPr>
          <w:rtl w:val="true"/>
        </w:rPr>
        <w:t xml:space="preserve">ואת עונשו של המשיב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 xml:space="preserve">שכזכור לא ירה במתלונן כי אם הסיע את המשיב </w:t>
      </w:r>
      <w:r>
        <w:rPr/>
        <w:t>1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בין הרף התחתון של המתחם לבין מרכז המתחם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לפיכך הוטלו על המשיב </w:t>
      </w:r>
      <w:r>
        <w:rPr/>
        <w:t>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>מאסרים על תנאי בתנאים שפורטו בגזר הדין</w:t>
      </w:r>
      <w:r>
        <w:rPr>
          <w:rtl w:val="true"/>
        </w:rPr>
        <w:t xml:space="preserve">; </w:t>
      </w:r>
      <w:r>
        <w:rPr>
          <w:rtl w:val="true"/>
        </w:rPr>
        <w:t>פסילה בפועל של רישיון נהיגה מכל סוג שהוא למשך שנתיים מיום השחרור ממאסר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למתלונן על סך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הוטלו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); </w:t>
      </w:r>
      <w:r>
        <w:rPr>
          <w:rtl w:val="true"/>
        </w:rPr>
        <w:t>מאסרים על תנאי בתנאים שפורטו בגזר הדין</w:t>
      </w:r>
      <w:r>
        <w:rPr>
          <w:rtl w:val="true"/>
        </w:rPr>
        <w:t xml:space="preserve">; </w:t>
      </w:r>
      <w:r>
        <w:rPr>
          <w:rtl w:val="true"/>
        </w:rPr>
        <w:t>פסילה בפועל של רישיון נהיגה מכל סוג שהוא למשך שנתיים מיום השחרור ממאסר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למתלונן על 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הופעל 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שהוטל עליו בהליך קודם כך ששלושה חודשים מתוך עונש המאסר על תנאי הופעלו בחופף לעונש המאסר בפועל 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הופעלו 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636" w:start="84" w:end="0"/>
        <w:jc w:val="both"/>
        <w:rPr>
          <w:rFonts w:cs="FrankRuehl"/>
          <w:spacing w:val="10"/>
          <w:sz w:val="22"/>
          <w:szCs w:val="28"/>
        </w:rPr>
      </w:pPr>
      <w:r>
        <w:rPr>
          <w:rFonts w:cs="Times New Roman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גזר הדין האמור נסבים הערעורים שלפנינו</w:t>
      </w:r>
      <w:r>
        <w:rPr>
          <w:rtl w:val="true"/>
        </w:rPr>
        <w:t xml:space="preserve">. </w:t>
      </w:r>
      <w:r>
        <w:rPr>
          <w:rtl w:val="true"/>
        </w:rPr>
        <w:t>המדינה סבורה כי המתחם שנקבע על ידי בית המשפט המחוזי והעונשים שהוטלו בגדרו אינם משקפים את הענישה הראויה נוכח הסיכון שנשקף מהמשיבים והפגיעה שנגרמה למתלונן</w:t>
      </w:r>
      <w:r>
        <w:rPr>
          <w:rtl w:val="true"/>
        </w:rPr>
        <w:t xml:space="preserve">; </w:t>
      </w:r>
      <w:r>
        <w:rPr>
          <w:rtl w:val="true"/>
        </w:rPr>
        <w:t xml:space="preserve">וכמו כן כי לא היה מקום להשית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עונש קל יותר מזה שהוטל על המשיב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הסיכון הנשקף מהמשיבים בא לידי ביטוי במעשיהם המפורטים בכתב האישום ובתסקיריו של שירות המבחן שעמד על המסוכנות של המשיבים ולא בא בהמלצה שיקומית בעניינם</w:t>
      </w:r>
      <w:r>
        <w:rPr>
          <w:rtl w:val="true"/>
        </w:rPr>
        <w:t xml:space="preserve">. </w:t>
      </w:r>
      <w:r>
        <w:rPr>
          <w:rtl w:val="true"/>
        </w:rPr>
        <w:t>עוד עומדת המדינה על עברם הפלילי המכביד של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בעבירות רלוונטיות בעניינו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הרשעות קדומות בעבירות חמורות בעניינו של המשיב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בעיקרם של דברים</w:t>
      </w:r>
      <w:r>
        <w:rPr>
          <w:rtl w:val="true"/>
        </w:rPr>
        <w:t xml:space="preserve">, </w:t>
      </w:r>
      <w:r>
        <w:rPr>
          <w:rtl w:val="true"/>
        </w:rPr>
        <w:t>כי בשונה ממקרים אחרים שאליהם הפנתה המדינה</w:t>
      </w:r>
      <w:r>
        <w:rPr>
          <w:rtl w:val="true"/>
        </w:rPr>
        <w:t xml:space="preserve">, </w:t>
      </w:r>
      <w:r>
        <w:rPr>
          <w:rtl w:val="true"/>
        </w:rPr>
        <w:t>במקרה זה נורתה ירייה אחת וגם היא לעבר הזרוע</w:t>
      </w:r>
      <w:r>
        <w:rPr>
          <w:rtl w:val="true"/>
        </w:rPr>
        <w:t xml:space="preserve">, </w:t>
      </w:r>
      <w:r>
        <w:rPr>
          <w:rtl w:val="true"/>
        </w:rPr>
        <w:t>ואף הנזק שנגרם אינו בר השוואה למקרים אחרים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מוסיף ומדגיש את הודאתו ואת שיתוף הפעולה מצדו</w:t>
      </w:r>
      <w:r>
        <w:rPr>
          <w:rtl w:val="true"/>
        </w:rPr>
        <w:t xml:space="preserve">, </w:t>
      </w:r>
      <w:r>
        <w:rPr>
          <w:rtl w:val="true"/>
        </w:rPr>
        <w:t>כמו גם את ההליך הטיפולי שאותו הוא עובר בין כותלי הכלא</w:t>
      </w:r>
      <w:r>
        <w:rPr>
          <w:rtl w:val="true"/>
        </w:rPr>
        <w:t xml:space="preserve">, </w:t>
      </w:r>
      <w:r>
        <w:rPr>
          <w:rtl w:val="true"/>
        </w:rPr>
        <w:t>כפי שעולה מהתסקיר המשלים של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על כך הוסף כי הרשעתו הקודמת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 בגין עבירה שבוצעה כמה שנים לפני העבירות נושא דיוננו</w:t>
      </w:r>
      <w:r>
        <w:rPr>
          <w:rtl w:val="true"/>
        </w:rPr>
        <w:t xml:space="preserve">. </w:t>
      </w:r>
      <w:r>
        <w:rPr>
          <w:rtl w:val="true"/>
        </w:rPr>
        <w:t xml:space="preserve">לטעמו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שנקבע על ידי בית המשפט ראוי הוא אך העונש שנגזר עליו בגדרו לא היה צריך לחרוג מהעונש שנגזר 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בגין האישום הראשון שהועמד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לדברי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דברים אלה יפים גם לשיעור הפיצוי שבו חויב</w:t>
      </w:r>
      <w:r>
        <w:rPr>
          <w:rtl w:val="true"/>
        </w:rPr>
        <w:t xml:space="preserve">. </w:t>
      </w:r>
      <w:r>
        <w:rPr>
          <w:rtl w:val="true"/>
        </w:rPr>
        <w:t xml:space="preserve">נוסף על אלה מבקש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לבטל את רכיב פסילת רישיון הנהיגה בעונשו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מצטרף אף הוא לטיעוני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באשר לאפיון העבירה ושיתוף הפעולה מצד המשיבים</w:t>
      </w:r>
      <w:r>
        <w:rPr>
          <w:rtl w:val="true"/>
        </w:rPr>
        <w:t xml:space="preserve">, </w:t>
      </w:r>
      <w:r>
        <w:rPr>
          <w:rtl w:val="true"/>
        </w:rPr>
        <w:t>תוך שהוא עומד על נסיבותיו האישיות הקשות מזה</w:t>
      </w:r>
      <w:r>
        <w:rPr>
          <w:rtl w:val="true"/>
        </w:rPr>
        <w:t xml:space="preserve">, </w:t>
      </w:r>
      <w:r>
        <w:rPr>
          <w:rtl w:val="true"/>
        </w:rPr>
        <w:t>ועל  ההליך השיקומי שאותו הוא עובר מזה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טוען הוא כי יש לדחות את ערעור המדינה ולקבל את ערעורו למצער באופן שעונש המאסר על תנאי יופעל כולו בחופף לעונש המאסר בפועל שהושת עליו בגדרו של ההליך דנא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המשלים שניתן בעניין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צוין כי שירות המבחן רואה חשיבות בשילוב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בטיפול שיהיה בו כדי לסייע בעריכת שינוי 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שקלנו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בערעוריהם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מצטרפים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לאמירת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הנדונות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ומרתיעה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שתהלום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שתרתיע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ושתגן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ביטחונו</w:t>
      </w:r>
      <w:r>
        <w:rPr>
          <w:rFonts w:cs="FrankRuehl"/>
          <w:spacing w:val="10"/>
          <w:sz w:val="22"/>
          <w:szCs w:val="28"/>
          <w:rtl w:val="true"/>
        </w:rPr>
        <w:t>" [</w:t>
      </w:r>
      <w:r>
        <w:rPr>
          <w:rFonts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/>
          <w:spacing w:val="10"/>
          <w:sz w:val="22"/>
          <w:szCs w:val="28"/>
          <w:rtl w:val="true"/>
        </w:rPr>
        <w:t xml:space="preserve">'].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הודגשו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הסכנות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הגלומות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פתרון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סכסוכים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כשהשימוש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שטח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עירוני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ובסביבת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cs="FrankRuehl"/>
          <w:spacing w:val="10"/>
          <w:sz w:val="22"/>
          <w:szCs w:val="28"/>
          <w:rtl w:val="true"/>
        </w:rPr>
        <w:t>" [</w:t>
      </w:r>
      <w:r>
        <w:rPr>
          <w:rFonts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/>
          <w:spacing w:val="10"/>
          <w:sz w:val="22"/>
          <w:szCs w:val="28"/>
          <w:rtl w:val="true"/>
        </w:rPr>
        <w:t>'] (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5015/15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ריאן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29.3.2016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32/14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עמאש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20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17.9.2015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2718/14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בראנץ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1.1.2015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באנו לכלל מסקנה כי בנסיבות העניין עקרון ההלימה</w:t>
      </w:r>
      <w:r>
        <w:rPr>
          <w:rtl w:val="true"/>
        </w:rPr>
        <w:t xml:space="preserve">, </w:t>
      </w:r>
      <w:r>
        <w:rPr>
          <w:rtl w:val="true"/>
        </w:rPr>
        <w:t>כמו גם הצורך בהגנה על שלום הציבור ושיקולי הרתעה</w:t>
      </w:r>
      <w:r>
        <w:rPr>
          <w:rtl w:val="true"/>
        </w:rPr>
        <w:t xml:space="preserve">, </w:t>
      </w:r>
      <w:r>
        <w:rPr>
          <w:rtl w:val="true"/>
        </w:rPr>
        <w:t>מחייבים החמרה בעונשם של המשיבים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באירוע ירי מתוכנן ומחושב לעבר פלג גופו העליון של המתלונן שבוצע בשעות הצהריים באזור מגורים</w:t>
      </w:r>
      <w:r>
        <w:rPr>
          <w:rtl w:val="true"/>
        </w:rPr>
        <w:t xml:space="preserve">, </w:t>
      </w:r>
      <w:r>
        <w:rPr>
          <w:rtl w:val="true"/>
        </w:rPr>
        <w:t>לאחר תכנון מדוקדק</w:t>
      </w:r>
      <w:r>
        <w:rPr>
          <w:rtl w:val="true"/>
        </w:rPr>
        <w:t xml:space="preserve">, </w:t>
      </w:r>
      <w:r>
        <w:rPr>
          <w:rtl w:val="true"/>
        </w:rPr>
        <w:t>תוך שימוש באופנוע גנוב והימלטות שכללה שליחת אדם שלישי להסתיר את עקבותיהם של המשיבים</w:t>
      </w:r>
      <w:r>
        <w:rPr>
          <w:rtl w:val="true"/>
        </w:rPr>
        <w:t xml:space="preserve">. </w:t>
      </w:r>
      <w:r>
        <w:rPr>
          <w:rtl w:val="true"/>
        </w:rPr>
        <w:t>הגם שלמרבה המזל לא נגרמה תוצאה חמורה יותר</w:t>
      </w:r>
      <w:r>
        <w:rPr>
          <w:rtl w:val="true"/>
        </w:rPr>
        <w:t xml:space="preserve">, </w:t>
      </w:r>
      <w:r>
        <w:rPr>
          <w:rtl w:val="true"/>
        </w:rPr>
        <w:t>הפגיעה במתלונן הייתה קשה</w:t>
      </w:r>
      <w:r>
        <w:rPr>
          <w:rtl w:val="true"/>
        </w:rPr>
        <w:t xml:space="preserve">: </w:t>
      </w:r>
      <w:r>
        <w:rPr>
          <w:rtl w:val="true"/>
        </w:rPr>
        <w:t>חורים בקיבה ונזקים משמעותיים בסרעפת ובכבד</w:t>
      </w:r>
      <w:r>
        <w:rPr>
          <w:rtl w:val="true"/>
        </w:rPr>
        <w:t xml:space="preserve">, </w:t>
      </w:r>
      <w:r>
        <w:rPr>
          <w:rtl w:val="true"/>
        </w:rPr>
        <w:t>שהצריכו כריתת חלק מן הכבד בניתוח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ומבלי לקבוע מסמרות באשר לתקרת מתחם העונש ההולם</w:t>
      </w:r>
      <w:r>
        <w:rPr>
          <w:rtl w:val="true"/>
        </w:rPr>
        <w:t xml:space="preserve">, </w:t>
      </w:r>
      <w:r>
        <w:rPr>
          <w:rtl w:val="true"/>
        </w:rPr>
        <w:t>נראה כי זו אינה יכולה להיות נמוכה 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בבואנו לקבוע את עונשם של המשיבים בתוך המתחם</w:t>
      </w:r>
      <w:r>
        <w:rPr>
          <w:rtl w:val="true"/>
        </w:rPr>
        <w:t xml:space="preserve">, </w:t>
      </w:r>
      <w:r>
        <w:rPr>
          <w:rtl w:val="true"/>
        </w:rPr>
        <w:t>יש ליתן משקל לכך שלמשיבים עבר פלילי משמעותי ולכך שהם ריצו בעבר עונשי מאסר</w:t>
      </w:r>
      <w:r>
        <w:rPr>
          <w:rtl w:val="true"/>
        </w:rPr>
        <w:t xml:space="preserve">. </w:t>
      </w:r>
      <w:r>
        <w:rPr>
          <w:rtl w:val="true"/>
        </w:rPr>
        <w:t xml:space="preserve">עוד יש להדגיש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ביצע את העבירה תוך הפרת תנאי מעצר בית שהוטלו עליו בתיק אחר והמשיב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 את המיוחס לו עת היה תלוי ועומד נגדו עונש 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נותנים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להודאתם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מתחשבים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למשיבים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יעמדו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הכרעתנו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לקחנו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כמשיב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4641/12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17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20.11.2013</w:t>
      </w:r>
      <w:r>
        <w:rPr>
          <w:rFonts w:cs="FrankRuehl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שעונשם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ייוותרו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 באדר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27.2.2018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17064590</w:t>
      </w:r>
      <w:r>
        <w:rPr>
          <w:sz w:val="16"/>
          <w:rtl w:val="true"/>
        </w:rPr>
        <w:t>_</w:t>
      </w:r>
      <w:r>
        <w:rPr>
          <w:sz w:val="16"/>
        </w:rPr>
        <w:t>M01.doc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54678313-6459/17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6459/17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 קדושים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28723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87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87.b" TargetMode="External"/><Relationship Id="rId17" Type="http://schemas.openxmlformats.org/officeDocument/2006/relationships/hyperlink" Target="http://www.nevo.co.il/case/20450586" TargetMode="External"/><Relationship Id="rId18" Type="http://schemas.openxmlformats.org/officeDocument/2006/relationships/hyperlink" Target="http://www.nevo.co.il/case/20291305" TargetMode="External"/><Relationship Id="rId19" Type="http://schemas.openxmlformats.org/officeDocument/2006/relationships/hyperlink" Target="http://www.nevo.co.il/case/13114097" TargetMode="External"/><Relationship Id="rId20" Type="http://schemas.openxmlformats.org/officeDocument/2006/relationships/hyperlink" Target="http://www.nevo.co.il/case/6245782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2018-02-28T13:11:00Z</dcterms:created>
  <dc:creator> </dc:creator>
  <dc:description/>
  <cp:keywords/>
  <dc:language>en-IL</dc:language>
  <cp:lastModifiedBy>orly</cp:lastModifiedBy>
  <cp:lastPrinted>2018-02-26T17:58:00Z</cp:lastPrinted>
  <dcterms:modified xsi:type="dcterms:W3CDTF">2018-02-28T13:11:00Z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 קדושים;שלמה אלקבץ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22961878:6;22919929:7;22961875:5;21287239;20450586;20291305;13114097;6245782</vt:lpwstr>
  </property>
  <property fmtid="{D5CDD505-2E9C-101B-9397-08002B2CF9AE}" pid="9" name="CITY">
    <vt:lpwstr/>
  </property>
  <property fmtid="{D5CDD505-2E9C-101B-9397-08002B2CF9AE}" pid="10" name="DATE">
    <vt:lpwstr>20180227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מינץ;י' אלרון</vt:lpwstr>
  </property>
  <property fmtid="{D5CDD505-2E9C-101B-9397-08002B2CF9AE}" pid="14" name="LAWLISTTMP1">
    <vt:lpwstr>70301/499.a.1;329.a.1;329.a.2;244;144.b;287.b</vt:lpwstr>
  </property>
  <property fmtid="{D5CDD505-2E9C-101B-9397-08002B2CF9AE}" pid="15" name="LAWYER">
    <vt:lpwstr>ניר דוד;גיא פרידמן;ורד חלואה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בתי-משפט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77;77;77;77;77;14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1446;1446;1446;1446;1446;333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עקרון ההלימה‏</vt:lpwstr>
  </property>
  <property fmtid="{D5CDD505-2E9C-101B-9397-08002B2CF9AE}" pid="53" name="NOSE35">
    <vt:lpwstr>מתחם הענישה</vt:lpwstr>
  </property>
  <property fmtid="{D5CDD505-2E9C-101B-9397-08002B2CF9AE}" pid="54" name="NOSE36">
    <vt:lpwstr>התערבות במידת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13800;8995;8982;14799;14985;2708</vt:lpwstr>
  </property>
  <property fmtid="{D5CDD505-2E9C-101B-9397-08002B2CF9AE}" pid="59" name="PADIDATE">
    <vt:lpwstr>20180228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6459;6856;6870</vt:lpwstr>
  </property>
  <property fmtid="{D5CDD505-2E9C-101B-9397-08002B2CF9AE}" pid="65" name="PROCYEAR">
    <vt:lpwstr>17;17;17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410120180227</vt:lpwstr>
  </property>
  <property fmtid="{D5CDD505-2E9C-101B-9397-08002B2CF9AE}" pid="69" name="TYPE_N_DATE">
    <vt:lpwstr>41020180227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