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6469/19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דקה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נצרת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19493-10-17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29.08.2019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אזולאי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20.11.2019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דביר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נדחה ערעור על עונש 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שהושת על המערער בגין הרשעתו בקשירת קשר לביצוע פשע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החזקת נשק שלא כדין וירי באזור מגורים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הצורך בהטלת ענישה מחמירה בגין שימוש בנשק 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 העונש אינו סוטה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ולמעשה העונש מקל מאוד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בחומרת מעשי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בעובדות כתב אישום מתוקן שהוגש נגדו 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והורשע בעבירה של קשירת קשר לביצוע 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של החזקת נשק שלא כדין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ובביצוע עבירה של ירי באזור מגורים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גזר על המערער עונש של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על תנאי ותשלום קנס בסך של </w:t>
      </w:r>
      <w:r>
        <w:rPr>
          <w:rFonts w:cs="Times New Roman" w:ascii="Times New Roman" w:hAnsi="Times New Roman"/>
          <w:spacing w:val="0"/>
          <w:szCs w:val="26"/>
        </w:rPr>
        <w:t>3,000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המשנה לנשיאה מלצר והשופט קרא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נקודת המוצא היא כי אין זה מדרכה של ערכאת הערעור להתערב בעונש שהושת על 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בנסיבות חריגות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בפסיקה הודגש כי אין להשלים עם ביצוע עבירות בנשק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יש להטיל עונשים חמורים ומרתיעים בגין שימוש בנשק חם לצורך פתרון סכסוכים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המקרה אין להמעיט מחומרת המעשים אותם ביצע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פעל עבור בצע כסף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ובשתי הזדמנויות ניסה לפגוע בביתו של המתלונן בשעה ששהו בו בני משפחתו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בפעם אחת השתמש המערער באקדח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 וירה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כדורים אשר פגעו בחלון ובקיר ביתו של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ובפעם אחרת השליך רימון הלם לעבר ביתו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אך בנס הסתיימו אירועים אלו בלא נפגעים בנפש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לומר כי העונש שהוטל על המערער מחמיר עמו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כי הוא סוטה ממדיניות הענישה הנוהגת ומצדיק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אף מקל עמו מאוד בהתחשב בחומרת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טענת המערער לפיה יש להקל בעונשו לנוכח העונשים שהוטלו על שולחיו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 שבהן הורשעו יתר הנאשמים חמורות פחות מאלו שהורשע בהן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ביצע את החלק הארי של המעשים החמורים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הגורם שביצע את הירי והשליך את רימון ההלם לעבר ביתו של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ומעשיו הם אלו שהיו יכולים לגרום חלילה לתוצאה קטלנית של פגיעה בחיי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משביצע המערער את הירי בפועל לעבר בית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להקל בעונשו אך ורק משום שעשה זאת במצוות שולחיו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דין הטענה להידחות אף לנוכח העובדה כי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התחשב בעיקרון אחידות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וכתוצאה מכך העמיד את עונשו בתחתית מתחם העונש ההולם את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הטענה כי יש להפחית מהעונש שהוטל על המערער לנוכח נסיבותיו האישיות ומשיקולי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הוא כי בבואו לדון בגזירת עונשם של אלו אשר הורשע בביצוע עבירות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להעניק משקל עודף לאינטרס הציבורי בדבר הצורך להרתיע מפני ביצוע עבירות בנשק על פני נסיבותיו האישיות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ובהתחשב בכך שנסיבותיו האישיות של המערער נלקחו כבר בחשבון לקוּלא בעת גזירת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בשיקולים אלו כדי להקל בעונשו מעבר להקלה שהקל עמו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לפנינו ערעור על גזר דינו של בית המשפט המחוזי בנצרת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אזולאי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19493-10-17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29.8.2019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בגדרו נגזרו על המערער עונש של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 ועונשים נוספים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לעניין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כתב האישום המתוקן מייחס למערער עבירה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עבירות של החזקת נשק שלא כדין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 העונשין</w:t>
      </w:r>
      <w:r>
        <w:rPr>
          <w:rtl w:val="true"/>
        </w:rPr>
        <w:t xml:space="preserve">; </w:t>
      </w:r>
      <w:r>
        <w:rPr>
          <w:rtl w:val="true"/>
        </w:rPr>
        <w:t>וכן ביצוע עבירה של ירי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 העונשין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>במועד שאינו ידוע למשיבה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12.6.2017</w:t>
      </w:r>
      <w:r>
        <w:rPr>
          <w:rtl w:val="true"/>
        </w:rPr>
        <w:t>, "</w:t>
      </w:r>
      <w:r>
        <w:rPr>
          <w:rtl w:val="true"/>
        </w:rPr>
        <w:t>התעורר כעסו</w:t>
      </w:r>
      <w:r>
        <w:rPr>
          <w:rtl w:val="true"/>
        </w:rPr>
        <w:t xml:space="preserve">" </w:t>
      </w:r>
      <w:r>
        <w:rPr>
          <w:rtl w:val="true"/>
        </w:rPr>
        <w:t xml:space="preserve">של </w:t>
      </w:r>
      <w:r>
        <w:rPr>
          <w:rFonts w:ascii="Century" w:hAnsi="Century" w:cs="Century"/>
          <w:sz w:val="22"/>
          <w:sz w:val="22"/>
          <w:rtl w:val="true"/>
        </w:rPr>
        <w:t>נאיל ג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 xml:space="preserve">ובראן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נאיל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על המתלונן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כתוצאה מכך</w:t>
      </w:r>
      <w:r>
        <w:rPr>
          <w:rtl w:val="true"/>
        </w:rPr>
        <w:t xml:space="preserve">, </w:t>
      </w:r>
      <w:r>
        <w:rPr>
          <w:rtl w:val="true"/>
        </w:rPr>
        <w:t>קָשַׁר נאיל קֶשֶׁר עם קרוב משפחתו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עמאר אבו דקה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רמזי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, "</w:t>
      </w:r>
      <w:r>
        <w:rPr>
          <w:rtl w:val="true"/>
        </w:rPr>
        <w:t>לגרום לירי והשלכת רימונים</w:t>
      </w:r>
      <w:r>
        <w:rPr>
          <w:rtl w:val="true"/>
        </w:rPr>
        <w:t xml:space="preserve">" </w:t>
      </w:r>
      <w:r>
        <w:rPr>
          <w:rtl w:val="true"/>
        </w:rPr>
        <w:t>לעבר בית המתלונן</w:t>
      </w:r>
      <w:r>
        <w:rPr>
          <w:rtl w:val="true"/>
        </w:rPr>
        <w:t xml:space="preserve">, </w:t>
      </w:r>
      <w:r>
        <w:rPr>
          <w:rtl w:val="true"/>
        </w:rPr>
        <w:t>ובמסגרת זו ביקש ממנו למצוא מאן דהוא שיבצע זאת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ורמזי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נאיל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ולממן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ייתפס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קנטינה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12.6.2017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המערער ירה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כדורים מאקדח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 לעבר ביתו של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באותה עת שהו בבית בני משפחתו של המתלונן</w:t>
      </w:r>
      <w:r>
        <w:rPr>
          <w:rtl w:val="true"/>
        </w:rPr>
        <w:t xml:space="preserve">, </w:t>
      </w:r>
      <w:r>
        <w:rPr>
          <w:rtl w:val="true"/>
        </w:rPr>
        <w:t>וחלק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מהקליעים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11.9.2017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 השליך רימון הלם לעבר בית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שעה שהוא ובני ביתו ישנו בבית בקרבה למקום פגיעת הרימון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הרימון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</w:rPr>
      </w:pPr>
      <w:r>
        <w:rPr>
          <w:rtl w:val="true"/>
        </w:rPr>
        <w:t>במסגרת הסדר טיעון שנערך בין הצדדים הודה המערער בעובדות כתב האישום המתוקן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 xml:space="preserve">והמשיבה התחייבה כי תבקש </w:t>
      </w:r>
      <w:r>
        <w:rPr>
          <w:rtl w:val="true"/>
        </w:rPr>
        <w:t xml:space="preserve">מבית המשפט להטיל עליו </w:t>
      </w:r>
      <w:r>
        <w:rPr>
          <w:rtl w:val="true"/>
        </w:rPr>
        <w:t>"</w:t>
      </w:r>
      <w:r>
        <w:rPr>
          <w:rtl w:val="true"/>
        </w:rPr>
        <w:t xml:space="preserve">עונש ראוי של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 בפועל ועונשים נלווים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Arial TUR;Arial" w:hAnsi="Arial TUR;Arial" w:cs="Arial TUR;Arial"/>
        </w:rPr>
      </w:pPr>
      <w:r>
        <w:rPr>
          <w:rFonts w:cs="Arial TUR;Arial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 זאת</w:t>
      </w:r>
      <w:r>
        <w:rPr>
          <w:rtl w:val="true"/>
        </w:rPr>
        <w:t xml:space="preserve">, </w:t>
      </w:r>
      <w:r>
        <w:rPr>
          <w:rtl w:val="true"/>
        </w:rPr>
        <w:t xml:space="preserve">הורשע המערער בעבירות אשר יוחסו לו בכתב האישום המתוקן בבית המשפט המחוזי בנצרת ביום </w:t>
      </w:r>
      <w:r>
        <w:rPr/>
        <w:t>14.3.2019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מתחם עונש הולם אחד לכלל העבירות שבהן הורשע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וציין כי מעשיו פגעו פגיעה ממשית בערך החברתי המוגן בעבירות אלו </w:t>
      </w:r>
      <w:r>
        <w:rPr>
          <w:rtl w:val="true"/>
        </w:rPr>
        <w:t>–</w:t>
      </w:r>
      <w:r>
        <w:rPr>
          <w:rtl w:val="true"/>
        </w:rPr>
        <w:t xml:space="preserve"> שמירה על ביטחון הציבור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בגזירת עונשו של המערער בתוך המתחם</w:t>
      </w:r>
      <w:r>
        <w:rPr>
          <w:rtl w:val="true"/>
        </w:rPr>
        <w:t xml:space="preserve">, </w:t>
      </w:r>
      <w:r>
        <w:rPr>
          <w:rtl w:val="true"/>
        </w:rPr>
        <w:t>התחשב בית המשפט המחוזי לחוּמרא באינטרס הציבורי בדבר הרתעה מפני ביצוע עבירות בנשק</w:t>
      </w:r>
      <w:r>
        <w:rPr>
          <w:rtl w:val="true"/>
        </w:rPr>
        <w:t xml:space="preserve">, </w:t>
      </w:r>
      <w:r>
        <w:rPr>
          <w:rtl w:val="true"/>
        </w:rPr>
        <w:t>ובכך שמעשיו היו עלולים לפגוע אף בבני משפחת המתלונן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לקוּלא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"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19622-10-17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השית בית המשפט המחוזי על המערער 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</w:t>
      </w:r>
      <w:r>
        <w:rPr>
          <w:rtl w:val="true"/>
        </w:rPr>
        <w:t>"</w:t>
      </w:r>
      <w:r>
        <w:rPr>
          <w:rtl w:val="true"/>
        </w:rPr>
        <w:t>עבירה הקשורה בנשק</w:t>
      </w:r>
      <w:r>
        <w:rPr>
          <w:rtl w:val="true"/>
        </w:rPr>
        <w:t xml:space="preserve">"; </w:t>
      </w:r>
      <w:r>
        <w:rPr>
          <w:rtl w:val="true"/>
        </w:rPr>
        <w:t xml:space="preserve">וכן תשלום קנס בסך של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בערעור שלפנינו טוען המערער כי בית המשפט המחוזי החמיר בעונשו יתר על המידה</w:t>
      </w:r>
      <w:r>
        <w:rPr>
          <w:rtl w:val="true"/>
        </w:rPr>
        <w:t xml:space="preserve">, </w:t>
      </w:r>
      <w:r>
        <w:rPr>
          <w:rtl w:val="true"/>
        </w:rPr>
        <w:t xml:space="preserve">וזאת בהשוואה לעונשים אשר הוטלו על שולחיו </w:t>
      </w:r>
      <w:r>
        <w:rPr>
          <w:rtl w:val="true"/>
        </w:rPr>
        <w:t>–</w:t>
      </w:r>
      <w:r>
        <w:rPr>
          <w:rtl w:val="true"/>
        </w:rPr>
        <w:t xml:space="preserve"> נאיל ורמזי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מידת האשם שיש לייחס לו פחותה בהשוואה לזו שיש לייחס לשניים אלו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שנערך לפנינו טענה באת</w:t>
      </w:r>
      <w:r>
        <w:rPr>
          <w:rtl w:val="true"/>
        </w:rPr>
        <w:t>-</w:t>
      </w:r>
      <w:r>
        <w:rPr>
          <w:rtl w:val="true"/>
        </w:rPr>
        <w:t>כוח המשיבה כי אין להקל בעונשו של המערער  לנוכח חומרת המעשים שביצע ופוטנציאל הנזק שהיה טמון בהם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 הוסיפה וטענה כי אין להתערב בעונשו של המערער גם לאור ההסכמה העונשית אליה הגיעו הצדדים במסגרת הסדר הטיעון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sz w:val="20"/>
          <w:szCs w:val="24"/>
        </w:rPr>
      </w:pPr>
      <w:r>
        <w:rPr>
          <w:rFonts w:cs="Century" w:ascii="Century" w:hAnsi="Century"/>
          <w:sz w:val="2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נקודת המוצא בדיון שלפנינו היא כי אין זה מדרכה של ערכאת הערעור להתערב בעונש שהושת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בנסיבות חריגות שבהן על פני הדברים נפלה טעות מהותית ובולטת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במקרים שבהם ניכרת חריגה קיצונית ממדיניות הענישה הנוהגת במקרים דומים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זיתוני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לחוות דעתי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26.12.2017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בפסיקתו של בית משפט זה הודגש לאורך השנים </w:t>
      </w:r>
      <w:r>
        <w:rPr>
          <w:rtl w:val="true"/>
        </w:rPr>
        <w:t>כי אין להשלים עם ביצוען של 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ונקבע לא פעם כי יש להטיל עונשים חמורים ומרתיעים בגין שימוש בנשק חם לצורך פתרון סכסוכים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>:</w:t>
      </w:r>
      <w:r>
        <w:rPr>
          <w:rFonts w:cs="Century" w:ascii="Century" w:hAnsi="Century"/>
          <w:sz w:val="22"/>
          <w:rtl w:val="true"/>
        </w:rPr>
        <w:t xml:space="preserve"> </w:t>
      </w:r>
      <w:hyperlink r:id="rId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4530/19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זאווי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11.8.2018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32/14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17.9.2015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אך לאחרונה קבעתי בעניין אחר כי לנוכח השימוש ההולך וגובר בנשק חם לצורך יישוב סכסוכים בימים אלה  </w:t>
      </w:r>
      <w:r>
        <w:rPr>
          <w:rtl w:val="true"/>
        </w:rPr>
        <w:t>–</w:t>
      </w:r>
      <w:r>
        <w:rPr>
          <w:rtl w:val="true"/>
        </w:rPr>
        <w:t xml:space="preserve"> יש להחמיר במדיניות הענישה בגין ביצוע עבירות הכוללות שימוש בנשק חם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5.11.2019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סובח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שבהחמרת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וכמעשה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התמודדות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משטרת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אמצעי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ואירועי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ביישובי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וביישובים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(</w:t>
      </w:r>
      <w:r>
        <w:rPr/>
        <w:t>2018</w:t>
      </w:r>
      <w:r>
        <w:rPr>
          <w:rtl w:val="true"/>
        </w:rPr>
        <w:t>))"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 אלו יפים אף לענייננו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המקרה דנן</w:t>
      </w:r>
      <w:r>
        <w:rPr>
          <w:rtl w:val="true"/>
        </w:rPr>
        <w:t xml:space="preserve">, </w:t>
      </w:r>
      <w:r>
        <w:rPr>
          <w:rtl w:val="true"/>
        </w:rPr>
        <w:t>אין להמעיט מחומרת המעשים אותם ביצע המערער</w:t>
      </w:r>
      <w:r>
        <w:rPr>
          <w:rtl w:val="true"/>
        </w:rPr>
        <w:t xml:space="preserve">. </w:t>
      </w:r>
      <w:r>
        <w:rPr>
          <w:rtl w:val="true"/>
        </w:rPr>
        <w:t>המערער פעל עבור בצע כסף</w:t>
      </w:r>
      <w:r>
        <w:rPr>
          <w:rtl w:val="true"/>
        </w:rPr>
        <w:t xml:space="preserve">, </w:t>
      </w:r>
      <w:r>
        <w:rPr>
          <w:rtl w:val="true"/>
        </w:rPr>
        <w:t>ובשתי הזדמנויות שונות ניסה לפגוע בביתו של המתלונן לעת ערב ובשעה ששהו בו בני משפחתו</w:t>
      </w:r>
      <w:r>
        <w:rPr>
          <w:rtl w:val="true"/>
        </w:rPr>
        <w:t xml:space="preserve">. </w:t>
      </w:r>
      <w:r>
        <w:rPr>
          <w:rtl w:val="true"/>
        </w:rPr>
        <w:t xml:space="preserve">בפעם האחת השתמש המערער באקדח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וירה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 אשר פגעו בחלון ובקיר ביתו של המתלונן</w:t>
      </w:r>
      <w:r>
        <w:rPr>
          <w:rtl w:val="true"/>
        </w:rPr>
        <w:t xml:space="preserve">; </w:t>
      </w:r>
      <w:r>
        <w:rPr>
          <w:rtl w:val="true"/>
        </w:rPr>
        <w:t>ובפעם האחרת השליך רימון הלם לעבר ביתו</w:t>
      </w:r>
      <w:r>
        <w:rPr>
          <w:rtl w:val="true"/>
        </w:rPr>
        <w:t xml:space="preserve">. </w:t>
      </w:r>
      <w:r>
        <w:rPr>
          <w:rtl w:val="true"/>
        </w:rPr>
        <w:t>אך בנס הסתיימו אירועים אלו בלא נפגעים בנפש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איני סבור כי העונש שהוטל על המערער מחמיר עמו</w:t>
      </w:r>
      <w:r>
        <w:rPr>
          <w:rtl w:val="true"/>
        </w:rPr>
        <w:t xml:space="preserve">, </w:t>
      </w:r>
      <w:r>
        <w:rPr>
          <w:rtl w:val="true"/>
        </w:rPr>
        <w:t>או כי הוא סוטה ממדיניות הענישה הנוהגת ומצדיק את התערבותנו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 xml:space="preserve">לדידי העונש אשר הוטל על 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cs="Century"/>
          <w:sz w:val="22"/>
          <w:sz w:val="22"/>
          <w:rtl w:val="true"/>
        </w:rPr>
        <w:t xml:space="preserve"> בהתחשב בחומרת מעשיו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 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לקבל גם את טענת המערער לפיה יש להקל בעונשו לנוכח העונשים אשר הוטלו על שולחיו</w:t>
      </w:r>
      <w:r>
        <w:rPr>
          <w:rtl w:val="true"/>
        </w:rPr>
        <w:t xml:space="preserve">, </w:t>
      </w:r>
      <w:r>
        <w:rPr>
          <w:rtl w:val="true"/>
        </w:rPr>
        <w:t>וזאת מהטעמים דלהלן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העבירות שבהן הורשעו יתר הנאשמים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 הנוגע לחלקם בפרשה שבה הורשע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חמורות פחות מאלו שהורשע בהן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נאיל הורשע בעבירות של קשירת קשר לביצוע פשע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סיוע</w:t>
      </w:r>
      <w:r>
        <w:rPr>
          <w:rFonts w:ascii="Century" w:hAnsi="Century" w:cs="Century"/>
          <w:rtl w:val="true"/>
        </w:rPr>
        <w:t xml:space="preserve"> להחזקת נשק שלא כדין בלבד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ואילו רמזי הורשע רק בעבירות של קשירת קשר לביצוע פשע ושיבוש הליכי משפט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ומבלי להמעיט בחומרת המעשים שבגינם הורשעו יתר המעורבים בפרשה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שבנסיבות המקרה דנן המערער ביצע את החלק הארי של המעשים החמורים המתוארים בכתב האישום המתוקן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הוא הגורם אשר ביצע את הירי והשליך את רימון ההלם לעבר ביתו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ומעשיו הם אלו שהיו יכולים לגרום חלילה לתוצאה קטלנית של פגיעה בחיי אדם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משביצע המערער את הירי בפועל לעבר בית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אין להקל בעונשו אך ורק משום שעשה זאת במצוות שולחיו </w:t>
      </w:r>
      <w:r>
        <w:rPr>
          <w:rtl w:val="true"/>
        </w:rPr>
        <w:t>(</w:t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5944/10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5</w:t>
      </w:r>
      <w:r>
        <w:rPr>
          <w:rtl w:val="true"/>
        </w:rPr>
        <w:t xml:space="preserve"> (</w:t>
      </w:r>
      <w:r>
        <w:rPr/>
        <w:t>6.5.2012</w:t>
      </w:r>
      <w:r>
        <w:rPr>
          <w:rtl w:val="true"/>
        </w:rPr>
        <w:t xml:space="preserve">)). 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דין הטענה להידחות אף לנוכח העובדה כי בית המשפט המחוזי התחשב בגזר דינו בעיקרון אחידות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וכתוצאה מכך העמיד את עונשו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בתחתית</w:t>
      </w:r>
      <w:r>
        <w:rPr>
          <w:rFonts w:ascii="Century" w:hAnsi="Century" w:cs="Century"/>
          <w:rtl w:val="true"/>
        </w:rPr>
        <w:t xml:space="preserve"> מתחם העונש ההולם את מעשיו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יש לדחות גם את הטענה כי יש להפחית מהעונש שהוטל על המערער לנוכח נסיבותיו האישיות ומשיקולי שיקום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מולנר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54</w:t>
      </w:r>
      <w:r>
        <w:rPr>
          <w:rtl w:val="true"/>
        </w:rPr>
        <w:t xml:space="preserve"> (</w:t>
      </w:r>
      <w:r>
        <w:rPr/>
        <w:t>9.6.2010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לקוּלא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סוף דבר </w:t>
      </w:r>
      <w:r>
        <w:rPr>
          <w:rtl w:val="true"/>
        </w:rPr>
        <w:t>–</w:t>
      </w:r>
      <w:r>
        <w:rPr>
          <w:rtl w:val="true"/>
        </w:rPr>
        <w:t xml:space="preserve"> הערעור נדחה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22.12.2019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 xml:space="preserve">בבית </w:t>
      </w:r>
      <w:r>
        <w:rPr>
          <w:rtl w:val="true"/>
        </w:rPr>
        <w:t>המעצר צלמון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27.11.2019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19064690</w:t>
      </w:r>
      <w:r>
        <w:rPr>
          <w:sz w:val="16"/>
          <w:rtl w:val="true"/>
        </w:rPr>
        <w:t>_</w:t>
      </w:r>
      <w:r>
        <w:rPr>
          <w:sz w:val="16"/>
        </w:rPr>
        <w:t>J04.docx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54678313-6469/19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6469/19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אבו דקה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14121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case/23141213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case/23141339" TargetMode="External"/><Relationship Id="rId13" Type="http://schemas.openxmlformats.org/officeDocument/2006/relationships/hyperlink" Target="http://www.nevo.co.il/case/22006497" TargetMode="External"/><Relationship Id="rId14" Type="http://schemas.openxmlformats.org/officeDocument/2006/relationships/hyperlink" Target="http://www.nevo.co.il/case/25836997" TargetMode="External"/><Relationship Id="rId15" Type="http://schemas.openxmlformats.org/officeDocument/2006/relationships/hyperlink" Target="http://www.nevo.co.il/case/20291305" TargetMode="External"/><Relationship Id="rId16" Type="http://schemas.openxmlformats.org/officeDocument/2006/relationships/hyperlink" Target="http://www.nevo.co.il/case/25824863" TargetMode="External"/><Relationship Id="rId17" Type="http://schemas.openxmlformats.org/officeDocument/2006/relationships/hyperlink" Target="http://www.nevo.co.il/case/6246723" TargetMode="External"/><Relationship Id="rId18" Type="http://schemas.openxmlformats.org/officeDocument/2006/relationships/hyperlink" Target="http://www.nevo.co.il/case/5969313" TargetMode="External"/><Relationship Id="rId19" Type="http://schemas.openxmlformats.org/officeDocument/2006/relationships/hyperlink" Target="http://supreme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2019-11-28T09:42:00Z</dcterms:created>
  <dc:creator>h4</dc:creator>
  <dc:description/>
  <cp:keywords/>
  <dc:language>en-IL</dc:language>
  <cp:lastModifiedBy>orly</cp:lastModifiedBy>
  <cp:lastPrinted>2019-11-27T09:07:00Z</cp:lastPrinted>
  <dcterms:modified xsi:type="dcterms:W3CDTF">2019-11-28T09:42:00Z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מחמוד אבו דקה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23141213:2;23141339;22006497;25836997;20291305;25824863;6246723;5969313</vt:lpwstr>
  </property>
  <property fmtid="{D5CDD505-2E9C-101B-9397-08002B2CF9AE}" pid="9" name="CITY">
    <vt:lpwstr/>
  </property>
  <property fmtid="{D5CDD505-2E9C-101B-9397-08002B2CF9AE}" pid="10" name="DATE">
    <vt:lpwstr>20191127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קרא;י' אלרון;ח' מלצר</vt:lpwstr>
  </property>
  <property fmtid="{D5CDD505-2E9C-101B-9397-08002B2CF9AE}" pid="14" name="LAWLISTTMP1">
    <vt:lpwstr>70301/499.a.1;144.a;340a</vt:lpwstr>
  </property>
  <property fmtid="{D5CDD505-2E9C-101B-9397-08002B2CF9AE}" pid="15" name="LAWYER">
    <vt:lpwstr>מורן פלמן;דביר גיל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13800;8982;8995</vt:lpwstr>
  </property>
  <property fmtid="{D5CDD505-2E9C-101B-9397-08002B2CF9AE}" pid="59" name="PADIDATE">
    <vt:lpwstr>20191128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6469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410120191127</vt:lpwstr>
  </property>
  <property fmtid="{D5CDD505-2E9C-101B-9397-08002B2CF9AE}" pid="69" name="TYPE_N_DATE">
    <vt:lpwstr>41020191127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