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;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6479/18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המשנה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ח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מלצר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קרא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מינץ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bookmarkStart w:id="3" w:name="FirstAppellant"/>
            <w:bookmarkEnd w:id="3"/>
            <w:r>
              <w:rPr>
                <w:rFonts w:ascii="David;Times New Roman" w:hAnsi="David;Times New Roman"/>
                <w:rtl w:val="true"/>
              </w:rPr>
              <w:t>המערער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אלון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קסטיאל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ascii="David;Times New Roman" w:hAnsi="David;Times New Roman"/>
                <w:rtl w:val="true"/>
              </w:rPr>
              <w:t>המשיב</w:t>
            </w:r>
            <w:r>
              <w:rPr>
                <w:rFonts w:ascii="David;Times New Roman" w:hAnsi="David;Times New Roman"/>
                <w:rtl w:val="true"/>
              </w:rPr>
              <w:t>ה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>
          <w:rFonts w:cs="David;Times New Roman"/>
          <w:spacing w:val="0"/>
          <w:szCs w:val="24"/>
        </w:rPr>
      </w:pPr>
      <w:r>
        <w:rPr>
          <w:rFonts w:cs="David;Times New Roman"/>
          <w:spacing w:val="0"/>
          <w:szCs w:val="24"/>
          <w:rtl w:val="true"/>
        </w:rPr>
        <w:tab/>
        <w:t xml:space="preserve"> </w:t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אביב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יפו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נויטל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סג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נ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חיימוביץ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וג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גונטובניק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23.7.2018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;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65096-12-16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;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</w:p>
        </w:tc>
      </w:tr>
    </w:tbl>
    <w:p>
      <w:pPr>
        <w:pStyle w:val="Ruller31"/>
        <w:ind w:end="0"/>
        <w:jc w:val="start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Ruller31"/>
        <w:ind w:end="0"/>
        <w:jc w:val="start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תאריך</w:t>
      </w:r>
      <w:r>
        <w:rPr>
          <w:rFonts w:cs="Times New Roman;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הישיבה</w:t>
      </w:r>
      <w:r>
        <w:rPr>
          <w:sz w:val="24"/>
          <w:szCs w:val="24"/>
          <w:rtl w:val="true"/>
        </w:rPr>
        <w:t>:</w:t>
      </w:r>
      <w:r>
        <w:rPr>
          <w:rtl w:val="true"/>
        </w:rPr>
        <w:tab/>
      </w:r>
      <w:r>
        <w:rPr>
          <w:sz w:val="24"/>
          <w:sz w:val="24"/>
          <w:szCs w:val="24"/>
          <w:rtl w:val="true"/>
        </w:rPr>
        <w:t>כ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ז</w:t>
      </w:r>
      <w:r>
        <w:rPr>
          <w:rFonts w:cs="Times New Roman;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בניסן</w:t>
      </w:r>
      <w:r>
        <w:rPr>
          <w:rFonts w:cs="Times New Roman;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התשע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ט</w:t>
      </w:r>
      <w:r>
        <w:rPr>
          <w:rFonts w:cs="Times New Roman;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(</w:t>
      </w:r>
      <w:r>
        <w:rPr>
          <w:sz w:val="24"/>
          <w:szCs w:val="24"/>
        </w:rPr>
        <w:t>2.5.2019</w:t>
      </w:r>
      <w:r>
        <w:rPr>
          <w:sz w:val="24"/>
          <w:szCs w:val="24"/>
          <w:rtl w:val="true"/>
        </w:rPr>
        <w:t>)</w:t>
      </w:r>
    </w:p>
    <w:p>
      <w:pPr>
        <w:pStyle w:val="Ruller31"/>
        <w:ind w:end="0"/>
        <w:jc w:val="start"/>
        <w:rPr/>
      </w:pPr>
      <w:r>
        <w:rPr>
          <w:rtl w:val="true"/>
        </w:rPr>
        <w:t>בשם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: </w:t>
        <w:tab/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רועי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בלכר</w:t>
      </w:r>
      <w:r>
        <w:rPr>
          <w:rtl w:val="true"/>
        </w:rPr>
        <w:t xml:space="preserve">;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מיטל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דנינו</w:t>
      </w:r>
    </w:p>
    <w:p>
      <w:pPr>
        <w:pStyle w:val="Ruller31"/>
        <w:ind w:end="0"/>
        <w:jc w:val="start"/>
        <w:rPr/>
      </w:pPr>
      <w:bookmarkStart w:id="4" w:name="FirstLawyer"/>
      <w:r>
        <w:rPr>
          <w:rtl w:val="true"/>
        </w:rPr>
        <w:t>בשם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המשיב</w:t>
      </w:r>
      <w:bookmarkEnd w:id="4"/>
      <w:r>
        <w:rPr>
          <w:rtl w:val="true"/>
        </w:rPr>
        <w:t>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 xml:space="preserve">: </w:t>
        <w:tab/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דנה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שמול</w:t>
      </w:r>
    </w:p>
    <w:p>
      <w:pPr>
        <w:pStyle w:val="Ruller31"/>
        <w:ind w:end="0"/>
        <w:jc w:val="start"/>
        <w:rPr/>
      </w:pPr>
      <w:r>
        <w:rPr>
          <w:rtl w:val="true"/>
        </w:rPr>
        <w:t>בשם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: </w:t>
        <w:tab/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ברכה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וייס</w:t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bookmarkStart w:id="5" w:name="LawTable"/>
      <w:bookmarkEnd w:id="5"/>
      <w:r>
        <w:rPr>
          <w:rFonts w:ascii="FrankRuehl" w:hAnsi="FrankRuehl"/>
          <w:spacing w:val="0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3"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25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40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ג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345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348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348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348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355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40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יא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13"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חוק למניעת הטרדה מינית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תשנ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ח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1998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'  </w:t>
      </w:r>
      <w:hyperlink r:id="rId14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bookmarkStart w:id="6" w:name="ABSTRACT_START"/>
      <w:bookmarkStart w:id="7" w:name="LawTable_End"/>
      <w:bookmarkEnd w:id="6"/>
      <w:bookmarkEnd w:id="7"/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נדחה ערעור על חומרת עונש המאסר בפועל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בן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57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חודשים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שהושת על המערער בגין ביצוע עבירות מין בארבע מתלוננות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 עמד על כך שמדיניות הענישה בעבירות מין צריכה להיות מחמירה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וכי לאור חומרת מעשי המערער והישנותם והנזק שנגרם למתלוננות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העונש ראוי ואין זה מקרה חריג המצדיק התערבות בו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אף לא נפל פגם המצדיק התערבות במתחם הענישה שנקבע לגבי כלל העבירות בהן הורשע המערער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עבירות מין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שיקולים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התערבות ערכאת ערעור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עונשין – ענישה – מתחם הענישה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המערער הורשע בבימ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 המחוזי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במסגרת הסדר טיעון בארבעה אישומים שבוצעו כלפי ארבע מתלוננות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בעבירה של ניסיון אינוס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בעבירה של מעשה מגונה בכוח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בעבירה של מעשה מגונה ובעבירה של הטרדה מינית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בימ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 המחוזי גזר את דינו של המערער ל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-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57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חודשי מאסר בפועל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מאסר על תנאי ופיצוי לכל אחת מארבע המתלוננות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הערעור מופנה כלפי חומרת עונש המאסר בפועל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בית המשפט העליון 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(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מפי השופט מינץ ובהסכמת המשנה לנשיאה מלצר והשופט קרא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)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דחה את הערעור ופסק כי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הלכה היא כי אין ערכאת הערעור נוהגת להתערב בחומרת העונש שקבעה הערכאה הדיונית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אלא במקרים חריגים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שמקרה זה אינו נמנה עליהם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המערער נקט בהתנהגות אלימה כלפי נשים בצורות ובדרגות חומרה שונות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לאורך שנים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כבר נפסק כי מדיניות הענישה בעבירות מין צריכה להיות מחמירה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ולבטא את הנזקים המשמעותיים שנגרמו לגופם ונפשם של נפגעי העבירה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כמו גם את האינטרס הציבורי בהרתעת עברייני מין פוטנציאליים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לאור חומרת מעשי המערער והישנותם והנזק שעמו יאלצו המתלוננות להתמודד עוד שנים ארוכות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העונש שהוטל על המערער הינו ראוי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לא נפל פגם המצדיק התערבות במתחם הענישה שנקבע לגבי כלל העבירות בהן הורשע המערער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סקירת מדיניות הענישה מהווה אך רכיב אחד בשיקולי קביעת מתחם הענישה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ובימ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 קמא ביסס את קביעת מתחמי הענישה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כנדרש בחוק העונשין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גם על הערכים החברתיים שנפגעו מביצוע העבירות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מידת הפגיעה בהם ונסיבות נוספות הקשורות בביצוע העבירות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טענות המערער בדבר פגם שנפל בקביעת מתחם העונש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ממילא אין בהם כדי לחייב התערבות בעונש שנקבע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כל עוד אין בעונש משום סטייה קיצונית מרמת הענישה הראויה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גם אם היה נמצא שהיה על בימ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 לקבוע רף תחתון נמוך יותר למתחם הענישה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כל עוד העונש שנקבע סביר וראוי בנסיבות העניין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אין מקום להתערב בו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אמנם נפלה טעות בפסק הדין של בימ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ש קמא בהתייחסו לעונש מזערי לפי סעיף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355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לחוק העונשין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שכן סעיף זה אינו חל על עבירת ביצוע מעשה מגונה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אך בהתחשב באופן שבו נלקחו בחשבון מכלול הנסיבות שאינן קשורות בביצוע העבירה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לא נראה כי ניתן לעונש המזערי כאמור משקל משמעותי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אף לא היה בטעות זו כדי להשפיע על מתחם הענישה שנקבע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שכן בעוד שהעונש המזערי שהיה נקבע לעבירה של ביצוע מעשה מגונה היה עומד על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9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חודשי מאסר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המתחם שנקבע הועמד על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12-6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חודשי מאסר בפועל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טענת המערער כי יש לראות בחלוף הזמן שעבר בין ביצוע חלק מהעבירות לבין ההרשעה כנתון שיש להתחשב בו כנסיבה מקלה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נדחתה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חלוף הזמן עומד לזכות נאשם כנסיבה מקלה כשהוא מהווה אינדיקציה לשינוי בהתנהגות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בהתנהלות ובדרכי החשיבה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בענייננו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מאז ביצוע עבירת האינוס המשיך המערער בהתנהגותו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כמו כן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קביעת בימ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 קמא שהעבירות מהוות מסכת אירועים אחת נאמרה לעניין התייחסותו לבחינת חלוף הזמן כנסיבה מקלה ואינה סותרת את החלטתו בשלב הראשון של גזירת העונש בה נקבעו מתחמי ענישה נפרדים לארבעת האישומים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מכל מקום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חלוף הזמן הינה נסיבה אותה יש לשקול אך לגזירת העונש בתוך מתחם הענישה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בהיותה נסיבה שאינה קשורה בביצוע העבירה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.</w:t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  <w:bookmarkStart w:id="8" w:name="ABSTRACT_END"/>
      <w:bookmarkStart w:id="9" w:name="ABSTRACT_END"/>
      <w:bookmarkEnd w:id="9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0" w:name="PsakDin"/>
            <w:bookmarkStart w:id="11" w:name="BeginProtocol"/>
            <w:bookmarkStart w:id="12" w:name="secretary"/>
            <w:bookmarkEnd w:id="10"/>
            <w:bookmarkEnd w:id="11"/>
            <w:bookmarkEnd w:id="12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3" w:name="Writer_Name"/>
      <w:bookmarkEnd w:id="13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;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ד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מינץ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4" w:name="Start_Write"/>
      <w:bookmarkStart w:id="15" w:name="Start_Write"/>
      <w:bookmarkEnd w:id="15"/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אביב</w:t>
      </w:r>
      <w:r>
        <w:rPr>
          <w:rtl w:val="true"/>
        </w:rPr>
        <w:t>-</w:t>
      </w:r>
      <w:r>
        <w:rPr>
          <w:rtl w:val="true"/>
        </w:rPr>
        <w:t>יפו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נויטל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סג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>,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חיימוביץ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גונטובניק</w:t>
      </w:r>
      <w:r>
        <w:rPr>
          <w:rtl w:val="true"/>
        </w:rPr>
        <w:t xml:space="preserve">)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23.7.2018</w:t>
      </w:r>
      <w:r>
        <w:rPr>
          <w:rtl w:val="true"/>
        </w:rPr>
        <w:t xml:space="preserve"> </w:t>
      </w:r>
      <w:r>
        <w:rPr>
          <w:rtl w:val="true"/>
        </w:rPr>
        <w:t>ב</w:t>
      </w:r>
      <w:hyperlink r:id="rId15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65096-12-16</w:t>
        </w:r>
      </w:hyperlink>
      <w:r>
        <w:rPr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]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 הורשע במסגרת הסדר טיעון בארבעה אישומים</w:t>
      </w:r>
      <w:r>
        <w:rPr>
          <w:rtl w:val="true"/>
        </w:rPr>
        <w:t xml:space="preserve">: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הראשון ניסיון אינוס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</w:t>
      </w:r>
      <w:hyperlink r:id="rId1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b/>
          <w:b/>
          <w:spacing w:val="0"/>
          <w:szCs w:val="24"/>
          <w:rtl w:val="true"/>
        </w:rPr>
        <w:t>חוק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 xml:space="preserve">או </w:t>
      </w:r>
      <w:r>
        <w:rPr>
          <w:rFonts w:cs="Miriam"/>
          <w:b/>
          <w:b/>
          <w:spacing w:val="0"/>
          <w:szCs w:val="24"/>
          <w:rtl w:val="true"/>
        </w:rPr>
        <w:t>החוק</w:t>
      </w:r>
      <w:r>
        <w:rPr>
          <w:rtl w:val="true"/>
        </w:rPr>
        <w:t xml:space="preserve">) </w:t>
      </w:r>
      <w:r>
        <w:rPr>
          <w:rtl w:val="true"/>
        </w:rPr>
        <w:t xml:space="preserve">יחד עם </w:t>
      </w:r>
      <w:hyperlink r:id="rId1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השני מעשה מגונה בכוח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</w:t>
      </w:r>
      <w:hyperlink r:id="rId1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השלישי מעשה מגונה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</w:t>
      </w:r>
      <w:hyperlink r:id="rId2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הרביעי הטרדה מינית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</w:t>
      </w:r>
      <w:hyperlink r:id="rId2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למניעת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הטרדה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מינית</w:t>
        </w:r>
      </w:hyperlink>
      <w:r>
        <w:rPr>
          <w:rtl w:val="true"/>
        </w:rPr>
        <w:t xml:space="preserve">, </w:t>
      </w:r>
      <w:r>
        <w:rPr>
          <w:rtl w:val="true"/>
        </w:rPr>
        <w:t>התשנ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-</w:t>
      </w:r>
      <w:r>
        <w:rPr/>
        <w:t>1998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בית המשפט המחוזי גזר את דינו ל</w:t>
      </w:r>
      <w:r>
        <w:rPr>
          <w:rtl w:val="true"/>
        </w:rPr>
        <w:t>-</w:t>
      </w:r>
      <w:r>
        <w:rPr/>
        <w:t>57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>מאסר על תנאי ופיצוי לכל אחת מארבע המתלוננות</w:t>
      </w:r>
      <w:r>
        <w:rPr>
          <w:rtl w:val="true"/>
        </w:rPr>
        <w:t xml:space="preserve">. </w:t>
      </w:r>
      <w:r>
        <w:rPr>
          <w:rtl w:val="true"/>
        </w:rPr>
        <w:t>הערעור מופנה כלפי חומרת עונש המאסר בפועל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הרקע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לערעור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בתמצית</w:t>
      </w:r>
      <w:r>
        <w:rPr>
          <w:rtl w:val="true"/>
        </w:rPr>
        <w:t xml:space="preserve">, </w:t>
      </w:r>
      <w:r>
        <w:rPr>
          <w:rtl w:val="true"/>
        </w:rPr>
        <w:t>אלה עובדות האישומים בכתב האישום המתוקן שבהן הודה המערער</w:t>
      </w:r>
      <w:r>
        <w:rPr>
          <w:rtl w:val="true"/>
        </w:rPr>
        <w:t>: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360" w:start="1155" w:end="0"/>
        <w:jc w:val="both"/>
        <w:rPr/>
      </w:pPr>
      <w:r>
        <w:rPr>
          <w:rtl w:val="true"/>
        </w:rPr>
        <w:t>על פי עובדות האישום הראשון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28.8.2007</w:t>
      </w:r>
      <w:r>
        <w:rPr>
          <w:rtl w:val="true"/>
        </w:rPr>
        <w:t xml:space="preserve"> </w:t>
      </w:r>
      <w:r>
        <w:rPr>
          <w:rtl w:val="true"/>
        </w:rPr>
        <w:t>או בסמוך לכך</w:t>
      </w:r>
      <w:r>
        <w:rPr>
          <w:rtl w:val="true"/>
        </w:rPr>
        <w:t xml:space="preserve">, </w:t>
      </w:r>
      <w:r>
        <w:rPr>
          <w:rtl w:val="true"/>
        </w:rPr>
        <w:t>שכנע המערער את המתלוננת ש</w:t>
      </w:r>
      <w:r>
        <w:rPr>
          <w:rtl w:val="true"/>
        </w:rPr>
        <w:t xml:space="preserve">', </w:t>
      </w:r>
      <w:r>
        <w:rPr>
          <w:rtl w:val="true"/>
        </w:rPr>
        <w:t>שבילתה במועדון בתל אביב שהיה בבעלותו החלקית</w:t>
      </w:r>
      <w:r>
        <w:rPr>
          <w:rtl w:val="true"/>
        </w:rPr>
        <w:t xml:space="preserve">, </w:t>
      </w:r>
      <w:r>
        <w:rPr>
          <w:rtl w:val="true"/>
        </w:rPr>
        <w:t>לעבור לחדר אחורי</w:t>
      </w:r>
      <w:r>
        <w:rPr>
          <w:rtl w:val="true"/>
        </w:rPr>
        <w:t xml:space="preserve">. </w:t>
      </w:r>
      <w:r>
        <w:rPr>
          <w:rtl w:val="true"/>
        </w:rPr>
        <w:t>בחדר האחורי הכניס המערער את ידו מתחת לשמלתה ותחתוניה של ש</w:t>
      </w:r>
      <w:r>
        <w:rPr>
          <w:rtl w:val="true"/>
        </w:rPr>
        <w:t xml:space="preserve">' </w:t>
      </w:r>
      <w:r>
        <w:rPr>
          <w:rtl w:val="true"/>
        </w:rPr>
        <w:t>וניסה להחדיר את אצבעו לאיבר מינה</w:t>
      </w:r>
      <w:r>
        <w:rPr>
          <w:rtl w:val="true"/>
        </w:rPr>
        <w:t xml:space="preserve">, </w:t>
      </w:r>
      <w:r>
        <w:rPr>
          <w:rtl w:val="true"/>
        </w:rPr>
        <w:t>שלא בהסכמתה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360" w:start="1155" w:end="0"/>
        <w:jc w:val="both"/>
        <w:rPr/>
      </w:pPr>
      <w:r>
        <w:rPr>
          <w:rtl w:val="true"/>
        </w:rPr>
        <w:t>על פי עובדות האישום השני</w:t>
      </w:r>
      <w:r>
        <w:rPr>
          <w:rtl w:val="true"/>
        </w:rPr>
        <w:t xml:space="preserve">, </w:t>
      </w:r>
      <w:r>
        <w:rPr>
          <w:rtl w:val="true"/>
        </w:rPr>
        <w:t xml:space="preserve">בשנת </w:t>
      </w:r>
      <w:r>
        <w:rPr/>
        <w:t>2015</w:t>
      </w:r>
      <w:r>
        <w:rPr>
          <w:rtl w:val="true"/>
        </w:rPr>
        <w:t xml:space="preserve"> </w:t>
      </w:r>
      <w:r>
        <w:rPr>
          <w:rtl w:val="true"/>
        </w:rPr>
        <w:t>בילה המערער עם המתלוננת ע</w:t>
      </w:r>
      <w:r>
        <w:rPr>
          <w:rtl w:val="true"/>
        </w:rPr>
        <w:t xml:space="preserve">' </w:t>
      </w:r>
      <w:r>
        <w:rPr>
          <w:rtl w:val="true"/>
        </w:rPr>
        <w:t>בשכונת פלורנטין ולאחר מכן במועדון</w:t>
      </w:r>
      <w:r>
        <w:rPr>
          <w:rtl w:val="true"/>
        </w:rPr>
        <w:t xml:space="preserve">. </w:t>
      </w:r>
      <w:r>
        <w:rPr>
          <w:rtl w:val="true"/>
        </w:rPr>
        <w:t>במועדון</w:t>
      </w:r>
      <w:r>
        <w:rPr>
          <w:rtl w:val="true"/>
        </w:rPr>
        <w:t xml:space="preserve">, </w:t>
      </w:r>
      <w:r>
        <w:rPr>
          <w:rtl w:val="true"/>
        </w:rPr>
        <w:t>המערער הזמין עבור המתלוננת משקה אלכוהולי</w:t>
      </w:r>
      <w:r>
        <w:rPr>
          <w:rtl w:val="true"/>
        </w:rPr>
        <w:t xml:space="preserve">, </w:t>
      </w:r>
      <w:r>
        <w:rPr>
          <w:rtl w:val="true"/>
        </w:rPr>
        <w:t>כאשר מיד לאחר ששתתה את המשקה חשה ע</w:t>
      </w:r>
      <w:r>
        <w:rPr>
          <w:rtl w:val="true"/>
        </w:rPr>
        <w:t xml:space="preserve">' </w:t>
      </w:r>
      <w:r>
        <w:rPr>
          <w:rtl w:val="true"/>
        </w:rPr>
        <w:t>ברע</w:t>
      </w:r>
      <w:r>
        <w:rPr>
          <w:rtl w:val="true"/>
        </w:rPr>
        <w:t xml:space="preserve">, </w:t>
      </w:r>
      <w:r>
        <w:rPr>
          <w:rtl w:val="true"/>
        </w:rPr>
        <w:t>הקיאה והתעלפה</w:t>
      </w:r>
      <w:r>
        <w:rPr>
          <w:rtl w:val="true"/>
        </w:rPr>
        <w:t xml:space="preserve">. </w:t>
      </w:r>
      <w:r>
        <w:rPr>
          <w:rtl w:val="true"/>
        </w:rPr>
        <w:t>המערער נכנס עם ע</w:t>
      </w:r>
      <w:r>
        <w:rPr>
          <w:rtl w:val="true"/>
        </w:rPr>
        <w:t xml:space="preserve">' </w:t>
      </w:r>
      <w:r>
        <w:rPr>
          <w:rtl w:val="true"/>
        </w:rPr>
        <w:t>למונית ונסע עמה לבית הוריה</w:t>
      </w:r>
      <w:r>
        <w:rPr>
          <w:rtl w:val="true"/>
        </w:rPr>
        <w:t xml:space="preserve">. </w:t>
      </w:r>
      <w:r>
        <w:rPr>
          <w:rtl w:val="true"/>
        </w:rPr>
        <w:t>במהלך הנסיעה שוב הקיאה ע</w:t>
      </w:r>
      <w:r>
        <w:rPr>
          <w:rtl w:val="true"/>
        </w:rPr>
        <w:t xml:space="preserve">' </w:t>
      </w:r>
      <w:r>
        <w:rPr>
          <w:rtl w:val="true"/>
        </w:rPr>
        <w:t>ולאחר הגעת המונית לבית הוריה התקשתה ללכת בכוחות עצמה</w:t>
      </w:r>
      <w:r>
        <w:rPr>
          <w:rtl w:val="true"/>
        </w:rPr>
        <w:t xml:space="preserve">. </w:t>
      </w:r>
      <w:r>
        <w:rPr>
          <w:rtl w:val="true"/>
        </w:rPr>
        <w:t>בביתה הפשיט המערער את ע</w:t>
      </w:r>
      <w:r>
        <w:rPr>
          <w:rtl w:val="true"/>
        </w:rPr>
        <w:t xml:space="preserve">' </w:t>
      </w:r>
      <w:r>
        <w:rPr>
          <w:rtl w:val="true"/>
        </w:rPr>
        <w:t>מבגדיה והתפשט בעצמו</w:t>
      </w:r>
      <w:r>
        <w:rPr>
          <w:rtl w:val="true"/>
        </w:rPr>
        <w:t xml:space="preserve">. </w:t>
      </w:r>
      <w:r>
        <w:rPr>
          <w:rtl w:val="true"/>
        </w:rPr>
        <w:t>המערער השכיב את ע</w:t>
      </w:r>
      <w:r>
        <w:rPr>
          <w:rtl w:val="true"/>
        </w:rPr>
        <w:t xml:space="preserve">' </w:t>
      </w:r>
      <w:r>
        <w:rPr>
          <w:rtl w:val="true"/>
        </w:rPr>
        <w:t>על מיטה וחיכך את איבר מינו באיבר מינה שלא בהסכמתה החופשית ולמרות התנגדותה המפורשת</w:t>
      </w:r>
      <w:r>
        <w:rPr>
          <w:rtl w:val="true"/>
        </w:rPr>
        <w:t xml:space="preserve">. </w:t>
      </w:r>
      <w:r>
        <w:rPr>
          <w:rtl w:val="true"/>
        </w:rPr>
        <w:t>בבוקר שלמחרת</w:t>
      </w:r>
      <w:r>
        <w:rPr>
          <w:rtl w:val="true"/>
        </w:rPr>
        <w:t xml:space="preserve">, </w:t>
      </w:r>
      <w:r>
        <w:rPr>
          <w:rtl w:val="true"/>
        </w:rPr>
        <w:t>נטל המערער את ידה של ע</w:t>
      </w:r>
      <w:r>
        <w:rPr>
          <w:rtl w:val="true"/>
        </w:rPr>
        <w:t xml:space="preserve">', </w:t>
      </w:r>
      <w:r>
        <w:rPr>
          <w:rtl w:val="true"/>
        </w:rPr>
        <w:t>הניחה על איבר מינו והניע אותה כך שתשפשף את איבר מינו</w:t>
      </w:r>
      <w:r>
        <w:rPr>
          <w:rtl w:val="true"/>
        </w:rPr>
        <w:t xml:space="preserve">, </w:t>
      </w:r>
      <w:r>
        <w:rPr>
          <w:rtl w:val="true"/>
        </w:rPr>
        <w:t>עד ש</w:t>
      </w:r>
      <w:r>
        <w:rPr>
          <w:rtl w:val="true"/>
        </w:rPr>
        <w:t>-</w:t>
      </w:r>
      <w:r>
        <w:rPr>
          <w:rtl w:val="true"/>
        </w:rPr>
        <w:t>ע</w:t>
      </w:r>
      <w:r>
        <w:rPr>
          <w:rtl w:val="true"/>
        </w:rPr>
        <w:t xml:space="preserve">' </w:t>
      </w:r>
      <w:r>
        <w:rPr>
          <w:rtl w:val="true"/>
        </w:rPr>
        <w:t>הסיטה את ידה ואמרה לו שאינה מעוניינת בכך</w:t>
      </w:r>
      <w:r>
        <w:rPr>
          <w:rtl w:val="true"/>
        </w:rPr>
        <w:t xml:space="preserve">.  </w:t>
      </w:r>
      <w:r>
        <w:rPr>
          <w:rtl w:val="true"/>
        </w:rPr>
        <w:t>המערער המשיך לאונן בפני ע</w:t>
      </w:r>
      <w:r>
        <w:rPr>
          <w:rtl w:val="true"/>
        </w:rPr>
        <w:t xml:space="preserve">' </w:t>
      </w:r>
      <w:r>
        <w:rPr>
          <w:rtl w:val="true"/>
        </w:rPr>
        <w:t>עד שהגיע לפורקן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360" w:start="1155" w:end="0"/>
        <w:jc w:val="both"/>
        <w:rPr/>
      </w:pPr>
      <w:r>
        <w:rPr>
          <w:rtl w:val="true"/>
        </w:rPr>
        <w:t>על פי עובדות האישום השלישי</w:t>
      </w:r>
      <w:r>
        <w:rPr>
          <w:rtl w:val="true"/>
        </w:rPr>
        <w:t xml:space="preserve">, </w:t>
      </w:r>
      <w:r>
        <w:rPr>
          <w:rtl w:val="true"/>
        </w:rPr>
        <w:t xml:space="preserve">במועד מסוים בשנת </w:t>
      </w:r>
      <w:r>
        <w:rPr/>
        <w:t>2010</w:t>
      </w:r>
      <w:r>
        <w:rPr>
          <w:rtl w:val="true"/>
        </w:rPr>
        <w:t xml:space="preserve"> </w:t>
      </w:r>
      <w:r>
        <w:rPr>
          <w:rtl w:val="true"/>
        </w:rPr>
        <w:t>בילה המערער עם המתלוננת ר</w:t>
      </w:r>
      <w:r>
        <w:rPr>
          <w:rtl w:val="true"/>
        </w:rPr>
        <w:t xml:space="preserve">' </w:t>
      </w:r>
      <w:r>
        <w:rPr>
          <w:rtl w:val="true"/>
        </w:rPr>
        <w:t>ושני אנשים נוספים במועדון בתל אביב</w:t>
      </w:r>
      <w:r>
        <w:rPr>
          <w:rtl w:val="true"/>
        </w:rPr>
        <w:t xml:space="preserve">. </w:t>
      </w:r>
      <w:r>
        <w:rPr>
          <w:rtl w:val="true"/>
        </w:rPr>
        <w:t xml:space="preserve">בשעה </w:t>
      </w:r>
      <w:r>
        <w:rPr/>
        <w:t>4:00</w:t>
      </w:r>
      <w:r>
        <w:rPr>
          <w:rtl w:val="true"/>
        </w:rPr>
        <w:t xml:space="preserve"> </w:t>
      </w:r>
      <w:r>
        <w:rPr>
          <w:rtl w:val="true"/>
        </w:rPr>
        <w:t>לקראת בוקר או בסמוך לכך</w:t>
      </w:r>
      <w:r>
        <w:rPr>
          <w:rtl w:val="true"/>
        </w:rPr>
        <w:t xml:space="preserve">, </w:t>
      </w:r>
      <w:r>
        <w:rPr>
          <w:rtl w:val="true"/>
        </w:rPr>
        <w:t>הסיע המערער את השלושה ברכבו</w:t>
      </w:r>
      <w:r>
        <w:rPr>
          <w:rtl w:val="true"/>
        </w:rPr>
        <w:t xml:space="preserve">. </w:t>
      </w:r>
      <w:r>
        <w:rPr>
          <w:rtl w:val="true"/>
        </w:rPr>
        <w:t>המערער עצר את רכבו</w:t>
      </w:r>
      <w:r>
        <w:rPr>
          <w:rtl w:val="true"/>
        </w:rPr>
        <w:t xml:space="preserve">, </w:t>
      </w:r>
      <w:r>
        <w:rPr>
          <w:rtl w:val="true"/>
        </w:rPr>
        <w:t>וכאשר ר</w:t>
      </w:r>
      <w:r>
        <w:rPr>
          <w:rtl w:val="true"/>
        </w:rPr>
        <w:t xml:space="preserve">' </w:t>
      </w:r>
      <w:r>
        <w:rPr>
          <w:rtl w:val="true"/>
        </w:rPr>
        <w:t>עברה לשבת לצדו לאחר שיצאו ממנו השניים הנוספים</w:t>
      </w:r>
      <w:r>
        <w:rPr>
          <w:rtl w:val="true"/>
        </w:rPr>
        <w:t xml:space="preserve">, </w:t>
      </w:r>
      <w:r>
        <w:rPr>
          <w:rtl w:val="true"/>
        </w:rPr>
        <w:t>הוא משך אותה אליו ונישק אותה בפניה</w:t>
      </w:r>
      <w:r>
        <w:rPr>
          <w:rtl w:val="true"/>
        </w:rPr>
        <w:t xml:space="preserve">. </w:t>
      </w:r>
      <w:r>
        <w:rPr>
          <w:rtl w:val="true"/>
        </w:rPr>
        <w:t>לאחר ש</w:t>
      </w:r>
      <w:r>
        <w:rPr>
          <w:rtl w:val="true"/>
        </w:rPr>
        <w:t>-</w:t>
      </w:r>
      <w:r>
        <w:rPr>
          <w:rtl w:val="true"/>
        </w:rPr>
        <w:t>ר</w:t>
      </w:r>
      <w:r>
        <w:rPr>
          <w:rtl w:val="true"/>
        </w:rPr>
        <w:t xml:space="preserve">' </w:t>
      </w:r>
      <w:r>
        <w:rPr>
          <w:rtl w:val="true"/>
        </w:rPr>
        <w:t>הבהירה למערער כי אינה מעוניינת במעשיו</w:t>
      </w:r>
      <w:r>
        <w:rPr>
          <w:rtl w:val="true"/>
        </w:rPr>
        <w:t xml:space="preserve">, </w:t>
      </w:r>
      <w:r>
        <w:rPr>
          <w:rtl w:val="true"/>
        </w:rPr>
        <w:t>הוא אחז בה בשתי ידיה</w:t>
      </w:r>
      <w:r>
        <w:rPr>
          <w:rtl w:val="true"/>
        </w:rPr>
        <w:t xml:space="preserve">, </w:t>
      </w:r>
      <w:r>
        <w:rPr>
          <w:rtl w:val="true"/>
        </w:rPr>
        <w:t>משך אותה לעברו ונישק אותה בפניה ובצווארה שלא בהסכמתה</w:t>
      </w:r>
      <w:r>
        <w:rPr>
          <w:rtl w:val="true"/>
        </w:rPr>
        <w:t xml:space="preserve">. </w:t>
      </w:r>
      <w:r>
        <w:rPr>
          <w:rtl w:val="true"/>
        </w:rPr>
        <w:t>בתגובה לכך ר</w:t>
      </w:r>
      <w:r>
        <w:rPr>
          <w:rtl w:val="true"/>
        </w:rPr>
        <w:t xml:space="preserve">' </w:t>
      </w:r>
      <w:r>
        <w:rPr>
          <w:rtl w:val="true"/>
        </w:rPr>
        <w:t>ניסתה לצאת מהרכב</w:t>
      </w:r>
      <w:r>
        <w:rPr>
          <w:rtl w:val="true"/>
        </w:rPr>
        <w:t xml:space="preserve">, </w:t>
      </w:r>
      <w:r>
        <w:rPr>
          <w:rtl w:val="true"/>
        </w:rPr>
        <w:t>וביקשה מהמערער שישחרר את אחיזתו בה</w:t>
      </w:r>
      <w:r>
        <w:rPr>
          <w:rtl w:val="true"/>
        </w:rPr>
        <w:t xml:space="preserve">. </w:t>
      </w:r>
      <w:r>
        <w:rPr>
          <w:rtl w:val="true"/>
        </w:rPr>
        <w:t>רק לאחר חזרתו של אחד מהנוסעים לרכב</w:t>
      </w:r>
      <w:r>
        <w:rPr>
          <w:rtl w:val="true"/>
        </w:rPr>
        <w:t xml:space="preserve">, </w:t>
      </w:r>
      <w:r>
        <w:rPr>
          <w:rtl w:val="true"/>
        </w:rPr>
        <w:t>המערער שחרר את ר</w:t>
      </w:r>
      <w:r>
        <w:rPr>
          <w:rtl w:val="true"/>
        </w:rPr>
        <w:t xml:space="preserve">' </w:t>
      </w:r>
      <w:r>
        <w:rPr>
          <w:rtl w:val="true"/>
        </w:rPr>
        <w:t>מאחיזתו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360" w:start="1155" w:end="0"/>
        <w:jc w:val="both"/>
        <w:rPr/>
      </w:pPr>
      <w:r>
        <w:rPr>
          <w:rtl w:val="true"/>
        </w:rPr>
        <w:t>על פי עובדות האישום הרביעי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26.2.2015</w:t>
      </w:r>
      <w:r>
        <w:rPr>
          <w:rtl w:val="true"/>
        </w:rPr>
        <w:t xml:space="preserve"> </w:t>
      </w:r>
      <w:r>
        <w:rPr>
          <w:rtl w:val="true"/>
        </w:rPr>
        <w:t>או בסמוך לכך בילתה המתלוננת ק</w:t>
      </w:r>
      <w:r>
        <w:rPr>
          <w:rtl w:val="true"/>
        </w:rPr>
        <w:t xml:space="preserve">' </w:t>
      </w:r>
      <w:r>
        <w:rPr>
          <w:rtl w:val="true"/>
        </w:rPr>
        <w:t>במועדון בתל אביב</w:t>
      </w:r>
      <w:r>
        <w:rPr>
          <w:rtl w:val="true"/>
        </w:rPr>
        <w:t xml:space="preserve">, </w:t>
      </w:r>
      <w:r>
        <w:rPr>
          <w:rtl w:val="true"/>
        </w:rPr>
        <w:t>ובעומדה ליד הבר הזמין אותה המערער למשקה אלכוהולי על חשבונו והשניים שוחחו</w:t>
      </w:r>
      <w:r>
        <w:rPr>
          <w:rtl w:val="true"/>
        </w:rPr>
        <w:t xml:space="preserve">. </w:t>
      </w:r>
      <w:r>
        <w:rPr>
          <w:rtl w:val="true"/>
        </w:rPr>
        <w:t>במהלך השיחה הניח המערער את ידו על החזה של ק</w:t>
      </w:r>
      <w:r>
        <w:rPr>
          <w:rtl w:val="true"/>
        </w:rPr>
        <w:t xml:space="preserve">' </w:t>
      </w:r>
      <w:r>
        <w:rPr>
          <w:rtl w:val="true"/>
        </w:rPr>
        <w:t>שלא בהסכמתה</w:t>
      </w:r>
      <w:r>
        <w:rPr>
          <w:rtl w:val="true"/>
        </w:rPr>
        <w:t xml:space="preserve">. </w:t>
      </w:r>
      <w:r>
        <w:rPr>
          <w:rtl w:val="true"/>
        </w:rPr>
        <w:t>בתגובה ק</w:t>
      </w:r>
      <w:r>
        <w:rPr>
          <w:rtl w:val="true"/>
        </w:rPr>
        <w:t xml:space="preserve">' </w:t>
      </w:r>
      <w:r>
        <w:rPr>
          <w:rtl w:val="true"/>
        </w:rPr>
        <w:t>הדפה את ידו של המערער</w:t>
      </w:r>
      <w:r>
        <w:rPr>
          <w:rtl w:val="true"/>
        </w:rPr>
        <w:t xml:space="preserve">, </w:t>
      </w:r>
      <w:r>
        <w:rPr>
          <w:rtl w:val="true"/>
        </w:rPr>
        <w:t>התרחקה ממנו</w:t>
      </w:r>
      <w:r>
        <w:rPr>
          <w:rtl w:val="true"/>
        </w:rPr>
        <w:t xml:space="preserve">, </w:t>
      </w:r>
      <w:r>
        <w:rPr>
          <w:rtl w:val="true"/>
        </w:rPr>
        <w:t>וכששבה כדי להתעמת עמו בגין מעשיו</w:t>
      </w:r>
      <w:r>
        <w:rPr>
          <w:rtl w:val="true"/>
        </w:rPr>
        <w:t xml:space="preserve">, </w:t>
      </w:r>
      <w:r>
        <w:rPr>
          <w:rtl w:val="true"/>
        </w:rPr>
        <w:t>הניח את ידו על חזהּ שוב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במסגרת הסדר טיעון שנערך עם המערער</w:t>
      </w:r>
      <w:r>
        <w:rPr>
          <w:rtl w:val="true"/>
        </w:rPr>
        <w:t xml:space="preserve">, </w:t>
      </w:r>
      <w:r>
        <w:rPr>
          <w:rtl w:val="true"/>
        </w:rPr>
        <w:t xml:space="preserve">הוא הודה בעובדות כתב האישום המתוקן וביום </w:t>
      </w:r>
      <w:r>
        <w:rPr/>
        <w:t>3.1.2018</w:t>
      </w:r>
      <w:r>
        <w:rPr>
          <w:rtl w:val="true"/>
        </w:rPr>
        <w:t xml:space="preserve"> </w:t>
      </w:r>
      <w:r>
        <w:rPr>
          <w:rtl w:val="true"/>
        </w:rPr>
        <w:t>הורשע בעבירות האמורות</w:t>
      </w:r>
      <w:r>
        <w:rPr>
          <w:rtl w:val="true"/>
        </w:rPr>
        <w:t xml:space="preserve">. </w:t>
      </w:r>
      <w:r>
        <w:rPr>
          <w:rtl w:val="true"/>
        </w:rPr>
        <w:t>הסדר זה הותיר את שאלת העונש פתוחה</w:t>
      </w:r>
      <w:r>
        <w:rPr>
          <w:rtl w:val="true"/>
        </w:rPr>
        <w:t xml:space="preserve">. </w:t>
      </w:r>
      <w:r>
        <w:rPr>
          <w:rtl w:val="true"/>
        </w:rPr>
        <w:t>על פי המוסכם בהסדר הטיעון</w:t>
      </w:r>
      <w:r>
        <w:rPr>
          <w:rtl w:val="true"/>
        </w:rPr>
        <w:t xml:space="preserve">, </w:t>
      </w:r>
      <w:r>
        <w:rPr>
          <w:rtl w:val="true"/>
        </w:rPr>
        <w:t>הוגש תסקיר שירות מבחן על אודות המערער והוגשו תסקירי נפגעות עבירה בעניינן של המתלוננות באישומים השני והשלישי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הוסכם במסגרת הסדר הטיעון שהמערער יפקיד פיצויים לטובת המתלוננות ופיצויים כמוסכם אכן הופקדו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בגזר דינו קבע בית המשפט המחוזי כי לצורך גזירת העונש יש להתייחס לכל אחד מארבעת האישומים כאירוע נפרד</w:t>
      </w:r>
      <w:r>
        <w:rPr>
          <w:rtl w:val="true"/>
        </w:rPr>
        <w:t xml:space="preserve">, </w:t>
      </w:r>
      <w:r>
        <w:rPr>
          <w:rtl w:val="true"/>
        </w:rPr>
        <w:t>ובהתאם לכך לקבוע מתחם ענישה הולם נפרד לכל אישום</w:t>
      </w:r>
      <w:r>
        <w:rPr>
          <w:rtl w:val="true"/>
        </w:rPr>
        <w:t xml:space="preserve">. </w:t>
      </w:r>
      <w:r>
        <w:rPr>
          <w:rtl w:val="true"/>
        </w:rPr>
        <w:t>בית המשפט ציין כי המערער פגע במעשיו במידה חמורה בערכים חברתיים וביניהם</w:t>
      </w:r>
      <w:r>
        <w:rPr>
          <w:rtl w:val="true"/>
        </w:rPr>
        <w:t xml:space="preserve">: </w:t>
      </w:r>
      <w:r>
        <w:rPr>
          <w:rtl w:val="true"/>
        </w:rPr>
        <w:t>כבוד האישה</w:t>
      </w:r>
      <w:r>
        <w:rPr>
          <w:rtl w:val="true"/>
        </w:rPr>
        <w:t xml:space="preserve">, </w:t>
      </w:r>
      <w:r>
        <w:rPr>
          <w:rtl w:val="true"/>
        </w:rPr>
        <w:t>זכותה של אישה על גופה</w:t>
      </w:r>
      <w:r>
        <w:rPr>
          <w:rtl w:val="true"/>
        </w:rPr>
        <w:t xml:space="preserve">, </w:t>
      </w:r>
      <w:r>
        <w:rPr>
          <w:rtl w:val="true"/>
        </w:rPr>
        <w:t>זכותה שלא ייעשה שימוש בגופה בניגוד לרצונה</w:t>
      </w:r>
      <w:r>
        <w:rPr>
          <w:rtl w:val="true"/>
        </w:rPr>
        <w:t xml:space="preserve">. </w:t>
      </w:r>
      <w:r>
        <w:rPr>
          <w:rtl w:val="true"/>
        </w:rPr>
        <w:t>בית המשפט תיאר את הנסיבות הקשורות בביצוע כל אחת מהעבירות</w:t>
      </w:r>
      <w:r>
        <w:rPr>
          <w:rtl w:val="true"/>
        </w:rPr>
        <w:t xml:space="preserve">, </w:t>
      </w:r>
      <w:r>
        <w:rPr>
          <w:rtl w:val="true"/>
        </w:rPr>
        <w:t>לרבות התכנון שקדם לביצוען וחלקו של המערער בביצוען</w:t>
      </w:r>
      <w:r>
        <w:rPr>
          <w:rtl w:val="true"/>
        </w:rPr>
        <w:t xml:space="preserve">, </w:t>
      </w:r>
      <w:r>
        <w:rPr>
          <w:rtl w:val="true"/>
        </w:rPr>
        <w:t>הנזק שנגרם והנזק שהיה צפוי להיגרם</w:t>
      </w:r>
      <w:r>
        <w:rPr>
          <w:rtl w:val="true"/>
        </w:rPr>
        <w:t xml:space="preserve">, </w:t>
      </w:r>
      <w:r>
        <w:rPr>
          <w:rtl w:val="true"/>
        </w:rPr>
        <w:t>אלימות המערער וניצולן של נפגעות העבירות על ידו</w:t>
      </w:r>
      <w:r>
        <w:rPr>
          <w:rtl w:val="true"/>
        </w:rPr>
        <w:t xml:space="preserve">. </w:t>
      </w:r>
      <w:r>
        <w:rPr>
          <w:rtl w:val="true"/>
        </w:rPr>
        <w:t>ביחס לאישום הראשון בית המשפט הדגיש</w:t>
      </w:r>
      <w:r>
        <w:rPr>
          <w:rtl w:val="true"/>
        </w:rPr>
        <w:t xml:space="preserve">, </w:t>
      </w:r>
      <w:r>
        <w:rPr>
          <w:rtl w:val="true"/>
        </w:rPr>
        <w:t>מבלי להפחית בחומרת המעשה</w:t>
      </w:r>
      <w:r>
        <w:rPr>
          <w:rtl w:val="true"/>
        </w:rPr>
        <w:t xml:space="preserve">, </w:t>
      </w:r>
      <w:r>
        <w:rPr>
          <w:rtl w:val="true"/>
        </w:rPr>
        <w:t>כי קיים שוני בענישה בין עבירת ניסיון אינוס</w:t>
      </w:r>
      <w:r>
        <w:rPr>
          <w:rtl w:val="true"/>
        </w:rPr>
        <w:t xml:space="preserve">, </w:t>
      </w:r>
      <w:r>
        <w:rPr>
          <w:rtl w:val="true"/>
        </w:rPr>
        <w:t>בגינה הורשע המערער</w:t>
      </w:r>
      <w:r>
        <w:rPr>
          <w:rtl w:val="true"/>
        </w:rPr>
        <w:t xml:space="preserve">, </w:t>
      </w:r>
      <w:r>
        <w:rPr>
          <w:rtl w:val="true"/>
        </w:rPr>
        <w:t>לבין עבירה מוגמרת של אינוס</w:t>
      </w:r>
      <w:r>
        <w:rPr>
          <w:rtl w:val="true"/>
        </w:rPr>
        <w:t xml:space="preserve">. </w:t>
      </w:r>
      <w:r>
        <w:rPr>
          <w:rtl w:val="true"/>
        </w:rPr>
        <w:t>לאחר שסקר פסיקה לעניין מידת הענישה</w:t>
      </w:r>
      <w:r>
        <w:rPr>
          <w:rtl w:val="true"/>
        </w:rPr>
        <w:t xml:space="preserve">, </w:t>
      </w:r>
      <w:r>
        <w:rPr>
          <w:rtl w:val="true"/>
        </w:rPr>
        <w:t>תוך השוואה ואבחנה לאישומים הרלבנטיים</w:t>
      </w:r>
      <w:r>
        <w:rPr>
          <w:rtl w:val="true"/>
        </w:rPr>
        <w:t xml:space="preserve">, </w:t>
      </w:r>
      <w:r>
        <w:rPr>
          <w:rtl w:val="true"/>
        </w:rPr>
        <w:t>קבע בית המשפט מתחמי ענישה לארבעת האישומים</w:t>
      </w:r>
      <w:r>
        <w:rPr>
          <w:rtl w:val="true"/>
        </w:rPr>
        <w:t xml:space="preserve">: </w:t>
      </w:r>
      <w:r>
        <w:rPr>
          <w:rtl w:val="true"/>
        </w:rPr>
        <w:t xml:space="preserve">לאישום הראשון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40-24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; </w:t>
      </w:r>
      <w:r>
        <w:rPr>
          <w:rtl w:val="true"/>
        </w:rPr>
        <w:t xml:space="preserve">לאישום השני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36-20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; </w:t>
      </w:r>
      <w:r>
        <w:rPr>
          <w:rtl w:val="true"/>
        </w:rPr>
        <w:t xml:space="preserve">לאישום השלישי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12-6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; </w:t>
      </w:r>
      <w:r>
        <w:rPr>
          <w:rtl w:val="true"/>
        </w:rPr>
        <w:t xml:space="preserve">לאישום הרביעי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8-3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לצורך גזירת עונשו של המערער</w:t>
      </w:r>
      <w:r>
        <w:rPr>
          <w:rtl w:val="true"/>
        </w:rPr>
        <w:t xml:space="preserve">, </w:t>
      </w:r>
      <w:r>
        <w:rPr>
          <w:rtl w:val="true"/>
        </w:rPr>
        <w:t>שיקלל בית המשפט נסיבות נוספות שאינן קשורות בביצוע העבירות</w:t>
      </w:r>
      <w:r>
        <w:rPr>
          <w:rtl w:val="true"/>
        </w:rPr>
        <w:t xml:space="preserve">. </w:t>
      </w:r>
      <w:r>
        <w:rPr>
          <w:rtl w:val="true"/>
        </w:rPr>
        <w:t>הפגיעה של העונש במערער ובמשפחתו</w:t>
      </w:r>
      <w:r>
        <w:rPr>
          <w:rtl w:val="true"/>
        </w:rPr>
        <w:t xml:space="preserve">, </w:t>
      </w:r>
      <w:r>
        <w:rPr>
          <w:rtl w:val="true"/>
        </w:rPr>
        <w:t>היעדר עבר פלילי</w:t>
      </w:r>
      <w:r>
        <w:rPr>
          <w:rtl w:val="true"/>
        </w:rPr>
        <w:t xml:space="preserve">, </w:t>
      </w:r>
      <w:r>
        <w:rPr>
          <w:rtl w:val="true"/>
        </w:rPr>
        <w:t>והעובדה כי נטל אחריות בגין מעשיו ועשה מאמצים לתקן את תוצאותיהם</w:t>
      </w:r>
      <w:r>
        <w:rPr>
          <w:rtl w:val="true"/>
        </w:rPr>
        <w:t xml:space="preserve">. </w:t>
      </w:r>
      <w:r>
        <w:rPr>
          <w:rtl w:val="true"/>
        </w:rPr>
        <w:t>בית המשפט התייחס לשיתוף הפעולה של המערער עם רשויות החוק והמאמצים שעשה לחזור למוטב</w:t>
      </w:r>
      <w:r>
        <w:rPr>
          <w:rtl w:val="true"/>
        </w:rPr>
        <w:t xml:space="preserve">, </w:t>
      </w:r>
      <w:r>
        <w:rPr>
          <w:rtl w:val="true"/>
        </w:rPr>
        <w:t>כפי שעולה מתסקיר שירות המבחן בעניינו ומהעדויות שהובאו בהליך</w:t>
      </w:r>
      <w:r>
        <w:rPr>
          <w:rtl w:val="true"/>
        </w:rPr>
        <w:t xml:space="preserve">. </w:t>
      </w:r>
      <w:r>
        <w:rPr>
          <w:rtl w:val="true"/>
        </w:rPr>
        <w:t xml:space="preserve">ביחס לחלוף הזמן שעבר מעת ביצוע העבירות </w:t>
      </w:r>
      <w:r>
        <w:rPr>
          <w:rtl w:val="true"/>
        </w:rPr>
        <w:t>(</w:t>
      </w:r>
      <w:r>
        <w:rPr>
          <w:rtl w:val="true"/>
        </w:rPr>
        <w:t xml:space="preserve">כאשר הזמן הארוך ביותר הוא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שנים ממועד ביצוע העבירה שבאישום הראשון</w:t>
      </w:r>
      <w:r>
        <w:rPr>
          <w:rtl w:val="true"/>
        </w:rPr>
        <w:t xml:space="preserve">), </w:t>
      </w:r>
      <w:r>
        <w:rPr>
          <w:rtl w:val="true"/>
        </w:rPr>
        <w:t>נקבע שמדובר במסכת אחת של עבירות הפרושות על פני השנים ועל כן אין לראות בהקשר זה כל עבירה כעומדת בפני עצמה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קבע בית המשפט כי יש צורך לשקול</w:t>
      </w:r>
      <w:r>
        <w:rPr>
          <w:rtl w:val="true"/>
        </w:rPr>
        <w:t xml:space="preserve">, </w:t>
      </w:r>
      <w:r>
        <w:rPr>
          <w:rtl w:val="true"/>
        </w:rPr>
        <w:t>בנוסף לשיקולים האמורים</w:t>
      </w:r>
      <w:r>
        <w:rPr>
          <w:rtl w:val="true"/>
        </w:rPr>
        <w:t xml:space="preserve">, </w:t>
      </w:r>
      <w:r>
        <w:rPr>
          <w:rtl w:val="true"/>
        </w:rPr>
        <w:t>גם את הרתעת הציבור והרתעתו של המערער מביצוע עתידי של עבירות מסוג זה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 xml:space="preserve">במסגרת גזר הדין הוטלו כאמור על המערער </w:t>
      </w:r>
      <w:r>
        <w:rPr/>
        <w:t>57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 xml:space="preserve">בניכוי </w:t>
      </w:r>
      <w:r>
        <w:rPr/>
        <w:t>70</w:t>
      </w:r>
      <w:r>
        <w:rPr>
          <w:rtl w:val="true"/>
        </w:rPr>
        <w:t xml:space="preserve"> </w:t>
      </w:r>
      <w:r>
        <w:rPr>
          <w:rtl w:val="true"/>
        </w:rPr>
        <w:t>ימים בהם שהה במעצר מאחורי סורג ובריח</w:t>
      </w:r>
      <w:r>
        <w:rPr>
          <w:rtl w:val="true"/>
        </w:rPr>
        <w:t xml:space="preserve">. </w:t>
      </w:r>
      <w:r>
        <w:rPr>
          <w:rtl w:val="true"/>
        </w:rPr>
        <w:t>על רכיב זה של גזר הדין הוגש הערעור שלפנינו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הצדדים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טענתו העיקרית של המערער היא כי בית המשפט שגה בקביעת מתחם העונש ההולם בנוגע לכל העבירות</w:t>
      </w:r>
      <w:r>
        <w:rPr>
          <w:rtl w:val="true"/>
        </w:rPr>
        <w:t xml:space="preserve">, </w:t>
      </w:r>
      <w:r>
        <w:rPr>
          <w:rtl w:val="true"/>
        </w:rPr>
        <w:t>ובפרט בקביעת הרף התחתון של מתחמי הענישה</w:t>
      </w:r>
      <w:r>
        <w:rPr>
          <w:rtl w:val="true"/>
        </w:rPr>
        <w:t xml:space="preserve">. </w:t>
      </w:r>
      <w:r>
        <w:rPr>
          <w:rtl w:val="true"/>
        </w:rPr>
        <w:t>זאת מכיוון שבסקירת מדיניות הענישה שערך</w:t>
      </w:r>
      <w:r>
        <w:rPr>
          <w:rtl w:val="true"/>
        </w:rPr>
        <w:t xml:space="preserve">, </w:t>
      </w:r>
      <w:r>
        <w:rPr>
          <w:rtl w:val="true"/>
        </w:rPr>
        <w:t>השווה בית המשפט את עניינו של המערער לגזרי דין שאינם ברי השוואה בשל שונוּת הנסיבות וחומרתן הרבה ביחס למקרה הנדון</w:t>
      </w:r>
      <w:r>
        <w:rPr>
          <w:rtl w:val="true"/>
        </w:rPr>
        <w:t xml:space="preserve">, </w:t>
      </w:r>
      <w:r>
        <w:rPr>
          <w:rtl w:val="true"/>
        </w:rPr>
        <w:t>ולא נתן משקל ראוי לגזרי דין רלוונטיים אחרים שהוגשו על ידי ההגנה</w:t>
      </w:r>
      <w:r>
        <w:rPr>
          <w:rtl w:val="true"/>
        </w:rPr>
        <w:t xml:space="preserve">. </w:t>
      </w:r>
      <w:r>
        <w:rPr>
          <w:rtl w:val="true"/>
        </w:rPr>
        <w:t>בעניין מתחם הענישה ההולם שנקבע לאישום הראשון</w:t>
      </w:r>
      <w:r>
        <w:rPr>
          <w:rtl w:val="true"/>
        </w:rPr>
        <w:t xml:space="preserve">, </w:t>
      </w:r>
      <w:r>
        <w:rPr>
          <w:rtl w:val="true"/>
        </w:rPr>
        <w:t>טוען המערער כי בית המשפט לא התייחס לכך שמדובר בניסיון אינוס ולא עבירת אונס מוגמרת</w:t>
      </w:r>
      <w:r>
        <w:rPr>
          <w:rtl w:val="true"/>
        </w:rPr>
        <w:t xml:space="preserve">, </w:t>
      </w:r>
      <w:r>
        <w:rPr>
          <w:rtl w:val="true"/>
        </w:rPr>
        <w:t>ולכך שעסקינן בנסיון החדרת אצבע לאיבר המין של האישה</w:t>
      </w:r>
      <w:r>
        <w:rPr>
          <w:rtl w:val="true"/>
        </w:rPr>
        <w:t xml:space="preserve">, </w:t>
      </w:r>
      <w:r>
        <w:rPr>
          <w:rtl w:val="true"/>
        </w:rPr>
        <w:t>ולא החדרת איבר מין של גבר</w:t>
      </w:r>
      <w:r>
        <w:rPr>
          <w:rtl w:val="true"/>
        </w:rPr>
        <w:t xml:space="preserve">. </w:t>
      </w:r>
      <w:r>
        <w:rPr>
          <w:rtl w:val="true"/>
        </w:rPr>
        <w:t>הבחנות אלו לא השתקפו כראוי בסקירת מדיניות הענישה והמתחם שנקבע לעונש באישום זה</w:t>
      </w:r>
      <w:r>
        <w:rPr>
          <w:rtl w:val="true"/>
        </w:rPr>
        <w:t xml:space="preserve">. </w:t>
      </w:r>
      <w:r>
        <w:rPr>
          <w:rtl w:val="true"/>
        </w:rPr>
        <w:t>כך גם</w:t>
      </w:r>
      <w:r>
        <w:rPr>
          <w:rtl w:val="true"/>
        </w:rPr>
        <w:t xml:space="preserve">, </w:t>
      </w:r>
      <w:r>
        <w:rPr>
          <w:rtl w:val="true"/>
        </w:rPr>
        <w:t>לטענת המערער</w:t>
      </w:r>
      <w:r>
        <w:rPr>
          <w:rtl w:val="true"/>
        </w:rPr>
        <w:t xml:space="preserve">, </w:t>
      </w:r>
      <w:r>
        <w:rPr>
          <w:rtl w:val="true"/>
        </w:rPr>
        <w:t>בשאר האישומים נקבע מתחם ענישה גבוה מהמתחם המתאים כפי שעולה מתוך גזרי הדין אותם סקר בית המשפט בגזר דינו ובהשוואה לסוג וחומרת העבירות בהן הורשע המערער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מעבר לכך העלה המערער טענות רבות</w:t>
      </w:r>
      <w:r>
        <w:rPr>
          <w:rtl w:val="true"/>
        </w:rPr>
        <w:t xml:space="preserve">, </w:t>
      </w:r>
      <w:r>
        <w:rPr>
          <w:rtl w:val="true"/>
        </w:rPr>
        <w:t>שתפסו מקום משני בערעורו</w:t>
      </w:r>
      <w:r>
        <w:rPr>
          <w:rtl w:val="true"/>
        </w:rPr>
        <w:t xml:space="preserve">. </w:t>
      </w:r>
      <w:r>
        <w:rPr>
          <w:rtl w:val="true"/>
        </w:rPr>
        <w:t>כך טען כי שגה בית המשפט כאשר קבע כי לעבירת מעשה מגונה</w:t>
      </w:r>
      <w:r>
        <w:rPr>
          <w:rtl w:val="true"/>
        </w:rPr>
        <w:t xml:space="preserve">, </w:t>
      </w:r>
      <w:r>
        <w:rPr>
          <w:rtl w:val="true"/>
        </w:rPr>
        <w:t>בה הורשע באישום השלישי</w:t>
      </w:r>
      <w:r>
        <w:rPr>
          <w:rtl w:val="true"/>
        </w:rPr>
        <w:t xml:space="preserve">, </w:t>
      </w:r>
      <w:r>
        <w:rPr>
          <w:rtl w:val="true"/>
        </w:rPr>
        <w:t>נקבע בחוק עונש מזערי של לפחות רבע מהעונש המרבי</w:t>
      </w:r>
      <w:r>
        <w:rPr>
          <w:rtl w:val="true"/>
        </w:rPr>
        <w:t xml:space="preserve">. </w:t>
      </w:r>
      <w:r>
        <w:rPr>
          <w:rtl w:val="true"/>
        </w:rPr>
        <w:t>שכן</w:t>
      </w:r>
      <w:r>
        <w:rPr>
          <w:rtl w:val="true"/>
        </w:rPr>
        <w:t xml:space="preserve">, </w:t>
      </w:r>
      <w:hyperlink r:id="rId2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אמנם קובע עונש מזערי לעבירת מעשה מגונה לפי </w:t>
      </w:r>
      <w:hyperlink r:id="rId25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hyperlink r:id="rId26"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או </w:t>
      </w:r>
      <w:hyperlink r:id="rId27"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אך לא לעבירה לפי </w:t>
      </w:r>
      <w:hyperlink r:id="rId2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בה הורשע המערער</w:t>
      </w:r>
      <w:r>
        <w:rPr>
          <w:rtl w:val="true"/>
        </w:rPr>
        <w:t xml:space="preserve">. </w:t>
      </w:r>
      <w:r>
        <w:rPr>
          <w:rtl w:val="true"/>
        </w:rPr>
        <w:t>טעות זו</w:t>
      </w:r>
      <w:r>
        <w:rPr>
          <w:rtl w:val="true"/>
        </w:rPr>
        <w:t xml:space="preserve">,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היה בה כדי להשפיע על מתחם העונש שנקבע לעניין אישום זה</w:t>
      </w:r>
      <w:r>
        <w:rPr>
          <w:rtl w:val="true"/>
        </w:rPr>
        <w:t xml:space="preserve">. </w:t>
      </w:r>
      <w:r>
        <w:rPr>
          <w:rtl w:val="true"/>
        </w:rPr>
        <w:t xml:space="preserve">בנוסף טען המערער כי שגה בית המשפט בדחותו את טענתו כי יש להתחשב בחלוף הזמן ממועד ביצוע העבירות עד לגזירת דינו </w:t>
      </w:r>
      <w:r>
        <w:rPr>
          <w:rtl w:val="true"/>
        </w:rPr>
        <w:t>(</w:t>
      </w:r>
      <w:r>
        <w:rPr>
          <w:rtl w:val="true"/>
        </w:rPr>
        <w:t xml:space="preserve">באישום הראשון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; </w:t>
      </w:r>
      <w:r>
        <w:rPr>
          <w:rtl w:val="true"/>
        </w:rPr>
        <w:t xml:space="preserve">באישום השלישי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) </w:t>
      </w:r>
      <w:r>
        <w:rPr>
          <w:rtl w:val="true"/>
        </w:rPr>
        <w:t>כנסיבה מקלה</w:t>
      </w:r>
      <w:r>
        <w:rPr>
          <w:rtl w:val="true"/>
        </w:rPr>
        <w:t xml:space="preserve">. </w:t>
      </w:r>
      <w:r>
        <w:rPr>
          <w:rtl w:val="true"/>
        </w:rPr>
        <w:t>המערער טען לסתירה בגזר הדין בעניין זה</w:t>
      </w:r>
      <w:r>
        <w:rPr>
          <w:rtl w:val="true"/>
        </w:rPr>
        <w:t xml:space="preserve">. </w:t>
      </w:r>
      <w:r>
        <w:rPr>
          <w:rtl w:val="true"/>
        </w:rPr>
        <w:t>מחד גיסא</w:t>
      </w:r>
      <w:r>
        <w:rPr>
          <w:rtl w:val="true"/>
        </w:rPr>
        <w:t xml:space="preserve">, </w:t>
      </w:r>
      <w:r>
        <w:rPr>
          <w:rtl w:val="true"/>
        </w:rPr>
        <w:t>נקבעו מתחמי ענישה נפרדים לכל האישומים</w:t>
      </w:r>
      <w:r>
        <w:rPr>
          <w:rtl w:val="true"/>
        </w:rPr>
        <w:t xml:space="preserve">, </w:t>
      </w:r>
      <w:r>
        <w:rPr>
          <w:rtl w:val="true"/>
        </w:rPr>
        <w:t>בהתאם לקביעה שיש לראות כל אירוע כנפרד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נקבע כי חלוף הזמן ממועד ביצוע העבירות אינו רלוונטי מכיוון שיש לראות באירועים מסכת אחת מתמשכת</w:t>
      </w:r>
      <w:r>
        <w:rPr>
          <w:rtl w:val="true"/>
        </w:rPr>
        <w:t xml:space="preserve">. </w:t>
      </w:r>
      <w:r>
        <w:rPr>
          <w:rtl w:val="true"/>
        </w:rPr>
        <w:t>לטענתו סתירה זו מחמירה עמו פעמיים ומשפיעה על מתחם הענישה הראוי</w:t>
      </w:r>
      <w:r>
        <w:rPr>
          <w:rtl w:val="true"/>
        </w:rPr>
        <w:t xml:space="preserve">. </w:t>
      </w:r>
      <w:r>
        <w:rPr>
          <w:rtl w:val="true"/>
        </w:rPr>
        <w:t>עוד טען המערער כי שגה בית המשפט משלא נתן משקל לתקופה הממושכת</w:t>
      </w:r>
      <w:r>
        <w:rPr>
          <w:rtl w:val="true"/>
        </w:rPr>
        <w:t xml:space="preserve">, </w:t>
      </w:r>
      <w:r>
        <w:rPr>
          <w:rtl w:val="true"/>
        </w:rPr>
        <w:t>כשנה וחצי</w:t>
      </w:r>
      <w:r>
        <w:rPr>
          <w:rtl w:val="true"/>
        </w:rPr>
        <w:t xml:space="preserve">, </w:t>
      </w:r>
      <w:r>
        <w:rPr>
          <w:rtl w:val="true"/>
        </w:rPr>
        <w:t>בה שהה במעצר בפיקוח אלקטרוני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המשיבה טענה מנגד</w:t>
      </w:r>
      <w:r>
        <w:rPr>
          <w:rtl w:val="true"/>
        </w:rPr>
        <w:t xml:space="preserve">, </w:t>
      </w:r>
      <w:r>
        <w:rPr>
          <w:rtl w:val="true"/>
        </w:rPr>
        <w:t>כי מבחינה כוללת של גזר הדין וארבעת האישומים יחדיו עולה כי העונש שנקבע הולם את כתב האישום שהמערער הודה בביצוע המעשים המפורטים בו</w:t>
      </w:r>
      <w:r>
        <w:rPr>
          <w:rtl w:val="true"/>
        </w:rPr>
        <w:t xml:space="preserve">. </w:t>
      </w:r>
      <w:r>
        <w:rPr>
          <w:rtl w:val="true"/>
        </w:rPr>
        <w:t>בית המשפט ערך סקירה מקיפה של מתחמי ענישה בגזרי דין שונים</w:t>
      </w:r>
      <w:r>
        <w:rPr>
          <w:rtl w:val="true"/>
        </w:rPr>
        <w:t xml:space="preserve">. </w:t>
      </w:r>
      <w:r>
        <w:rPr>
          <w:rtl w:val="true"/>
        </w:rPr>
        <w:t>בשל הקושי למצוא מקרים תואמים למקרה הנדון בכללותו</w:t>
      </w:r>
      <w:r>
        <w:rPr>
          <w:rtl w:val="true"/>
        </w:rPr>
        <w:t xml:space="preserve">, </w:t>
      </w:r>
      <w:r>
        <w:rPr>
          <w:rtl w:val="true"/>
        </w:rPr>
        <w:t>צדק בית המשפט בכך שקבע מתחמי ענישה נפרדים</w:t>
      </w:r>
      <w:r>
        <w:rPr>
          <w:rtl w:val="true"/>
        </w:rPr>
        <w:t xml:space="preserve">, </w:t>
      </w:r>
      <w:r>
        <w:rPr>
          <w:rtl w:val="true"/>
        </w:rPr>
        <w:t>כאשר הוא עורך את ההתאמות הנדרשות</w:t>
      </w:r>
      <w:r>
        <w:rPr>
          <w:rtl w:val="true"/>
        </w:rPr>
        <w:t xml:space="preserve">. </w:t>
      </w:r>
      <w:r>
        <w:rPr>
          <w:rtl w:val="true"/>
        </w:rPr>
        <w:t>העובדה שמדובר במכלול של אירועים ולא אירוע בודד</w:t>
      </w:r>
      <w:r>
        <w:rPr>
          <w:rtl w:val="true"/>
        </w:rPr>
        <w:t xml:space="preserve">, </w:t>
      </w:r>
      <w:r>
        <w:rPr>
          <w:rtl w:val="true"/>
        </w:rPr>
        <w:t xml:space="preserve">והיות המערער </w:t>
      </w:r>
      <w:r>
        <w:rPr>
          <w:rtl w:val="true"/>
        </w:rPr>
        <w:t>"</w:t>
      </w:r>
      <w:r>
        <w:rPr>
          <w:rtl w:val="true"/>
        </w:rPr>
        <w:t>עבריין סדרתי</w:t>
      </w:r>
      <w:r>
        <w:rPr>
          <w:rtl w:val="true"/>
        </w:rPr>
        <w:t xml:space="preserve">", </w:t>
      </w:r>
      <w:r>
        <w:rPr>
          <w:rtl w:val="true"/>
        </w:rPr>
        <w:t>יש בה כדי להשפיע על קביעת מתחם הענישה בכלל ושל כל עבירה בנפרד</w:t>
      </w:r>
      <w:r>
        <w:rPr>
          <w:rtl w:val="true"/>
        </w:rPr>
        <w:t xml:space="preserve">. </w:t>
      </w:r>
      <w:r>
        <w:rPr>
          <w:rtl w:val="true"/>
        </w:rPr>
        <w:t>המשיבה הסכימה עם טענת המערער כי שגה בית המשפט בקביעתו כי קיים עונש מזערי בגין האישום השלישי</w:t>
      </w:r>
      <w:r>
        <w:rPr>
          <w:rtl w:val="true"/>
        </w:rPr>
        <w:t xml:space="preserve">, </w:t>
      </w:r>
      <w:r>
        <w:rPr>
          <w:rtl w:val="true"/>
        </w:rPr>
        <w:t>אך לעמדתה לא היה בטעות זו כדי להשפיע על קביעת מתחם הענישה בפועל</w:t>
      </w:r>
      <w:r>
        <w:rPr>
          <w:rtl w:val="true"/>
        </w:rPr>
        <w:t xml:space="preserve">. </w:t>
      </w:r>
      <w:r>
        <w:rPr>
          <w:rtl w:val="true"/>
        </w:rPr>
        <w:t>המשיבה הדגישה את חומרתן של העבירות אותן ביצע המערער על פי כתב האישום</w:t>
      </w:r>
      <w:r>
        <w:rPr>
          <w:rtl w:val="true"/>
        </w:rPr>
        <w:t xml:space="preserve">, </w:t>
      </w:r>
      <w:r>
        <w:rPr>
          <w:rtl w:val="true"/>
        </w:rPr>
        <w:t>וציינה את הנזק שנגרם למתלוננות</w:t>
      </w:r>
      <w:r>
        <w:rPr>
          <w:rtl w:val="true"/>
        </w:rPr>
        <w:t xml:space="preserve">. </w:t>
      </w:r>
      <w:r>
        <w:rPr>
          <w:rtl w:val="true"/>
        </w:rPr>
        <w:t>לאור כל זאת סברה המשיבה כי יש לדחות את הערעור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לאחר עיון בגזר דינו של בית המשפט המחוזי</w:t>
      </w:r>
      <w:r>
        <w:rPr>
          <w:rtl w:val="true"/>
        </w:rPr>
        <w:t xml:space="preserve">, </w:t>
      </w:r>
      <w:r>
        <w:rPr>
          <w:rtl w:val="true"/>
        </w:rPr>
        <w:t>בנימוקי הערעור ובמכלול החומר שהונח לפנינו</w:t>
      </w:r>
      <w:r>
        <w:rPr>
          <w:rtl w:val="true"/>
        </w:rPr>
        <w:t xml:space="preserve">, </w:t>
      </w:r>
      <w:r>
        <w:rPr>
          <w:rtl w:val="true"/>
        </w:rPr>
        <w:t>ולאחר שמיעת טענות הצדדים בעל</w:t>
      </w:r>
      <w:r>
        <w:rPr>
          <w:rtl w:val="true"/>
        </w:rPr>
        <w:t>-</w:t>
      </w:r>
      <w:r>
        <w:rPr>
          <w:rtl w:val="true"/>
        </w:rPr>
        <w:t>פה</w:t>
      </w:r>
      <w:r>
        <w:rPr>
          <w:rtl w:val="true"/>
        </w:rPr>
        <w:t xml:space="preserve">, </w:t>
      </w:r>
      <w:r>
        <w:rPr>
          <w:rtl w:val="true"/>
        </w:rPr>
        <w:t>הגעתי לכלל מסקנה כי דין הערעור להידחות</w:t>
      </w:r>
      <w:r>
        <w:rPr>
          <w:rtl w:val="true"/>
        </w:rPr>
        <w:t xml:space="preserve">, </w:t>
      </w:r>
      <w:r>
        <w:rPr>
          <w:rtl w:val="true"/>
        </w:rPr>
        <w:t>וכך אציע לחבריי שייעשה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הלכה ידועה היא כי אין ערכאת הערעור נוהגת להתערב בחומרת העונש שנקבע על ידי הערכאה הדיונית</w:t>
      </w:r>
      <w:r>
        <w:rPr>
          <w:rtl w:val="true"/>
        </w:rPr>
        <w:t xml:space="preserve">, </w:t>
      </w:r>
      <w:r>
        <w:rPr>
          <w:rtl w:val="true"/>
        </w:rPr>
        <w:t>אלא במקרים חריגים בהם נפלה טעות מהותית בגזר הדין</w:t>
      </w:r>
      <w:r>
        <w:rPr>
          <w:rtl w:val="true"/>
        </w:rPr>
        <w:t xml:space="preserve">, </w:t>
      </w:r>
      <w:r>
        <w:rPr>
          <w:rtl w:val="true"/>
        </w:rPr>
        <w:t>או כאשר העונש שנגזר חורג באופן קיצוני ממדיניות הענישה הראויה</w:t>
      </w:r>
      <w:r>
        <w:rPr>
          <w:rtl w:val="true"/>
        </w:rPr>
        <w:t xml:space="preserve">, </w:t>
      </w:r>
      <w:r>
        <w:rPr>
          <w:rtl w:val="true"/>
        </w:rPr>
        <w:t xml:space="preserve">או המקובלת במקרים דומים </w:t>
      </w:r>
      <w:r>
        <w:rPr>
          <w:rtl w:val="true"/>
        </w:rPr>
        <w:t>(</w:t>
      </w:r>
      <w:r>
        <w:rPr>
          <w:rtl w:val="true"/>
        </w:rPr>
        <w:t>ראו לדוגמה</w:t>
      </w:r>
      <w:r>
        <w:rPr>
          <w:rtl w:val="true"/>
        </w:rPr>
        <w:t xml:space="preserve">: </w:t>
      </w: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5795/16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9</w:t>
      </w:r>
      <w:r>
        <w:rPr>
          <w:rtl w:val="true"/>
        </w:rPr>
        <w:t xml:space="preserve"> (</w:t>
      </w:r>
      <w:r>
        <w:rPr/>
        <w:t>15.1.2018</w:t>
      </w:r>
      <w:r>
        <w:rPr>
          <w:rtl w:val="true"/>
        </w:rPr>
        <w:t xml:space="preserve">); 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7997/15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פאהום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14</w:t>
      </w:r>
      <w:r>
        <w:rPr>
          <w:rtl w:val="true"/>
        </w:rPr>
        <w:t xml:space="preserve"> (</w:t>
      </w:r>
      <w:r>
        <w:rPr/>
        <w:t>1.10.2017</w:t>
      </w:r>
      <w:r>
        <w:rPr>
          <w:rtl w:val="true"/>
        </w:rPr>
        <w:t xml:space="preserve">); 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4815/13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אלעוקבי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10</w:t>
      </w:r>
      <w:r>
        <w:rPr>
          <w:rtl w:val="true"/>
        </w:rPr>
        <w:t xml:space="preserve"> (</w:t>
      </w:r>
      <w:r>
        <w:rPr/>
        <w:t>1.1.2014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אלעוקבי</w:t>
      </w:r>
      <w:r>
        <w:rPr>
          <w:rtl w:val="true"/>
        </w:rPr>
        <w:t xml:space="preserve">)). </w:t>
      </w:r>
      <w:r>
        <w:rPr>
          <w:rtl w:val="true"/>
        </w:rPr>
        <w:t>המקרה שלפנינו אינו נמנה על מקרים חריגים אלה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מכתב האישום עולה תמונה קשה של התנהגות אלימה מצדו של המערער כלפי נשים</w:t>
      </w:r>
      <w:r>
        <w:rPr>
          <w:rtl w:val="true"/>
        </w:rPr>
        <w:t xml:space="preserve">, </w:t>
      </w:r>
      <w:r>
        <w:rPr>
          <w:rtl w:val="true"/>
        </w:rPr>
        <w:t>החוזרת על עצמה בצורות ובדרגות חומרה שונות</w:t>
      </w:r>
      <w:r>
        <w:rPr>
          <w:rtl w:val="true"/>
        </w:rPr>
        <w:t xml:space="preserve">, </w:t>
      </w:r>
      <w:r>
        <w:rPr>
          <w:rtl w:val="true"/>
        </w:rPr>
        <w:t>וזאת לאורך שנים</w:t>
      </w:r>
      <w:r>
        <w:rPr>
          <w:rtl w:val="true"/>
        </w:rPr>
        <w:t xml:space="preserve">. </w:t>
      </w:r>
      <w:r>
        <w:rPr>
          <w:rtl w:val="true"/>
        </w:rPr>
        <w:t>כפי שכבר נקבע בבית משפט זה</w:t>
      </w:r>
      <w:r>
        <w:rPr>
          <w:rtl w:val="true"/>
        </w:rPr>
        <w:t xml:space="preserve">, </w:t>
      </w:r>
      <w:r>
        <w:rPr>
          <w:rtl w:val="true"/>
        </w:rPr>
        <w:t>מדיניות הענישה בעבירות מין צריכה להיות מחמירה</w:t>
      </w:r>
      <w:r>
        <w:rPr>
          <w:rtl w:val="true"/>
        </w:rPr>
        <w:t xml:space="preserve">, </w:t>
      </w:r>
      <w:r>
        <w:rPr>
          <w:rtl w:val="true"/>
        </w:rPr>
        <w:t>ולבטא את הנזקים המשמעותיים שנגרמו לגופם ונפשם של נפגעי העבירה</w:t>
      </w:r>
      <w:r>
        <w:rPr>
          <w:rtl w:val="true"/>
        </w:rPr>
        <w:t xml:space="preserve">, </w:t>
      </w:r>
      <w:r>
        <w:rPr>
          <w:rtl w:val="true"/>
        </w:rPr>
        <w:t xml:space="preserve">כמו גם את האינטרס הציבורי בהרתעתם של עברייני מין פוטנציאליים </w:t>
      </w:r>
      <w:r>
        <w:rPr>
          <w:rtl w:val="true"/>
        </w:rPr>
        <w:t>(</w:t>
      </w:r>
      <w:hyperlink r:id="rId3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6882/14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11.11.2015</w:t>
      </w:r>
      <w:r>
        <w:rPr>
          <w:rtl w:val="true"/>
        </w:rPr>
        <w:t xml:space="preserve">); </w:t>
      </w:r>
      <w:hyperlink r:id="rId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1072/15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שייניס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42</w:t>
      </w:r>
      <w:r>
        <w:rPr>
          <w:rtl w:val="true"/>
        </w:rPr>
        <w:t xml:space="preserve"> (</w:t>
      </w:r>
      <w:r>
        <w:rPr/>
        <w:t>10.11.2015</w:t>
      </w:r>
      <w:r>
        <w:rPr>
          <w:rtl w:val="true"/>
        </w:rPr>
        <w:t xml:space="preserve">)). </w:t>
      </w:r>
      <w:r>
        <w:rPr>
          <w:rtl w:val="true"/>
        </w:rPr>
        <w:t>המתלוננות ייאלצו להתמודד עם הנזקים שנגרמו להן כתוצאה ממעשיו של המערער עוד שנים ארוכות</w:t>
      </w:r>
      <w:r>
        <w:rPr>
          <w:rtl w:val="true"/>
        </w:rPr>
        <w:t xml:space="preserve">, </w:t>
      </w:r>
      <w:r>
        <w:rPr>
          <w:rtl w:val="true"/>
        </w:rPr>
        <w:t>כפי שגם עולה מהתסקירים שהוגשו לבית המשפט המחוזי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לאור חומרת מעשיו של המערער והישנותם</w:t>
      </w:r>
      <w:r>
        <w:rPr>
          <w:rtl w:val="true"/>
        </w:rPr>
        <w:t xml:space="preserve">, </w:t>
      </w:r>
      <w:r>
        <w:rPr>
          <w:rtl w:val="true"/>
        </w:rPr>
        <w:t>העונש שהוטל על המערער הינו ראוי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מעבר לכך</w:t>
      </w:r>
      <w:r>
        <w:rPr>
          <w:rtl w:val="true"/>
        </w:rPr>
        <w:t xml:space="preserve">, </w:t>
      </w:r>
      <w:r>
        <w:rPr>
          <w:rtl w:val="true"/>
        </w:rPr>
        <w:t>איני מוצא פגם המצדיק התערבות במתחם הענישה שנקבע לגבי כלל העבירות בהן הורשע המערער</w:t>
      </w:r>
      <w:r>
        <w:rPr>
          <w:rtl w:val="true"/>
        </w:rPr>
        <w:t xml:space="preserve">. </w:t>
      </w:r>
      <w:r>
        <w:rPr>
          <w:rtl w:val="true"/>
        </w:rPr>
        <w:t>המערער מצביע ביחס לארבעת האישומים על שוני בין חומרת העבירות בפסקי הדין שנסקרו בגזר הדין לבין חומרת מעשיו שלו</w:t>
      </w:r>
      <w:r>
        <w:rPr>
          <w:rtl w:val="true"/>
        </w:rPr>
        <w:t xml:space="preserve">, </w:t>
      </w:r>
      <w:r>
        <w:rPr>
          <w:rtl w:val="true"/>
        </w:rPr>
        <w:t>ועל מתחמי ענישה שהרף התחתון שנקבע בעניינם נמוך ממתחם הענישה שנקבע עבורו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אף אם קיימים פערים כאלו</w:t>
      </w:r>
      <w:r>
        <w:rPr>
          <w:rtl w:val="true"/>
        </w:rPr>
        <w:t xml:space="preserve">, </w:t>
      </w:r>
      <w:r>
        <w:rPr>
          <w:rtl w:val="true"/>
        </w:rPr>
        <w:t>אין בכך בכדי להצביע על שגיאה במתחם שנקבע</w:t>
      </w:r>
      <w:r>
        <w:rPr>
          <w:rtl w:val="true"/>
        </w:rPr>
        <w:t xml:space="preserve">. </w:t>
      </w:r>
      <w:r>
        <w:rPr>
          <w:rtl w:val="true"/>
        </w:rPr>
        <w:t xml:space="preserve">סקירת מדיניות הענישה מהווה אך רכיב אחד בשיקולי קביעת מתחם הענישה </w:t>
      </w:r>
      <w:r>
        <w:rPr>
          <w:rtl w:val="true"/>
        </w:rPr>
        <w:t>(</w:t>
      </w:r>
      <w:hyperlink r:id="rId3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8641/12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סעד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23</w:t>
      </w:r>
      <w:r>
        <w:rPr>
          <w:rtl w:val="true"/>
        </w:rPr>
        <w:t xml:space="preserve"> (</w:t>
      </w:r>
      <w:r>
        <w:rPr/>
        <w:t>5.8.2013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3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1323/13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חסן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9</w:t>
      </w:r>
      <w:r>
        <w:rPr>
          <w:rtl w:val="true"/>
        </w:rPr>
        <w:t xml:space="preserve"> (</w:t>
      </w:r>
      <w:r>
        <w:rPr/>
        <w:t>5.6.2013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בית המשפט המחוזי ביסס את קביעת מתחמי הענישה שבהחלטתו</w:t>
      </w:r>
      <w:r>
        <w:rPr>
          <w:rtl w:val="true"/>
        </w:rPr>
        <w:t xml:space="preserve">, </w:t>
      </w:r>
      <w:r>
        <w:rPr>
          <w:rtl w:val="true"/>
        </w:rPr>
        <w:t xml:space="preserve">כנדרש על פי </w:t>
      </w:r>
      <w:hyperlink r:id="rId3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ג</w:t>
        </w:r>
      </w:hyperlink>
      <w:r>
        <w:rPr>
          <w:rtl w:val="true"/>
        </w:rPr>
        <w:t xml:space="preserve"> ל</w:t>
      </w:r>
      <w:hyperlink r:id="rId3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גם על הערכים החברתיים שנפגעו מביצוע העבירות</w:t>
      </w:r>
      <w:r>
        <w:rPr>
          <w:rtl w:val="true"/>
        </w:rPr>
        <w:t xml:space="preserve">, </w:t>
      </w:r>
      <w:r>
        <w:rPr>
          <w:rtl w:val="true"/>
        </w:rPr>
        <w:t>מידת הפגיעה בערכים אלו</w:t>
      </w:r>
      <w:r>
        <w:rPr>
          <w:rtl w:val="true"/>
        </w:rPr>
        <w:t xml:space="preserve">, </w:t>
      </w:r>
      <w:r>
        <w:rPr>
          <w:rtl w:val="true"/>
        </w:rPr>
        <w:t>ונסיבות נוספות הקשורות בביצוע העבירות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יתר על כן</w:t>
      </w:r>
      <w:r>
        <w:rPr>
          <w:rtl w:val="true"/>
        </w:rPr>
        <w:t xml:space="preserve">, </w:t>
      </w:r>
      <w:r>
        <w:rPr>
          <w:rtl w:val="true"/>
        </w:rPr>
        <w:t>טענות המערער בדבר פגם שנפל בקביעת מתחם העונש</w:t>
      </w:r>
      <w:r>
        <w:rPr>
          <w:rtl w:val="true"/>
        </w:rPr>
        <w:t xml:space="preserve">, </w:t>
      </w:r>
      <w:r>
        <w:rPr>
          <w:rtl w:val="true"/>
        </w:rPr>
        <w:t xml:space="preserve">ממילא אין בהם כדי לחייב </w:t>
      </w:r>
      <w:r>
        <w:rPr>
          <w:rFonts w:ascii="Century" w:hAnsi="Century" w:cs="Century"/>
          <w:sz w:val="22"/>
          <w:sz w:val="22"/>
          <w:rtl w:val="true"/>
        </w:rPr>
        <w:t>התערבות בעונש שנקבע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כל עוד אין בעונש שהושת משום סטייה קיצונית מרמת הענישה הראויה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אלעוקבי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12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וראו</w:t>
      </w:r>
      <w:r>
        <w:rPr>
          <w:rFonts w:cs="Century" w:ascii="Century" w:hAnsi="Century"/>
          <w:sz w:val="22"/>
          <w:rtl w:val="true"/>
        </w:rPr>
        <w:t xml:space="preserve">: </w:t>
      </w:r>
      <w:hyperlink r:id="rId38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8109/15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אביטן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8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9.6.2016</w:t>
      </w:r>
      <w:r>
        <w:rPr>
          <w:rFonts w:cs="Century" w:ascii="Century" w:hAnsi="Century"/>
          <w:sz w:val="22"/>
          <w:rtl w:val="true"/>
        </w:rPr>
        <w:t xml:space="preserve">); </w:t>
      </w:r>
      <w:hyperlink r:id="rId39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2012/17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קסימובה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37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31.07.2018</w:t>
      </w:r>
      <w:r>
        <w:rPr>
          <w:rFonts w:cs="Century" w:ascii="Century" w:hAnsi="Century"/>
          <w:sz w:val="22"/>
          <w:rtl w:val="true"/>
        </w:rPr>
        <w:t>)</w:t>
      </w:r>
      <w:r>
        <w:rPr>
          <w:rFonts w:cs="Century" w:ascii="Century" w:hAnsi="Century"/>
          <w:sz w:val="22"/>
          <w:rtl w:val="true"/>
        </w:rPr>
        <w:t>).</w:t>
      </w:r>
      <w:r>
        <w:rPr>
          <w:rtl w:val="true"/>
        </w:rPr>
        <w:t xml:space="preserve"> </w:t>
      </w:r>
      <w:r>
        <w:rPr>
          <w:rtl w:val="true"/>
        </w:rPr>
        <w:t>גם אם היה נמצא שהיה על בית המשפט לקבוע רף תחתון נמוך יותר למתחם הענישה</w:t>
      </w:r>
      <w:r>
        <w:rPr>
          <w:rtl w:val="true"/>
        </w:rPr>
        <w:t xml:space="preserve">, </w:t>
      </w:r>
      <w:r>
        <w:rPr>
          <w:rtl w:val="true"/>
        </w:rPr>
        <w:t>כל עוד העונש שנקבע סביר וראוי בנסיבות העניין</w:t>
      </w:r>
      <w:r>
        <w:rPr>
          <w:rtl w:val="true"/>
        </w:rPr>
        <w:t xml:space="preserve">, </w:t>
      </w:r>
      <w:r>
        <w:rPr>
          <w:rtl w:val="true"/>
        </w:rPr>
        <w:t xml:space="preserve">אין כל מקום להתערב בו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4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379/15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26.7.2015</w:t>
      </w:r>
      <w:r>
        <w:rPr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ולעניין שאלת העונש המזערי בקשר לעבירת ביצוע מעשה מגונה</w:t>
      </w:r>
      <w:r>
        <w:rPr>
          <w:rtl w:val="true"/>
        </w:rPr>
        <w:t xml:space="preserve">. </w:t>
      </w:r>
      <w:r>
        <w:rPr>
          <w:rtl w:val="true"/>
        </w:rPr>
        <w:t xml:space="preserve">אציין כי אמנם נפלה טעות בפסק דינו של בית המשפט המחוזי בהתייחסו לעונש מזערי לפי </w:t>
      </w:r>
      <w:hyperlink r:id="rId4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שכן סעיף זה אינו חל על העבירה לפי </w:t>
      </w:r>
      <w:hyperlink r:id="rId4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בגינה הורשע המערער באישום השלישי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בהתחשב באופן שבו נלקחו בחשבון על ידי בית המשפט המחוזי מכלול הנסיבות שאינן קשורות בביצוע העבירה</w:t>
      </w:r>
      <w:r>
        <w:rPr>
          <w:rtl w:val="true"/>
        </w:rPr>
        <w:t xml:space="preserve">, </w:t>
      </w:r>
      <w:r>
        <w:rPr>
          <w:rtl w:val="true"/>
        </w:rPr>
        <w:t>לא נראה כי ניתן לעונש המזערי כאמור משקל משמעותי</w:t>
      </w:r>
      <w:r>
        <w:rPr>
          <w:rtl w:val="true"/>
        </w:rPr>
        <w:t xml:space="preserve">. </w:t>
      </w: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>מסכים אני עם טענת המשיבה כי לא היה בטעות זו בכדי להשפיע על מתחם הענישה שנקבע</w:t>
      </w:r>
      <w:r>
        <w:rPr>
          <w:rtl w:val="true"/>
        </w:rPr>
        <w:t xml:space="preserve">. </w:t>
      </w:r>
      <w:r>
        <w:rPr>
          <w:rtl w:val="true"/>
        </w:rPr>
        <w:t xml:space="preserve">בעוד שהעונש המזערי שהיה נקבע לעבירה לפי </w:t>
      </w:r>
      <w:hyperlink r:id="rId4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היה עומד על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, </w:t>
      </w:r>
      <w:r>
        <w:rPr>
          <w:rtl w:val="true"/>
        </w:rPr>
        <w:t xml:space="preserve">הרי שממילא המתחם שנקבע באישום זה הועמד על </w:t>
      </w:r>
      <w:r>
        <w:rPr/>
        <w:t>12-6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>גם את טענת המערער כי יש לראות בחלוף הזמן שעבר בין ביצוע חלק מהעבירות לבין ההרשעה כנתון שיש להתחשב בו כנסיבה מקלה</w:t>
      </w:r>
      <w:r>
        <w:rPr>
          <w:rtl w:val="true"/>
        </w:rPr>
        <w:t xml:space="preserve">, </w:t>
      </w:r>
      <w:r>
        <w:rPr>
          <w:rtl w:val="true"/>
        </w:rPr>
        <w:t>אין לקבל</w:t>
      </w:r>
      <w:r>
        <w:rPr>
          <w:rtl w:val="true"/>
        </w:rPr>
        <w:t xml:space="preserve">. </w:t>
      </w:r>
      <w:r>
        <w:rPr>
          <w:rtl w:val="true"/>
        </w:rPr>
        <w:t>חלוף הזמן עומד לזכותו של נאשם כנסיבה מקלה כאשר הוא מהווה אינדיקציה לשינוי בהתנהגות</w:t>
      </w:r>
      <w:r>
        <w:rPr>
          <w:rtl w:val="true"/>
        </w:rPr>
        <w:t xml:space="preserve">, </w:t>
      </w:r>
      <w:r>
        <w:rPr>
          <w:rtl w:val="true"/>
        </w:rPr>
        <w:t xml:space="preserve">בהתנהלות ובדרכי החשיבה </w:t>
      </w:r>
      <w:r>
        <w:rPr>
          <w:rtl w:val="true"/>
        </w:rPr>
        <w:t>(</w:t>
      </w:r>
      <w:hyperlink r:id="rId4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8439/17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שמאילוב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14</w:t>
      </w:r>
      <w:r>
        <w:rPr>
          <w:rtl w:val="true"/>
        </w:rPr>
        <w:t xml:space="preserve"> (</w:t>
      </w:r>
      <w:r>
        <w:rPr/>
        <w:t>3.4.2019</w:t>
      </w:r>
      <w:r>
        <w:rPr>
          <w:rtl w:val="true"/>
        </w:rPr>
        <w:t xml:space="preserve">)). </w:t>
      </w:r>
      <w:r>
        <w:rPr>
          <w:rtl w:val="true"/>
        </w:rPr>
        <w:t>לעומת זאת בענייננו</w:t>
      </w:r>
      <w:r>
        <w:rPr>
          <w:rtl w:val="true"/>
        </w:rPr>
        <w:t xml:space="preserve">, </w:t>
      </w:r>
      <w:r>
        <w:rPr>
          <w:rtl w:val="true"/>
        </w:rPr>
        <w:t>מאז ביצוע העבירה שבאישום הראשון</w:t>
      </w:r>
      <w:r>
        <w:rPr>
          <w:rtl w:val="true"/>
        </w:rPr>
        <w:t xml:space="preserve">, </w:t>
      </w:r>
      <w:r>
        <w:rPr>
          <w:rtl w:val="true"/>
        </w:rPr>
        <w:t xml:space="preserve">לפני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המשיך המערער בהתנהגותו</w:t>
      </w:r>
      <w:r>
        <w:rPr>
          <w:rtl w:val="true"/>
        </w:rPr>
        <w:t xml:space="preserve">, </w:t>
      </w:r>
      <w:r>
        <w:rPr>
          <w:rtl w:val="true"/>
        </w:rPr>
        <w:t>עד האירוע שבאישומים השני והרביעי</w:t>
      </w:r>
      <w:r>
        <w:rPr>
          <w:rtl w:val="true"/>
        </w:rPr>
        <w:t xml:space="preserve">, </w:t>
      </w:r>
      <w:r>
        <w:rPr>
          <w:rtl w:val="true"/>
        </w:rPr>
        <w:t>שהתרחשו שלוש שנים קודם להרשעתו בדין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קביעתו של בית המשפט שהעבירות מהוות מסכת אירועים אחת נאמרה לעניין התייחסותו לבחינת חלוף הזמן כנסיבה מקלה</w:t>
      </w:r>
      <w:r>
        <w:rPr>
          <w:rtl w:val="true"/>
        </w:rPr>
        <w:t xml:space="preserve">, </w:t>
      </w:r>
      <w:r>
        <w:rPr>
          <w:rtl w:val="true"/>
        </w:rPr>
        <w:t>ואינה סותרת את החלטתו בשלב הראשון של גזירת העונש בה נקבעו מתחמי ענישה נפרדים לארבעת האישומים</w:t>
      </w:r>
      <w:r>
        <w:rPr>
          <w:rtl w:val="true"/>
        </w:rPr>
        <w:t xml:space="preserve">. </w:t>
      </w:r>
      <w:r>
        <w:rPr>
          <w:rtl w:val="true"/>
        </w:rPr>
        <w:t>מה גם</w:t>
      </w:r>
      <w:r>
        <w:rPr>
          <w:rtl w:val="true"/>
        </w:rPr>
        <w:t xml:space="preserve">, </w:t>
      </w:r>
      <w:r>
        <w:rPr>
          <w:rtl w:val="true"/>
        </w:rPr>
        <w:t xml:space="preserve">שלפי </w:t>
      </w:r>
      <w:hyperlink r:id="rId4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יא</w:t>
        </w:r>
      </w:hyperlink>
      <w:r>
        <w:rPr>
          <w:rtl w:val="true"/>
        </w:rPr>
        <w:t xml:space="preserve"> ל</w:t>
      </w:r>
      <w:hyperlink r:id="rId4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חלוף הזמן הינה נסיבה אותה יש לשקול אך לגזירת העונש בתוך מתחם הענישה</w:t>
      </w:r>
      <w:r>
        <w:rPr>
          <w:rtl w:val="true"/>
        </w:rPr>
        <w:t xml:space="preserve">, </w:t>
      </w:r>
      <w:r>
        <w:rPr>
          <w:rtl w:val="true"/>
        </w:rPr>
        <w:t xml:space="preserve">בהיותה נסיבה שאינה קשורה בביצוע העבירה </w:t>
      </w:r>
      <w:r>
        <w:rPr>
          <w:rtl w:val="true"/>
        </w:rPr>
        <w:t>(</w:t>
      </w:r>
      <w:hyperlink r:id="rId4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5725/15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15</w:t>
      </w:r>
      <w:r>
        <w:rPr>
          <w:rtl w:val="true"/>
        </w:rPr>
        <w:t xml:space="preserve"> (</w:t>
      </w:r>
      <w:r>
        <w:rPr/>
        <w:t>4.8.2016</w:t>
      </w:r>
      <w:r>
        <w:rPr>
          <w:rtl w:val="true"/>
        </w:rPr>
        <w:t xml:space="preserve">); </w:t>
      </w:r>
      <w:hyperlink r:id="rId49"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3380/16</w:t>
        </w:r>
      </w:hyperlink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נאמן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Fonts w:ascii="FrankRuehl" w:hAnsi="FrankRuehl" w:cs="FrankRuehl"/>
          <w:sz w:val="28"/>
          <w:sz w:val="28"/>
          <w:rtl w:val="true"/>
        </w:rPr>
        <w:t xml:space="preserve">פסקה </w:t>
      </w:r>
      <w:r>
        <w:rPr>
          <w:rFonts w:cs="FrankRuehl" w:ascii="FrankRuehl" w:hAnsi="FrankRuehl"/>
          <w:sz w:val="28"/>
        </w:rPr>
        <w:t>10</w:t>
      </w:r>
      <w:r>
        <w:rPr>
          <w:rFonts w:cs="FrankRuehl" w:ascii="FrankRuehl" w:hAnsi="FrankRuehl"/>
          <w:sz w:val="28"/>
          <w:rtl w:val="true"/>
        </w:rPr>
        <w:t xml:space="preserve"> (</w:t>
      </w:r>
      <w:r>
        <w:rPr>
          <w:rFonts w:cs="FrankRuehl" w:ascii="FrankRuehl" w:hAnsi="FrankRuehl"/>
          <w:sz w:val="28"/>
        </w:rPr>
        <w:t>14.3.2017</w:t>
      </w:r>
      <w:r>
        <w:rPr>
          <w:rFonts w:cs="FrankRuehl" w:ascii="FrankRuehl" w:hAnsi="FrankRuehl"/>
          <w:sz w:val="28"/>
          <w:rtl w:val="true"/>
        </w:rPr>
        <w:t>)</w:t>
      </w:r>
      <w:r>
        <w:rPr>
          <w:rtl w:val="true"/>
        </w:rPr>
        <w:t xml:space="preserve">).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 xml:space="preserve">גם דין טענת המערער לעניין ניכוי ימי מעצרו בפיקוח אלקטרוני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להידחות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אף שבית המשפט יכול להתחשב במעצר ממושך בפיקוח אלקטרוני ולראות בכך שיקול לקולא בעת גזירת דינו של נאשם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כפי שגם עשה בית המשפט המחוזי במקרה זה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אין לנכות את תקופת המעצר בפיקוח אלקטרוני באופן אוטומטי מתקופת המאסר </w:t>
      </w:r>
      <w:r>
        <w:rPr>
          <w:rtl w:val="true"/>
        </w:rPr>
        <w:t>(</w:t>
      </w:r>
      <w:hyperlink r:id="rId5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7768/15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20.4.2016</w:t>
      </w:r>
      <w:r>
        <w:rPr>
          <w:rFonts w:cs="Century" w:ascii="Century" w:hAnsi="Century"/>
          <w:sz w:val="22"/>
          <w:rtl w:val="true"/>
        </w:rPr>
        <w:t>)).</w:t>
      </w:r>
    </w:p>
    <w:p>
      <w:pPr>
        <w:pStyle w:val="Ruller4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לסיכום אפוא</w:t>
      </w:r>
      <w:r>
        <w:rPr>
          <w:rtl w:val="true"/>
        </w:rPr>
        <w:t xml:space="preserve">, </w:t>
      </w:r>
      <w:r>
        <w:rPr>
          <w:rtl w:val="true"/>
        </w:rPr>
        <w:t>העונש שנגזר על המערער ראוי בנסיבות העניין</w:t>
      </w:r>
      <w:r>
        <w:rPr>
          <w:rtl w:val="true"/>
        </w:rPr>
        <w:t xml:space="preserve">, </w:t>
      </w:r>
      <w:r>
        <w:rPr>
          <w:rtl w:val="true"/>
        </w:rPr>
        <w:t>ואציע לחבריי לדחות את הערעור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המשנה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לנשיאה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ח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מלצר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המשנה</w:t>
      </w:r>
      <w:r>
        <w:rPr>
          <w:rtl w:val="true"/>
        </w:rPr>
        <w:t>-</w:t>
      </w:r>
      <w:r>
        <w:rPr>
          <w:rtl w:val="true"/>
        </w:rPr>
        <w:t>לנשיאה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קרא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מינץ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16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 xml:space="preserve">' </w:t>
      </w:r>
      <w:r>
        <w:rPr>
          <w:rtl w:val="true"/>
        </w:rPr>
        <w:t>בסיון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23.6.2019</w:t>
      </w:r>
      <w:r>
        <w:rPr>
          <w:rtl w:val="true"/>
        </w:rPr>
        <w:t xml:space="preserve">). </w:t>
      </w:r>
      <w:bookmarkEnd w:id="16"/>
    </w:p>
    <w:p>
      <w:pPr>
        <w:pStyle w:val="Ruller4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97"/>
        <w:gridCol w:w="2783"/>
        <w:gridCol w:w="2783"/>
      </w:tblGrid>
      <w:tr>
        <w:trPr/>
        <w:tc>
          <w:tcPr>
            <w:tcW w:w="2797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המשנה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</w:p>
        </w:tc>
        <w:tc>
          <w:tcPr>
            <w:tcW w:w="278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;Times New Roman"/>
          <w:sz w:val="16"/>
          <w:rtl w:val="true"/>
        </w:rPr>
        <w:t xml:space="preserve">   </w:t>
      </w:r>
      <w:r>
        <w:rPr>
          <w:sz w:val="16"/>
        </w:rPr>
        <w:t>18064790</w:t>
      </w:r>
      <w:r>
        <w:rPr>
          <w:sz w:val="16"/>
          <w:rtl w:val="true"/>
        </w:rPr>
        <w:t>_</w:t>
      </w:r>
      <w:r>
        <w:rPr>
          <w:sz w:val="16"/>
        </w:rPr>
        <w:t>N03.docx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רח</w:t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51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ascii="David;Times New Roman" w:hAnsi="David;Times New Roman"/>
          <w:color w:val="000000"/>
          <w:szCs w:val="22"/>
          <w:rtl w:val="true"/>
        </w:rPr>
        <w:t>ג</w:t>
      </w:r>
      <w:r>
        <w:rPr>
          <w:rFonts w:cs="David;Times New Roman" w:ascii="David;Times New Roman" w:hAnsi="David;Times New Roman"/>
          <w:color w:val="000000"/>
          <w:szCs w:val="22"/>
          <w:rtl w:val="true"/>
        </w:rPr>
        <w:t xml:space="preserve">' </w:t>
      </w:r>
      <w:r>
        <w:rPr>
          <w:rFonts w:ascii="David;Times New Roman" w:hAnsi="David;Times New Roman"/>
          <w:color w:val="000000"/>
          <w:szCs w:val="22"/>
          <w:rtl w:val="true"/>
        </w:rPr>
        <w:t xml:space="preserve">קרא </w:t>
      </w:r>
      <w:r>
        <w:rPr>
          <w:rFonts w:cs="David;Times New Roman" w:ascii="David;Times New Roman" w:hAnsi="David;Times New Roman"/>
          <w:color w:val="000000"/>
          <w:szCs w:val="22"/>
        </w:rPr>
        <w:t>54678313-6479/18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52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53"/>
      <w:footerReference w:type="default" r:id="rId54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altName w:val="Times New Roman"/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11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 xml:space="preserve">עפ </w:t>
    </w:r>
    <w:r>
      <w:rPr>
        <w:rFonts w:cs="David;Times New Roman" w:ascii="David;Times New Roman" w:hAnsi="David;Times New Roman"/>
        <w:color w:val="000000"/>
        <w:sz w:val="22"/>
        <w:szCs w:val="22"/>
      </w:rPr>
      <w:t>6479/18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אלון קסטיאל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1155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;Times New Roman" w:hAnsi="Times New Roman;Times New Roman" w:eastAsia="Times New Roman;Times New Roman" w:cs="David;Times New Roman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;Times New Roman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Times New Roman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;Times New Roman"/>
    </w:rPr>
  </w:style>
  <w:style w:type="character" w:styleId="CharChar1">
    <w:name w:val=" Char Char1"/>
    <w:qFormat/>
    <w:rPr>
      <w:rFonts w:cs="David;Times New Roman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;Times New Roman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;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;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;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311">
    <w:name w:val="ruller 31"/>
    <w:basedOn w:val="Normal"/>
    <w:qFormat/>
    <w:pPr>
      <w:overflowPunct w:val="true"/>
      <w:textAlignment w:val="auto"/>
    </w:pPr>
    <w:rPr>
      <w:sz w:val="22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1839030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5" TargetMode="External"/><Relationship Id="rId5" Type="http://schemas.openxmlformats.org/officeDocument/2006/relationships/hyperlink" Target="http://www.nevo.co.il/law/70301/40c" TargetMode="External"/><Relationship Id="rId6" Type="http://schemas.openxmlformats.org/officeDocument/2006/relationships/hyperlink" Target="http://www.nevo.co.il/law/70301/345.a.1" TargetMode="External"/><Relationship Id="rId7" Type="http://schemas.openxmlformats.org/officeDocument/2006/relationships/hyperlink" Target="http://www.nevo.co.il/law/70301/348.a" TargetMode="External"/><Relationship Id="rId8" Type="http://schemas.openxmlformats.org/officeDocument/2006/relationships/hyperlink" Target="http://www.nevo.co.il/law/70301/348.b" TargetMode="External"/><Relationship Id="rId9" Type="http://schemas.openxmlformats.org/officeDocument/2006/relationships/hyperlink" Target="http://www.nevo.co.il/law/70301/348.c" TargetMode="External"/><Relationship Id="rId10" Type="http://schemas.openxmlformats.org/officeDocument/2006/relationships/hyperlink" Target="http://www.nevo.co.il/law/70301/348.c1" TargetMode="External"/><Relationship Id="rId11" Type="http://schemas.openxmlformats.org/officeDocument/2006/relationships/hyperlink" Target="http://www.nevo.co.il/law/70301/355" TargetMode="External"/><Relationship Id="rId12" Type="http://schemas.openxmlformats.org/officeDocument/2006/relationships/hyperlink" Target="http://www.nevo.co.il/law/70301/40ja" TargetMode="External"/><Relationship Id="rId13" Type="http://schemas.openxmlformats.org/officeDocument/2006/relationships/hyperlink" Target="http://www.nevo.co.il/law/72507" TargetMode="External"/><Relationship Id="rId14" Type="http://schemas.openxmlformats.org/officeDocument/2006/relationships/hyperlink" Target="http://www.nevo.co.il/law/72507/3.a.2" TargetMode="External"/><Relationship Id="rId15" Type="http://schemas.openxmlformats.org/officeDocument/2006/relationships/hyperlink" Target="http://www.nevo.co.il/case/21839030" TargetMode="External"/><Relationship Id="rId16" Type="http://schemas.openxmlformats.org/officeDocument/2006/relationships/hyperlink" Target="http://www.nevo.co.il/law/70301/345.a.1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25" TargetMode="External"/><Relationship Id="rId19" Type="http://schemas.openxmlformats.org/officeDocument/2006/relationships/hyperlink" Target="http://www.nevo.co.il/law/70301/348.c1" TargetMode="External"/><Relationship Id="rId20" Type="http://schemas.openxmlformats.org/officeDocument/2006/relationships/hyperlink" Target="http://www.nevo.co.il/law/70301/348.c" TargetMode="External"/><Relationship Id="rId21" Type="http://schemas.openxmlformats.org/officeDocument/2006/relationships/hyperlink" Target="http://www.nevo.co.il/law/72507/3.a.2" TargetMode="External"/><Relationship Id="rId22" Type="http://schemas.openxmlformats.org/officeDocument/2006/relationships/hyperlink" Target="http://www.nevo.co.il/law/72507" TargetMode="External"/><Relationship Id="rId23" Type="http://schemas.openxmlformats.org/officeDocument/2006/relationships/hyperlink" Target="http://www.nevo.co.il/law/70301/355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70301/348.a" TargetMode="External"/><Relationship Id="rId26" Type="http://schemas.openxmlformats.org/officeDocument/2006/relationships/hyperlink" Target="http://www.nevo.co.il/law/70301/348.b" TargetMode="External"/><Relationship Id="rId27" Type="http://schemas.openxmlformats.org/officeDocument/2006/relationships/hyperlink" Target="http://www.nevo.co.il/law/70301/348.c1" TargetMode="External"/><Relationship Id="rId28" Type="http://schemas.openxmlformats.org/officeDocument/2006/relationships/hyperlink" Target="http://www.nevo.co.il/law/70301/348.c" TargetMode="External"/><Relationship Id="rId29" Type="http://schemas.openxmlformats.org/officeDocument/2006/relationships/hyperlink" Target="http://www.nevo.co.il/case/21478626" TargetMode="External"/><Relationship Id="rId30" Type="http://schemas.openxmlformats.org/officeDocument/2006/relationships/hyperlink" Target="http://www.nevo.co.il/case/20683481" TargetMode="External"/><Relationship Id="rId31" Type="http://schemas.openxmlformats.org/officeDocument/2006/relationships/hyperlink" Target="http://www.nevo.co.il/case/7765894" TargetMode="External"/><Relationship Id="rId32" Type="http://schemas.openxmlformats.org/officeDocument/2006/relationships/hyperlink" Target="http://www.nevo.co.il/case/18107147" TargetMode="External"/><Relationship Id="rId33" Type="http://schemas.openxmlformats.org/officeDocument/2006/relationships/hyperlink" Target="http://www.nevo.co.il/case/20028610" TargetMode="External"/><Relationship Id="rId34" Type="http://schemas.openxmlformats.org/officeDocument/2006/relationships/hyperlink" Target="http://www.nevo.co.il/case/5573417" TargetMode="External"/><Relationship Id="rId35" Type="http://schemas.openxmlformats.org/officeDocument/2006/relationships/hyperlink" Target="http://www.nevo.co.il/case/6473037" TargetMode="External"/><Relationship Id="rId36" Type="http://schemas.openxmlformats.org/officeDocument/2006/relationships/hyperlink" Target="http://www.nevo.co.il/law/70301/40c" TargetMode="External"/><Relationship Id="rId37" Type="http://schemas.openxmlformats.org/officeDocument/2006/relationships/hyperlink" Target="http://www.nevo.co.il/law/70301" TargetMode="External"/><Relationship Id="rId38" Type="http://schemas.openxmlformats.org/officeDocument/2006/relationships/hyperlink" Target="http://www.nevo.co.il/case/20683368" TargetMode="External"/><Relationship Id="rId39" Type="http://schemas.openxmlformats.org/officeDocument/2006/relationships/hyperlink" Target="http://www.nevo.co.il/case/22289810" TargetMode="External"/><Relationship Id="rId40" Type="http://schemas.openxmlformats.org/officeDocument/2006/relationships/hyperlink" Target="http://www.nevo.co.il/case/20000175" TargetMode="External"/><Relationship Id="rId41" Type="http://schemas.openxmlformats.org/officeDocument/2006/relationships/hyperlink" Target="http://www.nevo.co.il/law/70301/355" TargetMode="External"/><Relationship Id="rId42" Type="http://schemas.openxmlformats.org/officeDocument/2006/relationships/hyperlink" Target="http://www.nevo.co.il/law/70301" TargetMode="External"/><Relationship Id="rId43" Type="http://schemas.openxmlformats.org/officeDocument/2006/relationships/hyperlink" Target="http://www.nevo.co.il/law/70301/348.c" TargetMode="External"/><Relationship Id="rId44" Type="http://schemas.openxmlformats.org/officeDocument/2006/relationships/hyperlink" Target="http://www.nevo.co.il/law/70301/348.c" TargetMode="External"/><Relationship Id="rId45" Type="http://schemas.openxmlformats.org/officeDocument/2006/relationships/hyperlink" Target="http://www.nevo.co.il/case/23226250" TargetMode="External"/><Relationship Id="rId46" Type="http://schemas.openxmlformats.org/officeDocument/2006/relationships/hyperlink" Target="http://www.nevo.co.il/law/70301/40ja" TargetMode="External"/><Relationship Id="rId47" Type="http://schemas.openxmlformats.org/officeDocument/2006/relationships/hyperlink" Target="http://www.nevo.co.il/law/70301" TargetMode="External"/><Relationship Id="rId48" Type="http://schemas.openxmlformats.org/officeDocument/2006/relationships/hyperlink" Target="http://www.nevo.co.il/case/20533387" TargetMode="External"/><Relationship Id="rId49" Type="http://schemas.openxmlformats.org/officeDocument/2006/relationships/hyperlink" Target="http://www.nevo.co.il/case/21473564" TargetMode="External"/><Relationship Id="rId50" Type="http://schemas.openxmlformats.org/officeDocument/2006/relationships/hyperlink" Target="http://www.nevo.co.il/case/20832660" TargetMode="External"/><Relationship Id="rId51" Type="http://schemas.openxmlformats.org/officeDocument/2006/relationships/hyperlink" Target="http://supreme.court.gov.il/" TargetMode="External"/><Relationship Id="rId52" Type="http://schemas.openxmlformats.org/officeDocument/2006/relationships/hyperlink" Target="http://www.nevo.co.il/advertisements/nevo-100.doc" TargetMode="External"/><Relationship Id="rId53" Type="http://schemas.openxmlformats.org/officeDocument/2006/relationships/header" Target="header1.xml"/><Relationship Id="rId54" Type="http://schemas.openxmlformats.org/officeDocument/2006/relationships/footer" Target="footer1.xml"/><Relationship Id="rId55" Type="http://schemas.openxmlformats.org/officeDocument/2006/relationships/numbering" Target="numbering.xml"/><Relationship Id="rId56" Type="http://schemas.openxmlformats.org/officeDocument/2006/relationships/fontTable" Target="fontTable.xml"/><Relationship Id="rId57" Type="http://schemas.openxmlformats.org/officeDocument/2006/relationships/settings" Target="settings.xml"/><Relationship Id="rId5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2019-06-24T10:51:00Z</dcterms:created>
  <dc:creator>h4</dc:creator>
  <dc:description/>
  <cp:keywords/>
  <dc:language>en-IL</dc:language>
  <cp:lastModifiedBy>orly</cp:lastModifiedBy>
  <cp:lastPrinted>2019-06-23T10:35:00Z</cp:lastPrinted>
  <dcterms:modified xsi:type="dcterms:W3CDTF">2019-06-24T10:51:00Z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אלון קסטיאל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21839030:2;21478626;20683481;7765894;18107147;20028610;5573417;6473037;20683368;22289810;20000175;23226250;20533387;21473564;20832660</vt:lpwstr>
  </property>
  <property fmtid="{D5CDD505-2E9C-101B-9397-08002B2CF9AE}" pid="9" name="CITY">
    <vt:lpwstr/>
  </property>
  <property fmtid="{D5CDD505-2E9C-101B-9397-08002B2CF9AE}" pid="10" name="DATE">
    <vt:lpwstr>20190623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ג' קרא;ד' מינץ;ח' מלצר</vt:lpwstr>
  </property>
  <property fmtid="{D5CDD505-2E9C-101B-9397-08002B2CF9AE}" pid="14" name="LAWLISTTMP1">
    <vt:lpwstr>70301/345.a.1;025;348.c1:2;348.c:4;355:2;348.a;348.b;040c;40ja</vt:lpwstr>
  </property>
  <property fmtid="{D5CDD505-2E9C-101B-9397-08002B2CF9AE}" pid="15" name="LAWLISTTMP2">
    <vt:lpwstr>72507/003.a.2</vt:lpwstr>
  </property>
  <property fmtid="{D5CDD505-2E9C-101B-9397-08002B2CF9AE}" pid="16" name="LAWYER">
    <vt:lpwstr>דנה שמול;רועי בלכר;מיטל דנינו;ברכה וייס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פאני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>עונשין</vt:lpwstr>
  </property>
  <property fmtid="{D5CDD505-2E9C-101B-9397-08002B2CF9AE}" pid="31" name="NOSE14">
    <vt:lpwstr>עונשין</vt:lpwstr>
  </property>
  <property fmtid="{D5CDD505-2E9C-101B-9397-08002B2CF9AE}" pid="32" name="NOSE15">
    <vt:lpwstr/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77;77;77;77</vt:lpwstr>
  </property>
  <property fmtid="{D5CDD505-2E9C-101B-9397-08002B2CF9AE}" pid="38" name="NOSE21">
    <vt:lpwstr>ענישה</vt:lpwstr>
  </property>
  <property fmtid="{D5CDD505-2E9C-101B-9397-08002B2CF9AE}" pid="39" name="NOSE210">
    <vt:lpwstr/>
  </property>
  <property fmtid="{D5CDD505-2E9C-101B-9397-08002B2CF9AE}" pid="40" name="NOSE22">
    <vt:lpwstr>ענישה</vt:lpwstr>
  </property>
  <property fmtid="{D5CDD505-2E9C-101B-9397-08002B2CF9AE}" pid="41" name="NOSE23">
    <vt:lpwstr>ענישה</vt:lpwstr>
  </property>
  <property fmtid="{D5CDD505-2E9C-101B-9397-08002B2CF9AE}" pid="42" name="NOSE24">
    <vt:lpwstr>ענישה</vt:lpwstr>
  </property>
  <property fmtid="{D5CDD505-2E9C-101B-9397-08002B2CF9AE}" pid="43" name="NOSE25">
    <vt:lpwstr/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1446;1446;1446;1446</vt:lpwstr>
  </property>
  <property fmtid="{D5CDD505-2E9C-101B-9397-08002B2CF9AE}" pid="49" name="NOSE31">
    <vt:lpwstr>מדיניות ענישה: עבירות מין</vt:lpwstr>
  </property>
  <property fmtid="{D5CDD505-2E9C-101B-9397-08002B2CF9AE}" pid="50" name="NOSE310">
    <vt:lpwstr/>
  </property>
  <property fmtid="{D5CDD505-2E9C-101B-9397-08002B2CF9AE}" pid="51" name="NOSE32">
    <vt:lpwstr>מדיניות ענישה: שיקולים</vt:lpwstr>
  </property>
  <property fmtid="{D5CDD505-2E9C-101B-9397-08002B2CF9AE}" pid="52" name="NOSE33">
    <vt:lpwstr>מדיניות ענישה: התערבות ערכאת ערעור</vt:lpwstr>
  </property>
  <property fmtid="{D5CDD505-2E9C-101B-9397-08002B2CF9AE}" pid="53" name="NOSE34">
    <vt:lpwstr>מתחם הענישה</vt:lpwstr>
  </property>
  <property fmtid="{D5CDD505-2E9C-101B-9397-08002B2CF9AE}" pid="54" name="NOSE35">
    <vt:lpwstr/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8988;8994;8982;14985</vt:lpwstr>
  </property>
  <property fmtid="{D5CDD505-2E9C-101B-9397-08002B2CF9AE}" pid="60" name="PADIDATE">
    <vt:lpwstr>20190624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6479</vt:lpwstr>
  </property>
  <property fmtid="{D5CDD505-2E9C-101B-9397-08002B2CF9AE}" pid="66" name="PROCYEAR">
    <vt:lpwstr>18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410120190623</vt:lpwstr>
  </property>
  <property fmtid="{D5CDD505-2E9C-101B-9397-08002B2CF9AE}" pid="70" name="TYPE_N_DATE">
    <vt:lpwstr>41020190623</vt:lpwstr>
  </property>
  <property fmtid="{D5CDD505-2E9C-101B-9397-08002B2CF9AE}" pid="71" name="VOLUME">
    <vt:lpwstr/>
  </property>
  <property fmtid="{D5CDD505-2E9C-101B-9397-08002B2CF9AE}" pid="72" name="WORDNUMPAGES">
    <vt:lpwstr>10</vt:lpwstr>
  </property>
</Properties>
</file>