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6491/20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ברגות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היחידה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הארצית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לאכיפה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6.9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בצה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מ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37889-08-20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דמביץ</w:t>
            </w:r>
            <w:r>
              <w:rPr>
                <w:sz w:val="24"/>
                <w:szCs w:val="24"/>
                <w:rtl w:val="true"/>
              </w:rPr>
              <w:t>;</w:t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תגובת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המשיבה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11.10.2020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יאת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נאסר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תקנות בתי משפט לענינים מינהליים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סדרי דין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הבהיר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לביטול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הריסה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מנהלי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ניתנה על בסיס הראיות והטענות שעמדו בפניו באותה 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ותחת ההנחה שהמערער זנח את בקשתו לביטול הצו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משהתברר מצב הדברים לאשורו – ביטל את החלטת הדחייה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 זו אינה מעידה על קיומו של חשש למשוא פנים או על נעילת דעתו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לא נמצא מקום להורות על פסילת המותב בעטיה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שופטים – פסילה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לביטול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הריסה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מנהלי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זהו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הריסה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הקודם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הבהרה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להחלטת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תגובה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מטעמה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ההבהרות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שהובאו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בתגובה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להודיע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הנותרות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הודעה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במועד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שלמחרת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הדוחה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לביטול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ההריסה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לביטול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הודיעה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הסכמתה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לביטול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לפסילת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מהחלטת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הדחייה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גיבש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גורל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לדחייה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הדחייה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בוטלה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מקיומה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מתוכנה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אפסי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נשיאת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דחתה את הערעור בקבעה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הבהיר שמסקנתו בהחלטת הדחייה ניתנה על בסיס הראיות והטענות שעמדו בפניו נכון למועד נתינתה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והדגיש כי המשך הדיון בתיק ייעשה בלב פתוח ובנפש חפצה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אף הדגיש כי החלטת הדחייה ניתנה תחת ההנחה שהמערער זנח את בקשתו לביטול הצו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אלמלא סבור היה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כי התיק נזנח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בוודאי שלא הי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תה ניתנת ההחלטה טרם קיום דיון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ואכן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משהתברר מצב הדברים לאשורו ואף ניתנה הסכמת המשיבה – ביטל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את החלטת הדחייה והורה על קיום דיון בהליך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 זו אינה מעידה על קיומו של חשש למשוא פנים או על נעילת דעתו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לא נמצא מקום להורות על פסילת המותב בעטיה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מקום להקיש לענייננו מפסקי הדין שאליהם התייחסו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בשל ההבדלים בין הנסיבות אשר נדונו שם ובין נסיבות הערעור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עניין תל גנים ועניין טבקול עסקו בהחלטות אשר בניגוד לענייננו לא בוטלו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המותבים במסגרת החלטה עוקבת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עניין קלימי ועניין טבקול עסקו בהחלטות שפורסמו טרם השלמת שלבי ההליך הנדרשים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 קלימי לא הוגשו הסיכומים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ובעניין טבקול לא התקיים דיון שהמותב הורה במקור על קיומו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החלטת הדחייה התקבלה נוכח ההנחה שהמערער זנח את בקשתו והיא בוטלה לאחר שהובהר כי לא כך הדבר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tabs>
          <w:tab w:val="clear" w:pos="720"/>
          <w:tab w:val="left" w:pos="907" w:leader="none"/>
        </w:tabs>
        <w:ind w:end="0"/>
        <w:jc w:val="both"/>
        <w:rPr/>
      </w:pPr>
      <w:bookmarkStart w:id="13" w:name="Writer_Name"/>
      <w:bookmarkEnd w:id="13"/>
      <w:r>
        <w:rPr>
          <w:rtl w:val="true"/>
        </w:rPr>
        <w:tab/>
      </w:r>
      <w:r>
        <w:rPr>
          <w:rtl w:val="true"/>
        </w:rPr>
        <w:t xml:space="preserve">ערעור על החלטת בית משפט השלום בירושלים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דמביץ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6.9.2020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בצה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37889-08-20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rtl w:val="true"/>
        </w:rPr>
        <w:t>שלא לפסול עצמו מלדון בעניינו של המערער</w:t>
      </w:r>
      <w:r>
        <w:rPr>
          <w:rtl w:val="true"/>
        </w:rPr>
        <w:t>.</w:t>
      </w:r>
    </w:p>
    <w:p>
      <w:pPr>
        <w:pStyle w:val="Ruller41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18.8.2020</w:t>
      </w:r>
      <w:r>
        <w:rPr>
          <w:rtl w:val="true"/>
        </w:rPr>
        <w:t xml:space="preserve"> </w:t>
      </w:r>
      <w:r>
        <w:rPr>
          <w:rtl w:val="true"/>
        </w:rPr>
        <w:t>הגיש המערער בקשה לביטול צו הריסה מנהלי כנגד מבנה ששייך לו ומצוי בכפר וולג</w:t>
      </w:r>
      <w:r>
        <w:rPr>
          <w:rtl w:val="true"/>
        </w:rPr>
        <w:t>'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הנוכחי</w:t>
      </w:r>
      <w:r>
        <w:rPr>
          <w:rtl w:val="true"/>
        </w:rPr>
        <w:t xml:space="preserve">). </w:t>
      </w:r>
      <w:r>
        <w:rPr>
          <w:rtl w:val="true"/>
        </w:rPr>
        <w:t>כעולה מן הבקשה</w:t>
      </w:r>
      <w:r>
        <w:rPr>
          <w:rtl w:val="true"/>
        </w:rPr>
        <w:t xml:space="preserve">, </w:t>
      </w:r>
      <w:r>
        <w:rPr>
          <w:rtl w:val="true"/>
        </w:rPr>
        <w:t>זהו צו ההריסה השני שהוצא עבור מבנה זה</w:t>
      </w:r>
      <w:r>
        <w:rPr>
          <w:rtl w:val="true"/>
        </w:rPr>
        <w:t xml:space="preserve">; </w:t>
      </w:r>
      <w:r>
        <w:rPr>
          <w:rtl w:val="true"/>
        </w:rPr>
        <w:t xml:space="preserve">צו הריסה קודם ניתן ביום </w:t>
      </w:r>
      <w:r>
        <w:rPr/>
        <w:t>16.5.2019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הקודם</w:t>
      </w:r>
      <w:r>
        <w:rPr>
          <w:rtl w:val="true"/>
        </w:rPr>
        <w:t xml:space="preserve">), </w:t>
      </w:r>
      <w:r>
        <w:rPr>
          <w:rtl w:val="true"/>
        </w:rPr>
        <w:t xml:space="preserve">ובקשת המערער לביטולו נדחתה ביום </w:t>
      </w:r>
      <w:r>
        <w:rPr/>
        <w:t>23.9.2019</w:t>
      </w:r>
      <w:r>
        <w:rPr>
          <w:rtl w:val="true"/>
        </w:rPr>
        <w:t xml:space="preserve"> (</w:t>
      </w:r>
      <w:hyperlink r:id="rId7">
        <w:r>
          <w:rPr>
            <w:rStyle w:val="Hyperlink"/>
            <w:rtl w:val="true"/>
          </w:rPr>
          <w:t>בצה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41664-05-19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על ידי אותו המותב שדן בהליך דנן</w:t>
      </w:r>
      <w:r>
        <w:rPr>
          <w:rtl w:val="true"/>
        </w:rPr>
        <w:t xml:space="preserve">. </w:t>
      </w:r>
      <w:r>
        <w:rPr>
          <w:rtl w:val="true"/>
        </w:rPr>
        <w:t xml:space="preserve">ערעורו של המערער על כך נדחה ביום </w:t>
      </w:r>
      <w:r>
        <w:rPr/>
        <w:t>23.2.2020</w:t>
      </w:r>
      <w:r>
        <w:rPr>
          <w:rtl w:val="true"/>
        </w:rPr>
        <w:t xml:space="preserve"> (</w:t>
      </w:r>
      <w:r>
        <w:rPr>
          <w:rtl w:val="true"/>
        </w:rPr>
        <w:t>עתפ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/>
        <w:t>2765-10-19</w:t>
      </w:r>
      <w:r>
        <w:rPr>
          <w:rtl w:val="true"/>
        </w:rPr>
        <w:t xml:space="preserve">,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יעקובי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לומפ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הצו הקודם עמד בתוקפו עד ליום </w:t>
      </w:r>
      <w:r>
        <w:rPr/>
        <w:t>1.5.2020</w:t>
      </w:r>
      <w:r>
        <w:rPr>
          <w:rtl w:val="true"/>
        </w:rPr>
        <w:t xml:space="preserve"> </w:t>
      </w:r>
      <w:r>
        <w:rPr>
          <w:rtl w:val="true"/>
        </w:rPr>
        <w:t>אך לא בוצע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6.8.2020</w:t>
      </w:r>
      <w:r>
        <w:rPr>
          <w:rtl w:val="true"/>
        </w:rPr>
        <w:t xml:space="preserve">, </w:t>
      </w:r>
      <w:r>
        <w:rPr>
          <w:rtl w:val="true"/>
        </w:rPr>
        <w:t>ניתן הצו נושא הערעור דנן</w:t>
      </w:r>
      <w:r>
        <w:rPr>
          <w:rtl w:val="true"/>
        </w:rPr>
        <w:t xml:space="preserve">. </w:t>
      </w:r>
      <w:r>
        <w:rPr>
          <w:rtl w:val="true"/>
        </w:rPr>
        <w:t>המערער טען בבקשתו כי הצו הנוכחי מהווה ניסיון לעקוף את סמכותו של בית המשפט שדן בבקשה לביטול הצו הקודם</w:t>
      </w:r>
      <w:r>
        <w:rPr>
          <w:rtl w:val="true"/>
        </w:rPr>
        <w:t xml:space="preserve">, </w:t>
      </w:r>
      <w:r>
        <w:rPr>
          <w:rtl w:val="true"/>
        </w:rPr>
        <w:t>וכי התנהלות המשיבה פוגעת בין היתר באינטרס ההסתמכות של המערער</w:t>
      </w:r>
      <w:r>
        <w:rPr>
          <w:rtl w:val="true"/>
        </w:rPr>
        <w:t xml:space="preserve">. </w:t>
      </w:r>
      <w:r>
        <w:rPr>
          <w:rtl w:val="true"/>
        </w:rPr>
        <w:t>המערער סבר כי משהצו הקודם לא בוצע ואינו בר</w:t>
      </w:r>
      <w:r>
        <w:rPr>
          <w:rtl w:val="true"/>
        </w:rPr>
        <w:t>-</w:t>
      </w:r>
      <w:r>
        <w:rPr>
          <w:rtl w:val="true"/>
        </w:rPr>
        <w:t>ביצוע עוד</w:t>
      </w:r>
      <w:r>
        <w:rPr>
          <w:rtl w:val="true"/>
        </w:rPr>
        <w:t xml:space="preserve">, </w:t>
      </w:r>
      <w:r>
        <w:rPr>
          <w:rtl w:val="true"/>
        </w:rPr>
        <w:t>אין למשיבה סמכות להוציא צו הריסה חדש נגד אותו המבנה</w:t>
      </w:r>
      <w:r>
        <w:rPr>
          <w:rtl w:val="true"/>
        </w:rPr>
        <w:t xml:space="preserve">. </w:t>
      </w:r>
      <w:r>
        <w:rPr>
          <w:rtl w:val="true"/>
        </w:rPr>
        <w:t>המערער הוסיף וטען לקיומם של פגמים בהליך מתן הצו</w:t>
      </w:r>
      <w:r>
        <w:rPr>
          <w:rtl w:val="true"/>
        </w:rPr>
        <w:t xml:space="preserve">, </w:t>
      </w:r>
      <w:r>
        <w:rPr>
          <w:rtl w:val="true"/>
        </w:rPr>
        <w:t>וסבר כי יש לבטלו גם מטעמי חוסר סבירות ומידתיות</w:t>
      </w:r>
      <w:r>
        <w:rPr>
          <w:rtl w:val="true"/>
        </w:rPr>
        <w:t xml:space="preserve">. </w:t>
      </w:r>
      <w:r>
        <w:rPr>
          <w:rtl w:val="true"/>
        </w:rPr>
        <w:t>עוד ביקש המערער כי ביצועו של הצו הנוכחי יעוכב עד להכרעה בבקשת הביטול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נעתר לבקשה זו בהחלטה מיום </w:t>
      </w:r>
      <w:r>
        <w:rPr/>
        <w:t>19.8.2020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 שהמערער הגיש הבהרה בנוגע להיקף טענותיו בהתאם להחלטת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המשיבה הגישה תגובה מטעמה ביום </w:t>
      </w:r>
      <w:r>
        <w:rPr/>
        <w:t>20.8.2020</w:t>
      </w:r>
      <w:r>
        <w:rPr>
          <w:rtl w:val="true"/>
        </w:rPr>
        <w:t xml:space="preserve">. </w:t>
      </w:r>
      <w:r>
        <w:rPr>
          <w:rtl w:val="true"/>
        </w:rPr>
        <w:t>לאור ההבהרות שהובאו בתגובה</w:t>
      </w:r>
      <w:r>
        <w:rPr>
          <w:rtl w:val="true"/>
        </w:rPr>
        <w:t xml:space="preserve">, </w:t>
      </w:r>
      <w:r>
        <w:rPr>
          <w:rtl w:val="true"/>
        </w:rPr>
        <w:t xml:space="preserve">נתן בית המשפט באותו היום החלטה המורה למערער להודיע עד יום </w:t>
      </w:r>
      <w:r>
        <w:rPr/>
        <w:t>23.8.2020</w:t>
      </w:r>
      <w:r>
        <w:rPr>
          <w:rtl w:val="true"/>
        </w:rPr>
        <w:t xml:space="preserve"> "</w:t>
      </w:r>
      <w:r>
        <w:rPr>
          <w:rtl w:val="true"/>
        </w:rPr>
        <w:t>מה טענותיו הנותרות</w:t>
      </w:r>
      <w:r>
        <w:rPr>
          <w:rtl w:val="true"/>
        </w:rPr>
        <w:t xml:space="preserve">". </w:t>
      </w:r>
      <w:r>
        <w:rPr>
          <w:rtl w:val="true"/>
        </w:rPr>
        <w:t>המערער לא הגיש הודעה במועד</w:t>
      </w:r>
      <w:r>
        <w:rPr>
          <w:rtl w:val="true"/>
        </w:rPr>
        <w:t xml:space="preserve">, </w:t>
      </w:r>
      <w:r>
        <w:rPr>
          <w:rtl w:val="true"/>
        </w:rPr>
        <w:t xml:space="preserve">ועל כן נתן בית המשפט ביום שלמחרת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24.8.2020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החלטה הדוחה את הבקשה לביטול צו ההריסה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הדחייה</w:t>
      </w:r>
      <w:r>
        <w:rPr>
          <w:rtl w:val="true"/>
        </w:rPr>
        <w:t xml:space="preserve">). </w:t>
      </w:r>
      <w:r>
        <w:rPr>
          <w:rtl w:val="true"/>
        </w:rPr>
        <w:t xml:space="preserve">בית המשפט ציין כי החלטתו מיום </w:t>
      </w:r>
      <w:r>
        <w:rPr/>
        <w:t>20.8.2020</w:t>
      </w:r>
      <w:r>
        <w:rPr>
          <w:rtl w:val="true"/>
        </w:rPr>
        <w:t xml:space="preserve"> </w:t>
      </w:r>
      <w:r>
        <w:rPr>
          <w:rtl w:val="true"/>
        </w:rPr>
        <w:t>נצפתה על ידי בא</w:t>
      </w:r>
      <w:r>
        <w:rPr>
          <w:rtl w:val="true"/>
        </w:rPr>
        <w:t>-</w:t>
      </w:r>
      <w:r>
        <w:rPr>
          <w:rtl w:val="true"/>
        </w:rPr>
        <w:t xml:space="preserve">כוח המערער ביום </w:t>
      </w:r>
      <w:r>
        <w:rPr/>
        <w:t>22.8.2020</w:t>
      </w:r>
      <w:r>
        <w:rPr>
          <w:rtl w:val="true"/>
        </w:rPr>
        <w:t xml:space="preserve">, </w:t>
      </w:r>
      <w:r>
        <w:rPr>
          <w:rtl w:val="true"/>
        </w:rPr>
        <w:t>אך הלה לא הגיש הודעה או בקשת דחייה</w:t>
      </w:r>
      <w:r>
        <w:rPr>
          <w:rtl w:val="true"/>
        </w:rPr>
        <w:t xml:space="preserve">. </w:t>
      </w:r>
      <w:r>
        <w:rPr>
          <w:rtl w:val="true"/>
        </w:rPr>
        <w:t>משכך קבע בית המשפט כי יש לראות במערער כמי שזנח את בקשתו</w:t>
      </w:r>
      <w:r>
        <w:rPr>
          <w:rtl w:val="true"/>
        </w:rPr>
        <w:t xml:space="preserve">; </w:t>
      </w:r>
      <w:r>
        <w:rPr>
          <w:rtl w:val="true"/>
        </w:rPr>
        <w:t>מה עוד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משהוגשה</w:t>
      </w:r>
      <w:r>
        <w:rPr>
          <w:rtl w:val="true"/>
        </w:rPr>
        <w:t xml:space="preserve"> </w:t>
      </w:r>
      <w:r>
        <w:rPr>
          <w:rtl w:val="true"/>
        </w:rPr>
        <w:t>התשובה</w:t>
      </w:r>
      <w:r>
        <w:rPr>
          <w:rtl w:val="true"/>
        </w:rPr>
        <w:t xml:space="preserve"> </w:t>
      </w:r>
      <w:r>
        <w:rPr>
          <w:rtl w:val="true"/>
        </w:rPr>
        <w:t>הסדורה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נספחיה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ובכך</w:t>
      </w:r>
      <w:r>
        <w:rPr>
          <w:rtl w:val="true"/>
        </w:rPr>
        <w:t xml:space="preserve"> </w:t>
      </w:r>
      <w:r>
        <w:rPr>
          <w:rtl w:val="true"/>
        </w:rPr>
        <w:t>התאפשר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עיון</w:t>
      </w:r>
      <w:r>
        <w:rPr>
          <w:rtl w:val="true"/>
        </w:rPr>
        <w:t xml:space="preserve"> </w:t>
      </w:r>
      <w:r>
        <w:rPr>
          <w:rtl w:val="true"/>
        </w:rPr>
        <w:t>סדור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המסמכים</w:t>
      </w:r>
      <w:r>
        <w:rPr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תימה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צמח</w:t>
      </w:r>
      <w:r>
        <w:rPr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 </w:t>
      </w:r>
      <w:r>
        <w:rPr>
          <w:rtl w:val="true"/>
        </w:rPr>
        <w:t>להבהיר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יתרת</w:t>
      </w:r>
      <w:r>
        <w:rPr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ציין כי </w:t>
      </w:r>
      <w:r>
        <w:rPr>
          <w:rtl w:val="true"/>
        </w:rPr>
        <w:t>"</w:t>
      </w:r>
      <w:r>
        <w:rPr>
          <w:rtl w:val="true"/>
        </w:rPr>
        <w:t>מעבר</w:t>
      </w:r>
      <w:r>
        <w:rPr>
          <w:rtl w:val="true"/>
        </w:rPr>
        <w:t xml:space="preserve"> </w:t>
      </w:r>
      <w:r>
        <w:rPr>
          <w:rtl w:val="true"/>
        </w:rPr>
        <w:t>לטענות</w:t>
      </w:r>
      <w:r>
        <w:rPr>
          <w:rtl w:val="true"/>
        </w:rPr>
        <w:t xml:space="preserve"> </w:t>
      </w:r>
      <w:r>
        <w:rPr>
          <w:rtl w:val="true"/>
        </w:rPr>
        <w:t>סתמיות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וסוג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התייחסו</w:t>
      </w:r>
      <w:r>
        <w:rPr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)", </w:t>
      </w:r>
      <w:r>
        <w:rPr>
          <w:rtl w:val="true"/>
        </w:rPr>
        <w:t>הטענה העיקרית בבקשה היא כי לא ניתן להוציא צו הריסה נוסף משחלף מועד ביצועו של הצו הקודם</w:t>
      </w:r>
      <w:r>
        <w:rPr>
          <w:rtl w:val="true"/>
        </w:rPr>
        <w:t xml:space="preserve">. </w:t>
      </w:r>
      <w:r>
        <w:rPr>
          <w:rtl w:val="true"/>
        </w:rPr>
        <w:t xml:space="preserve">באשר לטענה זו קבע בית המשפט כי </w:t>
      </w:r>
      <w:r>
        <w:rPr>
          <w:rtl w:val="true"/>
        </w:rPr>
        <w:t>"</w:t>
      </w:r>
      <w:r>
        <w:rPr>
          <w:rtl w:val="true"/>
        </w:rPr>
        <w:t>לשיטת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", </w:t>
      </w:r>
      <w:r>
        <w:rPr>
          <w:rtl w:val="true"/>
        </w:rPr>
        <w:t>כי המערער שטח את טענותיו בנושא במסגרת הבקשה לביטול הצו</w:t>
      </w:r>
      <w:r>
        <w:rPr>
          <w:rtl w:val="true"/>
        </w:rPr>
        <w:t xml:space="preserve">, </w:t>
      </w:r>
      <w:r>
        <w:rPr>
          <w:rtl w:val="true"/>
        </w:rPr>
        <w:t>וכי משהוגשה תגובת המשיבה אין צורך בקיום דיון פרונטלי בעניין זה</w:t>
      </w:r>
      <w:r>
        <w:rPr>
          <w:rtl w:val="true"/>
        </w:rPr>
        <w:t xml:space="preserve">. </w:t>
      </w:r>
      <w:r>
        <w:rPr>
          <w:rtl w:val="true"/>
        </w:rPr>
        <w:t xml:space="preserve">לגופו של עניין דחה בית המשפט את טענת המערער וקבע כי אין מקום להקנות </w:t>
      </w:r>
      <w:r>
        <w:rPr>
          <w:rtl w:val="true"/>
        </w:rPr>
        <w:t>"</w:t>
      </w:r>
      <w:r>
        <w:rPr>
          <w:rtl w:val="true"/>
        </w:rPr>
        <w:t>חסינות</w:t>
      </w:r>
      <w:r>
        <w:rPr>
          <w:rtl w:val="true"/>
        </w:rPr>
        <w:t xml:space="preserve">" </w:t>
      </w:r>
      <w:r>
        <w:rPr>
          <w:rtl w:val="true"/>
        </w:rPr>
        <w:t>לנכס שהוצא בעניינו צו הריסה מנהלי אשר תם המועד לביצועו</w:t>
      </w:r>
      <w:r>
        <w:rPr>
          <w:rtl w:val="true"/>
        </w:rPr>
        <w:t xml:space="preserve">. </w:t>
      </w:r>
      <w:r>
        <w:rPr>
          <w:rtl w:val="true"/>
        </w:rPr>
        <w:t>עוד קבע בית המשפט כי בחירתה של המשיבה לפעול להוצאת צו הריסה חדש</w:t>
      </w:r>
      <w:r>
        <w:rPr>
          <w:rtl w:val="true"/>
        </w:rPr>
        <w:t xml:space="preserve">, </w:t>
      </w:r>
      <w:r>
        <w:rPr>
          <w:rtl w:val="true"/>
        </w:rPr>
        <w:t>חלף הגשת בקשה להארכת מועד לביצוע הצו הקודם</w:t>
      </w:r>
      <w:r>
        <w:rPr>
          <w:rtl w:val="true"/>
        </w:rPr>
        <w:t xml:space="preserve">, </w:t>
      </w:r>
      <w:r>
        <w:rPr>
          <w:rtl w:val="true"/>
        </w:rPr>
        <w:t>הייתה ראויה בנסיבות העניין</w:t>
      </w:r>
      <w:r>
        <w:rPr>
          <w:rtl w:val="true"/>
        </w:rPr>
        <w:t xml:space="preserve">. </w:t>
      </w:r>
      <w:r>
        <w:rPr>
          <w:rtl w:val="true"/>
        </w:rPr>
        <w:t>בית המשפט הוסיף ודחה את טענות המערער בגין פגמים בהליך עשיית הצו</w:t>
      </w:r>
      <w:r>
        <w:rPr>
          <w:rtl w:val="true"/>
        </w:rPr>
        <w:t xml:space="preserve">, </w:t>
      </w:r>
      <w:r>
        <w:rPr>
          <w:rtl w:val="true"/>
        </w:rPr>
        <w:t xml:space="preserve">וציין כי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מלהודיע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יתרת</w:t>
      </w:r>
      <w:r>
        <w:rPr>
          <w:rtl w:val="true"/>
        </w:rPr>
        <w:t xml:space="preserve"> </w:t>
      </w:r>
      <w:r>
        <w:rPr>
          <w:rtl w:val="true"/>
        </w:rPr>
        <w:t>טענותי</w:t>
      </w:r>
      <w:r>
        <w:rPr>
          <w:rtl w:val="true"/>
        </w:rPr>
        <w:t>ו</w:t>
      </w:r>
      <w:r>
        <w:rPr>
          <w:rtl w:val="true"/>
        </w:rPr>
        <w:t xml:space="preserve">" </w:t>
      </w:r>
      <w:r>
        <w:rPr>
          <w:rtl w:val="true"/>
        </w:rPr>
        <w:t>בהיבט זה</w:t>
      </w:r>
      <w:r>
        <w:rPr>
          <w:rtl w:val="true"/>
        </w:rPr>
        <w:t xml:space="preserve">. </w:t>
      </w:r>
      <w:r>
        <w:rPr>
          <w:rtl w:val="true"/>
        </w:rPr>
        <w:t>בית המשפט הוסיף והתייחס למחלוקת עובדתית שהתגלעה בין הצדדים בשאלה אם המערער המשיך בביצוע עבודות בנכס מאז שניתן הצו הקודם</w:t>
      </w:r>
      <w:r>
        <w:rPr>
          <w:rtl w:val="true"/>
        </w:rPr>
        <w:t xml:space="preserve">, </w:t>
      </w:r>
      <w:r>
        <w:rPr>
          <w:rtl w:val="true"/>
        </w:rPr>
        <w:t xml:space="preserve">וציין כי עיון בחומר הראיות שהוגש </w:t>
      </w:r>
      <w:r>
        <w:rPr>
          <w:rtl w:val="true"/>
        </w:rPr>
        <w:t>"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אם כי נושא זה </w:t>
      </w:r>
      <w:r>
        <w:rPr>
          <w:rtl w:val="true"/>
        </w:rPr>
        <w:t>"</w:t>
      </w:r>
      <w:r>
        <w:rPr>
          <w:rtl w:val="true"/>
        </w:rPr>
        <w:t>אינו מטריאלי</w:t>
      </w:r>
      <w:r>
        <w:rPr>
          <w:rtl w:val="true"/>
        </w:rPr>
        <w:t xml:space="preserve">", </w:t>
      </w:r>
      <w:r>
        <w:rPr>
          <w:rtl w:val="true"/>
        </w:rPr>
        <w:t>שכן גם קבלת טענתו העובדתית של המערער לא תשנה מהתוצאה המשפטית בעניין מתן הצו הנוכחי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סיכם באומרו כי </w:t>
      </w:r>
      <w:r>
        <w:rPr>
          <w:rtl w:val="true"/>
        </w:rPr>
        <w:t>"</w:t>
      </w:r>
      <w:r>
        <w:rPr>
          <w:rtl w:val="true"/>
        </w:rPr>
        <w:t>משזנח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</w:t>
      </w:r>
      <w:r>
        <w:rPr>
          <w:rtl w:val="true"/>
        </w:rPr>
        <w:t>משנמצא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בטענתו</w:t>
      </w:r>
      <w:r>
        <w:rPr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ומשלא</w:t>
      </w:r>
      <w:r>
        <w:rPr>
          <w:rtl w:val="true"/>
        </w:rPr>
        <w:t xml:space="preserve"> </w:t>
      </w:r>
      <w:r>
        <w:rPr>
          <w:rtl w:val="true"/>
        </w:rPr>
        <w:t>הוצגה</w:t>
      </w:r>
      <w:r>
        <w:rPr>
          <w:rtl w:val="true"/>
        </w:rPr>
        <w:t xml:space="preserve"> </w:t>
      </w:r>
      <w:r>
        <w:rPr>
          <w:rtl w:val="true"/>
        </w:rPr>
        <w:t>ולו</w:t>
      </w:r>
      <w:r>
        <w:rPr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 </w:t>
      </w:r>
      <w:r>
        <w:rPr>
          <w:rtl w:val="true"/>
        </w:rPr>
        <w:t>ראשונית</w:t>
      </w:r>
      <w:r>
        <w:rPr>
          <w:rtl w:val="true"/>
        </w:rPr>
        <w:t xml:space="preserve"> </w:t>
      </w:r>
      <w:r>
        <w:rPr>
          <w:rtl w:val="true"/>
        </w:rPr>
        <w:t>לפגם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 </w:t>
      </w:r>
      <w:r>
        <w:rPr>
          <w:rtl w:val="true"/>
        </w:rPr>
        <w:t>[...]".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25.8.2020</w:t>
      </w:r>
      <w:r>
        <w:rPr>
          <w:rtl w:val="true"/>
        </w:rPr>
        <w:t xml:space="preserve"> </w:t>
      </w:r>
      <w:r>
        <w:rPr>
          <w:rtl w:val="true"/>
        </w:rPr>
        <w:t>הגיש המערער בקשה לביטול החלטת הדחייה</w:t>
      </w:r>
      <w:r>
        <w:rPr>
          <w:rtl w:val="true"/>
        </w:rPr>
        <w:t xml:space="preserve">, </w:t>
      </w:r>
      <w:r>
        <w:rPr>
          <w:rtl w:val="true"/>
        </w:rPr>
        <w:t>בה הוסבר כי בא</w:t>
      </w:r>
      <w:r>
        <w:rPr>
          <w:rtl w:val="true"/>
        </w:rPr>
        <w:t>-</w:t>
      </w:r>
      <w:r>
        <w:rPr>
          <w:rtl w:val="true"/>
        </w:rPr>
        <w:t xml:space="preserve">כוחו קיבל ביום </w:t>
      </w:r>
      <w:r>
        <w:rPr/>
        <w:t>20.8.2020</w:t>
      </w:r>
      <w:r>
        <w:rPr>
          <w:rtl w:val="true"/>
        </w:rPr>
        <w:t xml:space="preserve"> </w:t>
      </w:r>
      <w:r>
        <w:rPr>
          <w:rtl w:val="true"/>
        </w:rPr>
        <w:t>הודעה לפיה עליו להיכנס לבידוד עקב חשיפה לחולה קורונה</w:t>
      </w:r>
      <w:r>
        <w:rPr>
          <w:rtl w:val="true"/>
        </w:rPr>
        <w:t xml:space="preserve">, </w:t>
      </w:r>
      <w:r>
        <w:rPr>
          <w:rtl w:val="true"/>
        </w:rPr>
        <w:t xml:space="preserve">וכי הצורך בהתארגנות ובעריכת בדיקת קורונה הוביל לאיחור של יום אחד בהגשת התגובה </w:t>
      </w:r>
      <w:r>
        <w:rPr>
          <w:rtl w:val="true"/>
        </w:rPr>
        <w:t>–</w:t>
      </w:r>
      <w:r>
        <w:rPr>
          <w:rtl w:val="true"/>
        </w:rPr>
        <w:t xml:space="preserve"> אך אין משמעות הדבר כי המערער זנח את בקשתו</w:t>
      </w:r>
      <w:r>
        <w:rPr>
          <w:rtl w:val="true"/>
        </w:rPr>
        <w:t xml:space="preserve">. </w:t>
      </w:r>
      <w:r>
        <w:rPr>
          <w:rtl w:val="true"/>
        </w:rPr>
        <w:t>עוד טען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לאור האמור </w:t>
      </w:r>
      <w:hyperlink r:id="rId8">
        <w:r>
          <w:rPr>
            <w:rStyle w:val="Hyperlink"/>
            <w:rtl w:val="true"/>
          </w:rPr>
          <w:t>בתקנה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משפט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לענינים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מינהליים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סדרי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דין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ממילא יש לקיים דיון בבקשה לביטול הצו</w:t>
      </w:r>
      <w:r>
        <w:rPr>
          <w:rtl w:val="true"/>
        </w:rPr>
        <w:t xml:space="preserve">. </w:t>
      </w:r>
      <w:r>
        <w:rPr>
          <w:rtl w:val="true"/>
        </w:rPr>
        <w:t xml:space="preserve">המשיבה הודיעה ביום </w:t>
      </w:r>
      <w:r>
        <w:rPr/>
        <w:t>30.8.2020</w:t>
      </w:r>
      <w:r>
        <w:rPr>
          <w:rtl w:val="true"/>
        </w:rPr>
        <w:t xml:space="preserve"> </w:t>
      </w:r>
      <w:r>
        <w:rPr>
          <w:rtl w:val="true"/>
        </w:rPr>
        <w:t>על הסכמתה לביטול החלטת הדחייה</w:t>
      </w:r>
      <w:r>
        <w:rPr>
          <w:rtl w:val="true"/>
        </w:rPr>
        <w:t xml:space="preserve">, </w:t>
      </w:r>
      <w:r>
        <w:rPr>
          <w:rtl w:val="true"/>
        </w:rPr>
        <w:t>ועל כן נעתר בית המשפט בהמשך אותו היום לבקשת המערער וביטל את החלטת הדחייה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2.9.2020</w:t>
      </w:r>
      <w:r>
        <w:rPr>
          <w:rtl w:val="true"/>
        </w:rPr>
        <w:t xml:space="preserve"> </w:t>
      </w:r>
      <w:r>
        <w:rPr>
          <w:rtl w:val="true"/>
        </w:rPr>
        <w:t>הגיש המערער בקשה לפסילת המותב</w:t>
      </w:r>
      <w:r>
        <w:rPr>
          <w:rtl w:val="true"/>
        </w:rPr>
        <w:t xml:space="preserve">. </w:t>
      </w:r>
      <w:r>
        <w:rPr>
          <w:rtl w:val="true"/>
        </w:rPr>
        <w:t>המערער טען כי מהחלטת הדחייה</w:t>
      </w:r>
      <w:r>
        <w:rPr>
          <w:rtl w:val="true"/>
        </w:rPr>
        <w:t xml:space="preserve">, </w:t>
      </w:r>
      <w:r>
        <w:rPr>
          <w:rtl w:val="true"/>
        </w:rPr>
        <w:t>אשר ניתנה בפירוט ודנה במרבית הסוגיות שהועלו בבקשה לביטול הצו</w:t>
      </w:r>
      <w:r>
        <w:rPr>
          <w:rtl w:val="true"/>
        </w:rPr>
        <w:t xml:space="preserve">, </w:t>
      </w:r>
      <w:r>
        <w:rPr>
          <w:rtl w:val="true"/>
        </w:rPr>
        <w:t>עולה כי בית המשפט גיבש את עמדתו ו</w:t>
      </w:r>
      <w:r>
        <w:rPr>
          <w:rtl w:val="true"/>
        </w:rPr>
        <w:t>"</w:t>
      </w:r>
      <w:r>
        <w:rPr>
          <w:rtl w:val="true"/>
        </w:rPr>
        <w:t>קבע את גורל הבקשה לדחיה</w:t>
      </w:r>
      <w:r>
        <w:rPr>
          <w:rtl w:val="true"/>
        </w:rPr>
        <w:t xml:space="preserve">". </w:t>
      </w:r>
      <w:r>
        <w:rPr>
          <w:rtl w:val="true"/>
        </w:rPr>
        <w:t>החלטת הדחייה אמנם בוטלה</w:t>
      </w:r>
      <w:r>
        <w:rPr>
          <w:rtl w:val="true"/>
        </w:rPr>
        <w:t xml:space="preserve">, </w:t>
      </w:r>
      <w:r>
        <w:rPr>
          <w:rtl w:val="true"/>
        </w:rPr>
        <w:t xml:space="preserve">אך לשיטת המערער לא ניתן להתעלם מקיומה או מתוכנה וקיים סיכוי </w:t>
      </w:r>
      <w:r>
        <w:rPr>
          <w:rtl w:val="true"/>
        </w:rPr>
        <w:t>"</w:t>
      </w:r>
      <w:r>
        <w:rPr>
          <w:rtl w:val="true"/>
        </w:rPr>
        <w:t>אפסי</w:t>
      </w:r>
      <w:r>
        <w:rPr>
          <w:rtl w:val="true"/>
        </w:rPr>
        <w:t xml:space="preserve">" </w:t>
      </w:r>
      <w:r>
        <w:rPr>
          <w:rtl w:val="true"/>
        </w:rPr>
        <w:t>שבית המשפט ידון עתה בתיק ללא דעה קדומה</w:t>
      </w:r>
      <w:r>
        <w:rPr>
          <w:rtl w:val="true"/>
        </w:rPr>
        <w:t xml:space="preserve">. </w:t>
      </w:r>
      <w:r>
        <w:rPr>
          <w:rtl w:val="true"/>
        </w:rPr>
        <w:t>בפרט נטען כי בית המשפט גיבש דעה בנוגע לשאלת סמכותה של המשיבה להוציא צו הריסה חדש לאחר שהצו הקודם פקע</w:t>
      </w:r>
      <w:r>
        <w:rPr>
          <w:rtl w:val="true"/>
        </w:rPr>
        <w:t xml:space="preserve">; </w:t>
      </w:r>
      <w:r>
        <w:rPr>
          <w:rtl w:val="true"/>
        </w:rPr>
        <w:t xml:space="preserve">בנוגע לשאלת </w:t>
      </w:r>
      <w:r>
        <w:rPr>
          <w:rtl w:val="true"/>
        </w:rPr>
        <w:t>"</w:t>
      </w:r>
      <w:r>
        <w:rPr>
          <w:rtl w:val="true"/>
        </w:rPr>
        <w:t>עקיפת</w:t>
      </w:r>
      <w:r>
        <w:rPr>
          <w:rtl w:val="true"/>
        </w:rPr>
        <w:t xml:space="preserve">" </w:t>
      </w:r>
      <w:r>
        <w:rPr>
          <w:rtl w:val="true"/>
        </w:rPr>
        <w:t>ההליך שעסק בצו הקודם</w:t>
      </w:r>
      <w:r>
        <w:rPr>
          <w:rtl w:val="true"/>
        </w:rPr>
        <w:t xml:space="preserve">; </w:t>
      </w:r>
      <w:r>
        <w:rPr>
          <w:rtl w:val="true"/>
        </w:rPr>
        <w:t>בשאלת קיומו של פגם בהליך הוצאת הצו</w:t>
      </w:r>
      <w:r>
        <w:rPr>
          <w:rtl w:val="true"/>
        </w:rPr>
        <w:t xml:space="preserve">; </w:t>
      </w:r>
      <w:r>
        <w:rPr>
          <w:rtl w:val="true"/>
        </w:rPr>
        <w:t>וכן בנוגע לשאלת הצורך של המדינה לפעול במיידיות לביצוע צו הריסה מנהלי</w:t>
      </w:r>
      <w:r>
        <w:rPr>
          <w:rtl w:val="true"/>
        </w:rPr>
        <w:t xml:space="preserve">. </w:t>
      </w:r>
      <w:r>
        <w:rPr>
          <w:rtl w:val="true"/>
        </w:rPr>
        <w:t>בהקשר אחרון זה טען המערער כי בית המשפט אף אימץ פרשנות להוראה ב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1965</w:t>
      </w:r>
      <w:r>
        <w:rPr>
          <w:rtl w:val="true"/>
        </w:rPr>
        <w:t xml:space="preserve"> </w:t>
      </w:r>
      <w:r>
        <w:rPr>
          <w:rtl w:val="true"/>
        </w:rPr>
        <w:t>אשר לא נטענה על ידי המשיבה</w:t>
      </w:r>
      <w:r>
        <w:rPr>
          <w:rtl w:val="true"/>
        </w:rPr>
        <w:t xml:space="preserve">. </w:t>
      </w:r>
      <w:r>
        <w:rPr>
          <w:rtl w:val="true"/>
        </w:rPr>
        <w:t>המערער סבר כי בית המשפט גיבש דעה גם בנוגע לטענותיו העובדתיות</w:t>
      </w:r>
      <w:r>
        <w:rPr>
          <w:rtl w:val="true"/>
        </w:rPr>
        <w:t xml:space="preserve">, </w:t>
      </w:r>
      <w:r>
        <w:rPr>
          <w:rtl w:val="true"/>
        </w:rPr>
        <w:t>וזאת בטרם הוגשו ראיות ונשמעו עדים בעניין זה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הוסיף והפנה לשני פסקי דין בהם הורה בית משפט זה על פסילת מותב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יזמות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עיריית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גן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Fonts w:cs="Arial TUR;Arial" w:ascii="Arial TUR;Arial" w:hAnsi="Arial TUR;Arial"/>
          <w:color w:val="333333"/>
          <w:sz w:val="22"/>
          <w:rtl w:val="true"/>
        </w:rPr>
        <w:t>‏</w:t>
      </w:r>
      <w:r>
        <w:rPr>
          <w:rFonts w:cs="Arial TUR;Arial" w:ascii="Arial TUR;Arial" w:hAnsi="Arial TUR;Arial"/>
          <w:color w:val="333333"/>
          <w:sz w:val="22"/>
        </w:rPr>
        <w:t>23.6.2020</w:t>
      </w:r>
      <w:r>
        <w:rPr>
          <w:color w:val="333333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גנים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3591/19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קלימי</w:t>
      </w:r>
      <w:r>
        <w:rPr>
          <w:rtl w:val="true"/>
        </w:rPr>
        <w:t xml:space="preserve">)) </w:t>
      </w:r>
      <w:r>
        <w:rPr>
          <w:rtl w:val="true"/>
        </w:rPr>
        <w:t>וסבר כי ניתן להקיש מהאמור בהם לענייננו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המשיבה הגישה את התנגדותה לבקשה ביום </w:t>
      </w:r>
      <w:r>
        <w:rPr/>
        <w:t>6.9.2020</w:t>
      </w:r>
      <w:r>
        <w:rPr>
          <w:rtl w:val="true"/>
        </w:rPr>
        <w:t xml:space="preserve"> </w:t>
      </w:r>
      <w:r>
        <w:rPr>
          <w:rtl w:val="true"/>
        </w:rPr>
        <w:t>וטענה כי הכרעה בעניינים משפטיים אינה יכולה לשמש עילה לפסילת המותב</w:t>
      </w:r>
      <w:r>
        <w:rPr>
          <w:rtl w:val="true"/>
        </w:rPr>
        <w:t xml:space="preserve">, </w:t>
      </w:r>
      <w:r>
        <w:rPr>
          <w:rtl w:val="true"/>
        </w:rPr>
        <w:t>וזאת בין אם ההכרעה ניתנה בהליך דומה ובין אם ניתנה בהליך דנן</w:t>
      </w:r>
      <w:r>
        <w:rPr>
          <w:rtl w:val="true"/>
        </w:rPr>
        <w:t xml:space="preserve">. </w:t>
      </w:r>
      <w:r>
        <w:rPr>
          <w:rtl w:val="true"/>
        </w:rPr>
        <w:t>עוד טענה המשיבה כי היה מקום להגשת בקשת הפסילה יחד עם הבקשה לביטול החלטת הדחייה</w:t>
      </w:r>
      <w:r>
        <w:rPr>
          <w:rtl w:val="true"/>
        </w:rPr>
        <w:t xml:space="preserve">, </w:t>
      </w:r>
      <w:r>
        <w:rPr>
          <w:rtl w:val="true"/>
        </w:rPr>
        <w:t>והפנתה בהקשר זה לאמור 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5429/18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טבקול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אשקלון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Fonts w:cs="Arial TUR;Arial" w:ascii="Arial TUR;Arial" w:hAnsi="Arial TUR;Arial"/>
          <w:color w:val="333333"/>
          <w:sz w:val="22"/>
          <w:rtl w:val="true"/>
        </w:rPr>
        <w:t>‏</w:t>
      </w:r>
      <w:r>
        <w:rPr>
          <w:rFonts w:cs="Arial TUR;Arial" w:ascii="Arial TUR;Arial" w:hAnsi="Arial TUR;Arial"/>
          <w:color w:val="333333"/>
          <w:sz w:val="22"/>
        </w:rPr>
        <w:t>9.8.2018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טבקול</w:t>
      </w:r>
      <w:r>
        <w:rPr>
          <w:rtl w:val="true"/>
        </w:rPr>
        <w:t xml:space="preserve">). </w:t>
      </w:r>
      <w:r>
        <w:rPr>
          <w:rtl w:val="true"/>
        </w:rPr>
        <w:t>באותו היום הגיש המערער הודעה בה נטען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גם כשעסקינן בטענות משפטיות יש צורך לקיים דיון ולשמוע את עמדות הצדדים</w:t>
      </w:r>
      <w:r>
        <w:rPr>
          <w:rtl w:val="true"/>
        </w:rPr>
        <w:t xml:space="preserve">; </w:t>
      </w:r>
      <w:r>
        <w:rPr>
          <w:rtl w:val="true"/>
        </w:rPr>
        <w:t xml:space="preserve">וכן כי נסיבות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טבקול</w:t>
      </w:r>
      <w:r>
        <w:rPr>
          <w:rtl w:val="true"/>
        </w:rPr>
        <w:t xml:space="preserve">, </w:t>
      </w:r>
      <w:r>
        <w:rPr>
          <w:rtl w:val="true"/>
        </w:rPr>
        <w:t>שם הורה בית משפט זה על פסילת המותב</w:t>
      </w:r>
      <w:r>
        <w:rPr>
          <w:rtl w:val="true"/>
        </w:rPr>
        <w:t xml:space="preserve">, </w:t>
      </w:r>
      <w:r>
        <w:rPr>
          <w:rtl w:val="true"/>
        </w:rPr>
        <w:t>דומות לנסיבות 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6.9.2020</w:t>
      </w:r>
      <w:r>
        <w:rPr>
          <w:rtl w:val="true"/>
        </w:rPr>
        <w:t xml:space="preserve"> </w:t>
      </w:r>
      <w:r>
        <w:rPr>
          <w:rtl w:val="true"/>
        </w:rPr>
        <w:t>דחה בית המשפט את בקשת הפסילה</w:t>
      </w:r>
      <w:r>
        <w:rPr>
          <w:rtl w:val="true"/>
        </w:rPr>
        <w:t xml:space="preserve">. </w:t>
      </w:r>
      <w:r>
        <w:rPr>
          <w:rtl w:val="true"/>
        </w:rPr>
        <w:t>בהחלטתו ציין בית המשפט כי החלטת הדחייה ניתנה מתוך הנחה שהמבקש זנח את ההליך</w:t>
      </w:r>
      <w:r>
        <w:rPr>
          <w:rtl w:val="true"/>
        </w:rPr>
        <w:t xml:space="preserve">, </w:t>
      </w:r>
      <w:r>
        <w:rPr>
          <w:rtl w:val="true"/>
        </w:rPr>
        <w:t>כך שההכרעה בסוגיה המשפטית ניתנה למעלה מן הצורך</w:t>
      </w:r>
      <w:r>
        <w:rPr>
          <w:rtl w:val="true"/>
        </w:rPr>
        <w:t xml:space="preserve">. </w:t>
      </w:r>
      <w:r>
        <w:rPr>
          <w:rtl w:val="true"/>
        </w:rPr>
        <w:t>בית המשפט הבהיר כי לא היה נותן את ההחלטה טרם קיום דיון אילולא סבר שהתיק נזנח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החלטה עתידית תינתן לאחר שהתיק יהיה מעובה יותר</w:t>
      </w:r>
      <w:r>
        <w:rPr>
          <w:rtl w:val="true"/>
        </w:rPr>
        <w:t xml:space="preserve">", </w:t>
      </w:r>
      <w:r>
        <w:rPr>
          <w:rtl w:val="true"/>
        </w:rPr>
        <w:t xml:space="preserve">וכי בית המשפט אינו מחויב להחלטת הדחייה שבוטלה ואין בכוונתו </w:t>
      </w:r>
      <w:r>
        <w:rPr>
          <w:rtl w:val="true"/>
        </w:rPr>
        <w:t>"</w:t>
      </w:r>
      <w:r>
        <w:rPr>
          <w:rtl w:val="true"/>
        </w:rPr>
        <w:t xml:space="preserve">לגרום לצדדים </w:t>
      </w:r>
      <w:r>
        <w:rPr>
          <w:rtl w:val="true"/>
        </w:rPr>
        <w:t>'</w:t>
      </w:r>
      <w:r>
        <w:rPr>
          <w:rtl w:val="true"/>
        </w:rPr>
        <w:t>להיות מחוייבים</w:t>
      </w:r>
      <w:r>
        <w:rPr>
          <w:rtl w:val="true"/>
        </w:rPr>
        <w:t xml:space="preserve">'"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 xml:space="preserve">עוד הודגש כי כל בית משפט </w:t>
      </w:r>
      <w:r>
        <w:rPr>
          <w:rtl w:val="true"/>
        </w:rPr>
        <w:t>"</w:t>
      </w:r>
      <w:r>
        <w:rPr>
          <w:rtl w:val="true"/>
        </w:rPr>
        <w:t>מורגל בדיון מחדש בהליך</w:t>
      </w:r>
      <w:r>
        <w:rPr>
          <w:rtl w:val="true"/>
        </w:rPr>
        <w:t xml:space="preserve">", </w:t>
      </w:r>
      <w:r>
        <w:rPr>
          <w:rtl w:val="true"/>
        </w:rPr>
        <w:t>בין כאשר ערכאת הערעור מחזירה את הדיון בתיק לאותו המותב בערכאה הדיונית ובין עקב ביטול החלטה שניתנה</w:t>
      </w:r>
      <w:r>
        <w:rPr>
          <w:rtl w:val="true"/>
        </w:rPr>
        <w:t xml:space="preserve">. </w:t>
      </w:r>
      <w:r>
        <w:rPr>
          <w:rtl w:val="true"/>
        </w:rPr>
        <w:t>בית המשפט הוסיף כי חזקה שהדיון בהליך יתקיים בלב פתוח ובנפש חפצה</w:t>
      </w:r>
      <w:r>
        <w:rPr>
          <w:rtl w:val="true"/>
        </w:rPr>
        <w:t xml:space="preserve">, </w:t>
      </w:r>
      <w:r>
        <w:rPr>
          <w:rtl w:val="true"/>
        </w:rPr>
        <w:t xml:space="preserve">כי דעתו אינה נעולה וכי ההכרעה תינתן על בסיס </w:t>
      </w:r>
      <w:r>
        <w:rPr>
          <w:rtl w:val="true"/>
        </w:rPr>
        <w:t>"</w:t>
      </w:r>
      <w:r>
        <w:rPr>
          <w:rtl w:val="true"/>
        </w:rPr>
        <w:t>כלל התיק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מכאן הערעור דנן</w:t>
      </w:r>
      <w:r>
        <w:rPr>
          <w:rtl w:val="true"/>
        </w:rPr>
        <w:t xml:space="preserve">, </w:t>
      </w:r>
      <w:r>
        <w:rPr>
          <w:rtl w:val="true"/>
        </w:rPr>
        <w:t>בו חוזר המערער על טענתו בדבר נעילת דעתו של בית המשפט קמא</w:t>
      </w:r>
      <w:r>
        <w:rPr>
          <w:rtl w:val="true"/>
        </w:rPr>
        <w:t xml:space="preserve">. </w:t>
      </w:r>
      <w:r>
        <w:rPr>
          <w:rtl w:val="true"/>
        </w:rPr>
        <w:t>המערער מוסיף כי האמין שבית המשפט יפסול את עצמו מיוזמתו</w:t>
      </w:r>
      <w:r>
        <w:rPr>
          <w:rtl w:val="true"/>
        </w:rPr>
        <w:t xml:space="preserve">, </w:t>
      </w:r>
      <w:r>
        <w:rPr>
          <w:rtl w:val="true"/>
        </w:rPr>
        <w:t>וכי בקשת הפסילה הוגשה משנוכח המערער לגלות כי בית המשפט מתעתד להמשיך ולדון בתיק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מכיוון שמרבית הסוגיות שהועלו בבקשה לביטול הצו הן משפטיות באופיין</w:t>
      </w:r>
      <w:r>
        <w:rPr>
          <w:rtl w:val="true"/>
        </w:rPr>
        <w:t xml:space="preserve">, </w:t>
      </w:r>
      <w:r>
        <w:rPr>
          <w:rtl w:val="true"/>
        </w:rPr>
        <w:t>הרי שלחקירת מצהירים תהא אך תרומה מועטה להכרעה בסוגיות אלו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כך 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קביעתו של בית המשפט כי ההכרעה תינתן כשהתיק יהיה </w:t>
      </w:r>
      <w:r>
        <w:rPr>
          <w:rtl w:val="true"/>
        </w:rPr>
        <w:t>"</w:t>
      </w:r>
      <w:r>
        <w:rPr>
          <w:rtl w:val="true"/>
        </w:rPr>
        <w:t>מעובה יותר</w:t>
      </w:r>
      <w:r>
        <w:rPr>
          <w:rtl w:val="true"/>
        </w:rPr>
        <w:t xml:space="preserve">" </w:t>
      </w:r>
      <w:r>
        <w:rPr>
          <w:rtl w:val="true"/>
        </w:rPr>
        <w:t>אינה מבטלת את הקושי שנוצר בענייננו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מוסיף כי </w:t>
      </w:r>
      <w:r>
        <w:rPr>
          <w:rtl w:val="true"/>
        </w:rPr>
        <w:t>"</w:t>
      </w:r>
      <w:r>
        <w:rPr>
          <w:rtl w:val="true"/>
        </w:rPr>
        <w:t>קשה להלום</w:t>
      </w:r>
      <w:r>
        <w:rPr>
          <w:rtl w:val="true"/>
        </w:rPr>
        <w:t xml:space="preserve">" </w:t>
      </w:r>
      <w:r>
        <w:rPr>
          <w:rtl w:val="true"/>
        </w:rPr>
        <w:t>טענה לפיה בית המשפט לא יושפע מהדעה שהביע בהחלטת הדחייה</w:t>
      </w:r>
      <w:r>
        <w:rPr>
          <w:rtl w:val="true"/>
        </w:rPr>
        <w:t xml:space="preserve">. </w:t>
      </w:r>
      <w:r>
        <w:rPr>
          <w:rtl w:val="true"/>
        </w:rPr>
        <w:t>עוד טוען המערער כי אין ענייננו דומה למצב בו ערכאת הערעור מחזירה את התיק לערכאה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שכן במקרה כזה מוחזר התיק בצירוף הנחיות והצבעה על הפגמים שנפלו בהחלטה </w:t>
      </w:r>
      <w:r>
        <w:rPr>
          <w:rtl w:val="true"/>
        </w:rPr>
        <w:t>–</w:t>
      </w:r>
      <w:r>
        <w:rPr>
          <w:rtl w:val="true"/>
        </w:rPr>
        <w:t xml:space="preserve"> בעוד בענייננו קביעותיו של בית המשפט </w:t>
      </w:r>
      <w:r>
        <w:rPr>
          <w:rtl w:val="true"/>
        </w:rPr>
        <w:t>"</w:t>
      </w:r>
      <w:r>
        <w:rPr>
          <w:rtl w:val="true"/>
        </w:rPr>
        <w:t>עדיין מרחפות מעל ההליך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המשיבה מצדה סבורה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לשיטתה בית המשפט לא גיבש דעה ברורה בנוגע להליך</w:t>
      </w:r>
      <w:r>
        <w:rPr>
          <w:rtl w:val="true"/>
        </w:rPr>
        <w:t xml:space="preserve">, </w:t>
      </w:r>
      <w:r>
        <w:rPr>
          <w:rtl w:val="true"/>
        </w:rPr>
        <w:t xml:space="preserve">וניתן ללמוד על כך הן מתוכן החלטת הדחייה </w:t>
      </w:r>
      <w:r>
        <w:rPr>
          <w:rtl w:val="true"/>
        </w:rPr>
        <w:t>–</w:t>
      </w:r>
      <w:r>
        <w:rPr>
          <w:rtl w:val="true"/>
        </w:rPr>
        <w:t xml:space="preserve"> שהטעם העיקרי שהובא בה היה זניחת הבקשה מצד המערער </w:t>
      </w:r>
      <w:r>
        <w:rPr>
          <w:rtl w:val="true"/>
        </w:rPr>
        <w:t>–</w:t>
      </w:r>
      <w:r>
        <w:rPr>
          <w:rtl w:val="true"/>
        </w:rPr>
        <w:t xml:space="preserve"> והן מהתנהלות בית המשפט לאחר מתן ההחלטה ומהבהרתו כי ידון בהליך בלב פתוח ובנפש חפצה</w:t>
      </w:r>
      <w:r>
        <w:rPr>
          <w:rtl w:val="true"/>
        </w:rPr>
        <w:t xml:space="preserve">. </w:t>
      </w:r>
      <w:r>
        <w:rPr>
          <w:rtl w:val="true"/>
        </w:rPr>
        <w:t>עוד מפנה המשיבה לפסיקה שממנה עולה כי עובדת ניהולם של הליכים דומים או סוגיות משפטיות דומות בפני אותו מותב אינה מקימה כשלעצמה עילת פסלות</w:t>
      </w:r>
      <w:r>
        <w:rPr>
          <w:rtl w:val="true"/>
        </w:rPr>
        <w:t xml:space="preserve">. </w:t>
      </w:r>
      <w:r>
        <w:rPr>
          <w:rtl w:val="true"/>
        </w:rPr>
        <w:t>לאור כל זאת טוענת המשיבה כי לא הוכח בענייננו חשש ממשי למשוא פנים מצד המותב</w:t>
      </w:r>
      <w:r>
        <w:rPr>
          <w:rtl w:val="true"/>
        </w:rPr>
        <w:t xml:space="preserve">. </w:t>
      </w:r>
      <w:r>
        <w:rPr>
          <w:rtl w:val="true"/>
        </w:rPr>
        <w:t xml:space="preserve">המשיבה מוסיפה כי אין מקום להשוות בין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גנים</w:t>
      </w:r>
      <w:r>
        <w:rPr>
          <w:rtl w:val="true"/>
        </w:rPr>
        <w:t xml:space="preserve"> ועניין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קלימי</w:t>
      </w:r>
      <w:r>
        <w:rPr>
          <w:rtl w:val="true"/>
        </w:rPr>
        <w:t xml:space="preserve"> לענייננו</w:t>
      </w:r>
      <w:r>
        <w:rPr>
          <w:rtl w:val="true"/>
        </w:rPr>
        <w:t xml:space="preserve">: </w:t>
      </w:r>
      <w:r>
        <w:rPr>
          <w:rtl w:val="true"/>
        </w:rPr>
        <w:t>בשונה מענייננו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גנים</w:t>
      </w:r>
      <w:r>
        <w:rPr>
          <w:rtl w:val="true"/>
        </w:rPr>
        <w:t xml:space="preserve"> קבע המותב קביעה קטגורית שאינה מסויגת ותוך שנפלה בהחלטתו טעות משפטית מהותית</w:t>
      </w:r>
      <w:r>
        <w:rPr>
          <w:rtl w:val="true"/>
        </w:rPr>
        <w:t xml:space="preserve">; </w:t>
      </w:r>
      <w:r>
        <w:rPr>
          <w:rtl w:val="true"/>
        </w:rPr>
        <w:t xml:space="preserve">ובניגוד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קלימי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tl w:val="true"/>
        </w:rPr>
        <w:t xml:space="preserve"> התקבלה החלטת הדחייה על בסיס </w:t>
      </w:r>
      <w:r>
        <w:rPr>
          <w:rtl w:val="true"/>
        </w:rPr>
        <w:t>"</w:t>
      </w:r>
      <w:r>
        <w:rPr>
          <w:rtl w:val="true"/>
        </w:rPr>
        <w:t>ראיות לכאורה</w:t>
      </w:r>
      <w:r>
        <w:rPr>
          <w:rtl w:val="true"/>
        </w:rPr>
        <w:t xml:space="preserve">" </w:t>
      </w:r>
      <w:r>
        <w:rPr>
          <w:rtl w:val="true"/>
        </w:rPr>
        <w:t>ומבלי שנשמעו עדויות או התקיימו דיוני הוכחות</w:t>
      </w:r>
      <w:r>
        <w:rPr>
          <w:rtl w:val="true"/>
        </w:rPr>
        <w:t xml:space="preserve">.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>ניתן להקיש לענייננו ממצב שבו המותב הדן במעצרו של נאשם דן גם באישום לגופו</w:t>
      </w:r>
      <w:r>
        <w:rPr>
          <w:rtl w:val="true"/>
        </w:rPr>
        <w:t xml:space="preserve">, </w:t>
      </w:r>
      <w:r>
        <w:rPr>
          <w:rtl w:val="true"/>
        </w:rPr>
        <w:t>וגם במצב כזה נפסק כי לא מתקיימת בהכרח עילת פסלות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 שעיינתי בערעור ובתגובה לו באתי לידי מסקנה כי דינו להידחות</w:t>
      </w:r>
      <w:r>
        <w:rPr>
          <w:rtl w:val="true"/>
        </w:rPr>
        <w:t xml:space="preserve">. </w:t>
      </w:r>
      <w:r>
        <w:rPr>
          <w:rtl w:val="true"/>
        </w:rPr>
        <w:t>בית המשפט קמא הבהיר שמסקנתו בהחלטת הדחייה ניתנה על בסיס הראיות והטענות שעמדו בפניו נכון למועד נתינתה</w:t>
      </w:r>
      <w:r>
        <w:rPr>
          <w:rtl w:val="true"/>
        </w:rPr>
        <w:t xml:space="preserve">, </w:t>
      </w:r>
      <w:r>
        <w:rPr>
          <w:rtl w:val="true"/>
        </w:rPr>
        <w:t>והדגיש כי המשך הדיון בתיק ייעשה בלב פתוח ובנפש חפצה</w:t>
      </w:r>
      <w:r>
        <w:rPr>
          <w:rtl w:val="true"/>
        </w:rPr>
        <w:t xml:space="preserve">. </w:t>
      </w:r>
      <w:r>
        <w:rPr>
          <w:rtl w:val="true"/>
        </w:rPr>
        <w:t>בית המשפט קמא אף הדגיש בהחלטתו הדוחה את בקשת הפסילה כי החלטת הדחייה ניתנה תחת ההנחה שהמערער זנח את בקשתו לביטול הצו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אלמלא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 </w:t>
      </w:r>
      <w:r>
        <w:rPr>
          <w:rtl w:val="true"/>
        </w:rPr>
        <w:t>נזנח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 </w:t>
      </w:r>
      <w:r>
        <w:rPr>
          <w:rtl w:val="true"/>
        </w:rPr>
        <w:t>ניתנת</w:t>
      </w:r>
      <w:r>
        <w:rPr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 </w:t>
      </w:r>
      <w:r>
        <w:rPr>
          <w:rtl w:val="true"/>
        </w:rPr>
        <w:t>טרם</w:t>
      </w:r>
      <w:r>
        <w:rPr>
          <w:rtl w:val="true"/>
        </w:rPr>
        <w:t xml:space="preserve"> </w:t>
      </w:r>
      <w:r>
        <w:rPr>
          <w:rtl w:val="true"/>
        </w:rPr>
        <w:t>קיום</w:t>
      </w:r>
      <w:r>
        <w:rPr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משהתברר מצב הדברים לאשורו ואף ניתנה הסכמת המשיבה</w:t>
      </w:r>
      <w:r>
        <w:rPr>
          <w:rtl w:val="true"/>
        </w:rPr>
        <w:t xml:space="preserve">, </w:t>
      </w:r>
      <w:r>
        <w:rPr>
          <w:rtl w:val="true"/>
        </w:rPr>
        <w:t>ביטל בית המשפט את החלטת הדחייה והורה על קיום דיון בהליך</w:t>
      </w:r>
      <w:r>
        <w:rPr>
          <w:rtl w:val="true"/>
        </w:rPr>
        <w:t xml:space="preserve">. </w:t>
      </w:r>
      <w:r>
        <w:rPr>
          <w:rtl w:val="true"/>
        </w:rPr>
        <w:t>התנהלות זו אינה מעידה על קיומו של חשש למשוא פנים או על נעילת דעתו של בית המשפט</w:t>
      </w:r>
      <w:r>
        <w:rPr>
          <w:rtl w:val="true"/>
        </w:rPr>
        <w:t xml:space="preserve">, </w:t>
      </w:r>
      <w:r>
        <w:rPr>
          <w:rtl w:val="true"/>
        </w:rPr>
        <w:t>ומשכך לא ראיתי מקום להורות על פסילת המותב בעטיה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אף אינני סבורה כי יש מקום להקיש לענייננו מפסקי הדין שאליהם התייחסו הצדדים</w:t>
      </w:r>
      <w:r>
        <w:rPr>
          <w:rtl w:val="true"/>
        </w:rPr>
        <w:t xml:space="preserve">, </w:t>
      </w:r>
      <w:r>
        <w:rPr>
          <w:rtl w:val="true"/>
        </w:rPr>
        <w:t>וזאת בשל ההבדלים בין הנסיבות אשר נדונו שם ובין נסיבות הערעור דנן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גנים</w:t>
      </w:r>
      <w:r>
        <w:rPr>
          <w:rtl w:val="true"/>
        </w:rPr>
        <w:t xml:space="preserve"> ועניין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טבקול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עסקו בהחלטות אשר בניגוד לענייננו לא בוטלו על ידי המותבים במסגרת החלטה עוקבת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קלימי</w:t>
      </w:r>
      <w:r>
        <w:rPr>
          <w:rtl w:val="true"/>
        </w:rPr>
        <w:t xml:space="preserve"> ועניין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טבקול</w:t>
      </w:r>
      <w:r>
        <w:rPr>
          <w:rtl w:val="true"/>
        </w:rPr>
        <w:t xml:space="preserve"> עסקו בהחלטות שפורסמו טרם השלמת שלבי ההליך הנדרשים </w:t>
      </w:r>
      <w:r>
        <w:rPr>
          <w:rtl w:val="true"/>
        </w:rPr>
        <w:t>(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קלימי</w:t>
      </w:r>
      <w:r>
        <w:rPr>
          <w:rtl w:val="true"/>
        </w:rPr>
        <w:t xml:space="preserve"> לא הוגשו הסיכומים</w:t>
      </w:r>
      <w:r>
        <w:rPr>
          <w:rtl w:val="true"/>
        </w:rPr>
        <w:t xml:space="preserve">, </w:t>
      </w:r>
      <w:r>
        <w:rPr>
          <w:rtl w:val="true"/>
        </w:rPr>
        <w:t xml:space="preserve">ובעניין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טבקול</w:t>
      </w:r>
      <w:r>
        <w:rPr>
          <w:rtl w:val="true"/>
        </w:rPr>
        <w:t xml:space="preserve"> לא התקיים דיון שהמותב הורה במקור על קיומו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החלטת הדחייה התקבלה נוכח ההנחה שהמערער זנח את בקשתו והיא בוטלה לאחר שהובהר כי לא כך הדבר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 xml:space="preserve">. 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25.10.2020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20064910</w:t>
      </w:r>
      <w:r>
        <w:rPr>
          <w:sz w:val="16"/>
          <w:rtl w:val="true"/>
        </w:rPr>
        <w:t>_</w:t>
      </w:r>
      <w:r>
        <w:rPr>
          <w:sz w:val="16"/>
        </w:rPr>
        <w:t>V02.docx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54678313-6491/20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6491/20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אחמד צאלח ברגות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מנהל היחידה הארצית לאכיפה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933123" TargetMode="External"/><Relationship Id="rId3" Type="http://schemas.openxmlformats.org/officeDocument/2006/relationships/hyperlink" Target="http://www.nevo.co.il/law/98562" TargetMode="External"/><Relationship Id="rId4" Type="http://schemas.openxmlformats.org/officeDocument/2006/relationships/hyperlink" Target="http://www.nevo.co.il/law/98562/8" TargetMode="External"/><Relationship Id="rId5" Type="http://schemas.openxmlformats.org/officeDocument/2006/relationships/hyperlink" Target="http://www.nevo.co.il/law/91073" TargetMode="External"/><Relationship Id="rId6" Type="http://schemas.openxmlformats.org/officeDocument/2006/relationships/hyperlink" Target="http://www.nevo.co.il/case/26933123" TargetMode="External"/><Relationship Id="rId7" Type="http://schemas.openxmlformats.org/officeDocument/2006/relationships/hyperlink" Target="http://www.nevo.co.il/case/25706299" TargetMode="External"/><Relationship Id="rId8" Type="http://schemas.openxmlformats.org/officeDocument/2006/relationships/hyperlink" Target="http://www.nevo.co.il/law/98562/8" TargetMode="External"/><Relationship Id="rId9" Type="http://schemas.openxmlformats.org/officeDocument/2006/relationships/hyperlink" Target="http://www.nevo.co.il/law/98562" TargetMode="External"/><Relationship Id="rId10" Type="http://schemas.openxmlformats.org/officeDocument/2006/relationships/hyperlink" Target="http://www.nevo.co.il/law/91073" TargetMode="External"/><Relationship Id="rId11" Type="http://schemas.openxmlformats.org/officeDocument/2006/relationships/hyperlink" Target="http://www.nevo.co.il/case/26660754" TargetMode="External"/><Relationship Id="rId12" Type="http://schemas.openxmlformats.org/officeDocument/2006/relationships/hyperlink" Target="http://www.nevo.co.il/case/25735901" TargetMode="External"/><Relationship Id="rId13" Type="http://schemas.openxmlformats.org/officeDocument/2006/relationships/hyperlink" Target="http://www.nevo.co.il/case/24493154" TargetMode="External"/><Relationship Id="rId14" Type="http://schemas.openxmlformats.org/officeDocument/2006/relationships/hyperlink" Target="http://supreme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2020-10-26T11:00:00Z</dcterms:created>
  <dc:creator>h4</dc:creator>
  <dc:description/>
  <cp:keywords/>
  <dc:language>en-IL</dc:language>
  <cp:lastModifiedBy>orly</cp:lastModifiedBy>
  <cp:lastPrinted>2020-10-25T11:52:00Z</cp:lastPrinted>
  <dcterms:modified xsi:type="dcterms:W3CDTF">2020-10-26T11:00:00Z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צאלח ברגות'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 מנהל היחידה הארצית לאכיפה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26933123:2;25706299;26660754;25735901;24493154</vt:lpwstr>
  </property>
  <property fmtid="{D5CDD505-2E9C-101B-9397-08002B2CF9AE}" pid="9" name="CITY">
    <vt:lpwstr/>
  </property>
  <property fmtid="{D5CDD505-2E9C-101B-9397-08002B2CF9AE}" pid="10" name="DATE">
    <vt:lpwstr>20201025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98562/008</vt:lpwstr>
  </property>
  <property fmtid="{D5CDD505-2E9C-101B-9397-08002B2CF9AE}" pid="15" name="LAWLISTTMP2">
    <vt:lpwstr>91073</vt:lpwstr>
  </property>
  <property fmtid="{D5CDD505-2E9C-101B-9397-08002B2CF9AE}" pid="16" name="LAWYER">
    <vt:lpwstr>אריה פטר;ג'יאת' נאסר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</vt:lpwstr>
  </property>
  <property fmtid="{D5CDD505-2E9C-101B-9397-08002B2CF9AE}" pid="38" name="NOSE21">
    <vt:lpwstr>שופטים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341</vt:lpwstr>
  </property>
  <property fmtid="{D5CDD505-2E9C-101B-9397-08002B2CF9AE}" pid="49" name="NOSE31">
    <vt:lpwstr>פסילה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2803</vt:lpwstr>
  </property>
  <property fmtid="{D5CDD505-2E9C-101B-9397-08002B2CF9AE}" pid="60" name="PADIDATE">
    <vt:lpwstr>20201026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6491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410120201025</vt:lpwstr>
  </property>
  <property fmtid="{D5CDD505-2E9C-101B-9397-08002B2CF9AE}" pid="70" name="TYPE_N_DATE">
    <vt:lpwstr>41020201025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