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6501/18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7424/18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ascii="David;Times New Roman" w:hAnsi="David;Times New Roman"/>
                <w:rtl w:val="true"/>
              </w:rPr>
              <w:t xml:space="preserve">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6501/18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עלאא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דאר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עאצי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המערער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7424/18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מוג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אהד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עלי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דאר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עאצי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המשיבות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6501/18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אילנה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קפרא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המשיבים</w:t>
            </w:r>
            <w:r>
              <w:rPr>
                <w:rFonts w:ascii="David;Times New Roman" w:hAnsi="David;Times New Roman"/>
                <w:rtl w:val="true"/>
              </w:rPr>
              <w:t xml:space="preserve">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7424/18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אילנה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קפרא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דניאל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4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אליה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קפרא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5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תהילה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קפרא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6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טליה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קפרא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Ruller31"/>
              <w:spacing w:lineRule="auto" w:line="240"/>
              <w:ind w:end="0"/>
              <w:jc w:val="both"/>
              <w:rPr>
                <w:rFonts w:ascii="Miriam" w:hAnsi="Miriam" w:cs="Miriam"/>
                <w:spacing w:val="0"/>
                <w:sz w:val="24"/>
                <w:szCs w:val="24"/>
              </w:rPr>
            </w:pPr>
            <w:r>
              <w:rPr>
                <w:rFonts w:ascii="Miriam" w:hAnsi="Miriam" w:cs="Miriam"/>
                <w:spacing w:val="0"/>
                <w:szCs w:val="24"/>
                <w:rtl w:val="true"/>
              </w:rPr>
              <w:t>ערעור על הכרעת הדין וגזר הדין של בית המשפט המחוזי מרכז</w:t>
            </w:r>
            <w:r>
              <w:rPr>
                <w:rFonts w:ascii="Miriam" w:hAnsi="Miriam" w:cs="Miriam"/>
                <w:spacing w:val="0"/>
                <w:szCs w:val="24"/>
                <w:rtl w:val="true"/>
              </w:rPr>
              <w:t>–</w:t>
            </w:r>
            <w:r>
              <w:rPr>
                <w:rFonts w:ascii="Miriam" w:hAnsi="Miriam" w:cs="Miriam"/>
                <w:spacing w:val="0"/>
                <w:szCs w:val="24"/>
                <w:rtl w:val="true"/>
              </w:rPr>
              <w:t xml:space="preserve">לוד מימים </w:t>
            </w:r>
            <w:r>
              <w:rPr>
                <w:rFonts w:cs="Miriam" w:ascii="Miriam" w:hAnsi="Miriam"/>
                <w:spacing w:val="0"/>
                <w:szCs w:val="24"/>
              </w:rPr>
              <w:t>16.4.2018</w:t>
            </w:r>
            <w:r>
              <w:rPr>
                <w:rFonts w:cs="Miriam" w:ascii="Miriam" w:hAnsi="Miriam"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Miriam" w:hAnsi="Miriam" w:cs="Miriam"/>
                <w:spacing w:val="0"/>
                <w:szCs w:val="24"/>
                <w:rtl w:val="true"/>
              </w:rPr>
              <w:t>ו</w:t>
            </w:r>
            <w:r>
              <w:rPr>
                <w:rFonts w:cs="Miriam" w:ascii="Miriam" w:hAnsi="Miriam"/>
                <w:spacing w:val="0"/>
                <w:szCs w:val="24"/>
                <w:rtl w:val="true"/>
              </w:rPr>
              <w:t>-</w:t>
            </w:r>
            <w:r>
              <w:rPr>
                <w:rFonts w:cs="Miriam" w:ascii="Miriam" w:hAnsi="Miriam"/>
                <w:spacing w:val="0"/>
                <w:szCs w:val="24"/>
              </w:rPr>
              <w:t>29.7.2018</w:t>
            </w:r>
            <w:r>
              <w:rPr>
                <w:rFonts w:cs="Miriam" w:ascii="Miriam" w:hAnsi="Miriam"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Miriam" w:hAnsi="Miriam" w:cs="Miriam"/>
                <w:spacing w:val="0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ascii="Miriam" w:hAnsi="Miriam" w:cs="Miriam"/>
                  <w:color w:val="0000FF"/>
                  <w:spacing w:val="0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Miriam" w:ascii="Miriam" w:hAnsi="Miriam"/>
                  <w:color w:val="0000FF"/>
                  <w:spacing w:val="0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Miriam" w:hAnsi="Miriam" w:cs="Miriam"/>
                  <w:color w:val="0000FF"/>
                  <w:spacing w:val="0"/>
                  <w:szCs w:val="24"/>
                  <w:u w:val="single"/>
                  <w:rtl w:val="true"/>
                </w:rPr>
                <w:t xml:space="preserve">ח </w:t>
              </w:r>
              <w:r>
                <w:rPr>
                  <w:rStyle w:val="Hyperlink"/>
                  <w:rFonts w:cs="Miriam" w:ascii="Miriam" w:hAnsi="Miriam"/>
                  <w:color w:val="0000FF"/>
                  <w:spacing w:val="0"/>
                  <w:szCs w:val="24"/>
                  <w:u w:val="single"/>
                </w:rPr>
                <w:t>40481-07-15</w:t>
              </w:r>
            </w:hyperlink>
            <w:r>
              <w:rPr>
                <w:rFonts w:cs="Miriam" w:ascii="Miriam" w:hAnsi="Miriam"/>
                <w:spacing w:val="0"/>
                <w:szCs w:val="24"/>
                <w:rtl w:val="true"/>
              </w:rPr>
              <w:t xml:space="preserve">, </w:t>
            </w:r>
            <w:r>
              <w:rPr>
                <w:rFonts w:cs="David;Times New Roman"/>
                <w:spacing w:val="0"/>
                <w:szCs w:val="24"/>
                <w:rtl w:val="true"/>
              </w:rPr>
              <w:t>[</w:t>
            </w:r>
            <w:r>
              <w:rPr>
                <w:rFonts w:cs="David;Times New Roman"/>
                <w:spacing w:val="0"/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pacing w:val="0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pacing w:val="0"/>
                <w:szCs w:val="24"/>
                <w:rtl w:val="true"/>
              </w:rPr>
              <w:t>בנבו</w:t>
            </w:r>
            <w:r>
              <w:rPr>
                <w:rFonts w:cs="David;Times New Roman"/>
                <w:spacing w:val="0"/>
                <w:szCs w:val="24"/>
                <w:rtl w:val="true"/>
              </w:rPr>
              <w:t xml:space="preserve">] </w:t>
            </w:r>
            <w:r>
              <w:rPr>
                <w:rFonts w:ascii="Miriam" w:hAnsi="Miriam" w:cs="Miriam"/>
                <w:spacing w:val="0"/>
                <w:szCs w:val="24"/>
                <w:rtl w:val="true"/>
              </w:rPr>
              <w:t xml:space="preserve">שניתנו על ידי סגן הנשיא </w:t>
            </w:r>
            <w:r>
              <w:rPr>
                <w:rFonts w:ascii="Miriam" w:hAnsi="Miriam" w:cs="Miriam"/>
                <w:spacing w:val="0"/>
                <w:szCs w:val="24"/>
                <w:rtl w:val="true"/>
              </w:rPr>
              <w:t>מ</w:t>
            </w:r>
            <w:r>
              <w:rPr>
                <w:rFonts w:cs="Miriam" w:ascii="Miriam" w:hAnsi="Miriam"/>
                <w:spacing w:val="0"/>
                <w:szCs w:val="24"/>
                <w:rtl w:val="true"/>
              </w:rPr>
              <w:t xml:space="preserve">' </w:t>
            </w:r>
            <w:r>
              <w:rPr>
                <w:rFonts w:ascii="Miriam" w:hAnsi="Miriam" w:cs="Miriam"/>
                <w:spacing w:val="0"/>
                <w:szCs w:val="24"/>
                <w:rtl w:val="true"/>
              </w:rPr>
              <w:t xml:space="preserve">פינקלשטיין </w:t>
            </w:r>
            <w:r>
              <w:rPr>
                <w:rFonts w:ascii="Miriam" w:hAnsi="Miriam" w:cs="Miriam"/>
                <w:spacing w:val="0"/>
                <w:szCs w:val="24"/>
                <w:rtl w:val="true"/>
              </w:rPr>
              <w:t>ו</w:t>
            </w:r>
            <w:r>
              <w:rPr>
                <w:rFonts w:ascii="Miriam" w:hAnsi="Miriam" w:cs="Miriam"/>
                <w:spacing w:val="0"/>
                <w:szCs w:val="24"/>
                <w:rtl w:val="true"/>
              </w:rPr>
              <w:t>השופטים ל</w:t>
            </w:r>
            <w:r>
              <w:rPr>
                <w:rFonts w:cs="Miriam" w:ascii="Miriam" w:hAnsi="Miriam"/>
                <w:spacing w:val="0"/>
                <w:szCs w:val="24"/>
                <w:rtl w:val="true"/>
              </w:rPr>
              <w:t xml:space="preserve">' </w:t>
            </w:r>
            <w:r>
              <w:rPr>
                <w:rFonts w:ascii="Miriam" w:hAnsi="Miriam" w:cs="Miriam"/>
                <w:spacing w:val="0"/>
                <w:szCs w:val="24"/>
                <w:rtl w:val="true"/>
              </w:rPr>
              <w:t>ברודי ור</w:t>
            </w:r>
            <w:r>
              <w:rPr>
                <w:rFonts w:cs="Miriam" w:ascii="Miriam" w:hAnsi="Miriam"/>
                <w:spacing w:val="0"/>
                <w:szCs w:val="24"/>
                <w:rtl w:val="true"/>
              </w:rPr>
              <w:t xml:space="preserve">' </w:t>
            </w:r>
            <w:r>
              <w:rPr>
                <w:rFonts w:ascii="Miriam" w:hAnsi="Miriam" w:cs="Miriam"/>
                <w:spacing w:val="0"/>
                <w:szCs w:val="24"/>
                <w:rtl w:val="true"/>
              </w:rPr>
              <w:t>אמיר</w:t>
            </w:r>
            <w:r>
              <w:rPr>
                <w:rFonts w:cs="Miriam" w:ascii="Miriam" w:hAnsi="Miriam"/>
                <w:spacing w:val="0"/>
                <w:szCs w:val="24"/>
                <w:rtl w:val="true"/>
              </w:rPr>
              <w:t>;</w:t>
            </w:r>
            <w:r>
              <w:rPr>
                <w:rFonts w:cs="Miriam" w:ascii="Miriam" w:hAnsi="Miriam"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Miriam" w:hAnsi="Miriam" w:cs="Miriam"/>
                <w:spacing w:val="0"/>
                <w:szCs w:val="24"/>
                <w:rtl w:val="true"/>
              </w:rPr>
              <w:t>וערעור על הכרעת הדין וגזר הדין של בית המשפט המחוזי מרכז</w:t>
            </w:r>
            <w:r>
              <w:rPr>
                <w:rFonts w:ascii="Miriam" w:hAnsi="Miriam" w:cs="Miriam"/>
                <w:spacing w:val="0"/>
                <w:szCs w:val="24"/>
                <w:rtl w:val="true"/>
              </w:rPr>
              <w:t>–</w:t>
            </w:r>
            <w:r>
              <w:rPr>
                <w:rFonts w:ascii="Miriam" w:hAnsi="Miriam" w:cs="Miriam"/>
                <w:spacing w:val="0"/>
                <w:szCs w:val="24"/>
                <w:rtl w:val="true"/>
              </w:rPr>
              <w:t xml:space="preserve">לוד מימים </w:t>
            </w:r>
            <w:r>
              <w:rPr>
                <w:rFonts w:cs="Miriam" w:ascii="Miriam" w:hAnsi="Miriam"/>
                <w:spacing w:val="0"/>
                <w:szCs w:val="24"/>
              </w:rPr>
              <w:t>13.5.2018</w:t>
            </w:r>
            <w:r>
              <w:rPr>
                <w:rFonts w:cs="Miriam" w:ascii="Miriam" w:hAnsi="Miriam"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Miriam" w:hAnsi="Miriam" w:cs="Miriam"/>
                <w:spacing w:val="0"/>
                <w:szCs w:val="24"/>
                <w:rtl w:val="true"/>
              </w:rPr>
              <w:t>ו</w:t>
            </w:r>
            <w:r>
              <w:rPr>
                <w:rFonts w:cs="Miriam" w:ascii="Miriam" w:hAnsi="Miriam"/>
                <w:spacing w:val="0"/>
                <w:szCs w:val="24"/>
                <w:rtl w:val="true"/>
              </w:rPr>
              <w:t>-</w:t>
            </w:r>
            <w:r>
              <w:rPr>
                <w:rFonts w:cs="Miriam" w:ascii="Miriam" w:hAnsi="Miriam"/>
                <w:spacing w:val="0"/>
                <w:szCs w:val="24"/>
              </w:rPr>
              <w:t>6.9.2018</w:t>
            </w:r>
            <w:r>
              <w:rPr>
                <w:rFonts w:cs="Miriam" w:ascii="Miriam" w:hAnsi="Miriam"/>
                <w:spacing w:val="0"/>
                <w:szCs w:val="24"/>
                <w:rtl w:val="true"/>
              </w:rPr>
              <w:t xml:space="preserve"> </w:t>
            </w:r>
            <w:r>
              <w:rPr>
                <w:rFonts w:ascii="Miriam" w:hAnsi="Miriam" w:cs="Miriam"/>
                <w:spacing w:val="0"/>
                <w:szCs w:val="24"/>
                <w:rtl w:val="true"/>
              </w:rPr>
              <w:t>ב</w:t>
            </w:r>
            <w:hyperlink r:id="rId3">
              <w:r>
                <w:rPr>
                  <w:rStyle w:val="Hyperlink"/>
                  <w:rFonts w:ascii="Miriam" w:hAnsi="Miriam" w:cs="Miriam"/>
                  <w:color w:val="0000FF"/>
                  <w:spacing w:val="0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Miriam" w:ascii="Miriam" w:hAnsi="Miriam"/>
                  <w:color w:val="0000FF"/>
                  <w:spacing w:val="0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Miriam" w:hAnsi="Miriam" w:cs="Miriam"/>
                  <w:color w:val="0000FF"/>
                  <w:spacing w:val="0"/>
                  <w:szCs w:val="24"/>
                  <w:u w:val="single"/>
                  <w:rtl w:val="true"/>
                </w:rPr>
                <w:t xml:space="preserve">ח </w:t>
              </w:r>
              <w:r>
                <w:rPr>
                  <w:rStyle w:val="Hyperlink"/>
                  <w:rFonts w:cs="Miriam" w:ascii="Miriam" w:hAnsi="Miriam"/>
                  <w:color w:val="0000FF"/>
                  <w:spacing w:val="0"/>
                  <w:szCs w:val="24"/>
                  <w:u w:val="single"/>
                </w:rPr>
                <w:t>40519-07-15</w:t>
              </w:r>
            </w:hyperlink>
            <w:r>
              <w:rPr>
                <w:rFonts w:cs="Miriam" w:ascii="Miriam" w:hAnsi="Miriam"/>
                <w:spacing w:val="0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pacing w:val="0"/>
                <w:szCs w:val="24"/>
                <w:rtl w:val="true"/>
              </w:rPr>
              <w:t>[</w:t>
            </w:r>
            <w:r>
              <w:rPr>
                <w:rFonts w:cs="David;Times New Roman"/>
                <w:spacing w:val="0"/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pacing w:val="0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pacing w:val="0"/>
                <w:szCs w:val="24"/>
                <w:rtl w:val="true"/>
              </w:rPr>
              <w:t>בנבו</w:t>
            </w:r>
            <w:r>
              <w:rPr>
                <w:rFonts w:cs="David;Times New Roman"/>
                <w:spacing w:val="0"/>
                <w:szCs w:val="24"/>
                <w:rtl w:val="true"/>
              </w:rPr>
              <w:t xml:space="preserve">] </w:t>
            </w:r>
            <w:r>
              <w:rPr>
                <w:rFonts w:ascii="Miriam" w:hAnsi="Miriam" w:cs="Miriam"/>
                <w:spacing w:val="0"/>
                <w:szCs w:val="24"/>
                <w:rtl w:val="true"/>
              </w:rPr>
              <w:t xml:space="preserve">שניתנו על ידי סגנית הנשיא </w:t>
            </w:r>
            <w:r>
              <w:rPr>
                <w:rFonts w:ascii="Miriam" w:hAnsi="Miriam" w:cs="Miriam"/>
                <w:spacing w:val="0"/>
                <w:szCs w:val="24"/>
                <w:rtl w:val="true"/>
              </w:rPr>
              <w:t>ר</w:t>
            </w:r>
            <w:r>
              <w:rPr>
                <w:rFonts w:cs="Miriam" w:ascii="Miriam" w:hAnsi="Miriam"/>
                <w:spacing w:val="0"/>
                <w:szCs w:val="24"/>
                <w:rtl w:val="true"/>
              </w:rPr>
              <w:t xml:space="preserve">' </w:t>
            </w:r>
            <w:r>
              <w:rPr>
                <w:rFonts w:ascii="Miriam" w:hAnsi="Miriam" w:cs="Miriam"/>
                <w:spacing w:val="0"/>
                <w:szCs w:val="24"/>
                <w:rtl w:val="true"/>
              </w:rPr>
              <w:t>לורך</w:t>
            </w:r>
            <w:r>
              <w:rPr>
                <w:rFonts w:ascii="Miriam" w:hAnsi="Miriam" w:cs="Miriam"/>
                <w:spacing w:val="0"/>
                <w:szCs w:val="24"/>
                <w:rtl w:val="true"/>
              </w:rPr>
              <w:t xml:space="preserve"> ו</w:t>
            </w:r>
            <w:r>
              <w:rPr>
                <w:rFonts w:ascii="Miriam" w:hAnsi="Miriam" w:cs="Miriam"/>
                <w:spacing w:val="0"/>
                <w:szCs w:val="24"/>
                <w:rtl w:val="true"/>
              </w:rPr>
              <w:t>השופטים צ</w:t>
            </w:r>
            <w:r>
              <w:rPr>
                <w:rFonts w:cs="Miriam" w:ascii="Miriam" w:hAnsi="Miriam"/>
                <w:spacing w:val="0"/>
                <w:szCs w:val="24"/>
                <w:rtl w:val="true"/>
              </w:rPr>
              <w:t xml:space="preserve">' </w:t>
            </w:r>
            <w:r>
              <w:rPr>
                <w:rFonts w:ascii="Miriam" w:hAnsi="Miriam" w:cs="Miriam"/>
                <w:spacing w:val="0"/>
                <w:szCs w:val="24"/>
                <w:rtl w:val="true"/>
              </w:rPr>
              <w:t>דותן וד</w:t>
            </w:r>
            <w:r>
              <w:rPr>
                <w:rFonts w:cs="Miriam" w:ascii="Miriam" w:hAnsi="Miriam"/>
                <w:spacing w:val="0"/>
                <w:szCs w:val="24"/>
                <w:rtl w:val="true"/>
              </w:rPr>
              <w:t xml:space="preserve">' </w:t>
            </w:r>
            <w:r>
              <w:rPr>
                <w:rFonts w:ascii="Miriam" w:hAnsi="Miriam" w:cs="Miriam"/>
                <w:spacing w:val="0"/>
                <w:szCs w:val="24"/>
                <w:rtl w:val="true"/>
              </w:rPr>
              <w:t>עטר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03.03.2020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90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3212"/>
        <w:gridCol w:w="6"/>
        <w:gridCol w:w="5145"/>
      </w:tblGrid>
      <w:tr>
        <w:trPr/>
        <w:tc>
          <w:tcPr>
            <w:tcW w:w="27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212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6501/18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עבד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עאמר</w:t>
            </w:r>
            <w:r>
              <w:rPr>
                <w:rFonts w:cs="Times New Roman;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2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2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7424/18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בדר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אלדין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אגבאריה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2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45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וסטרמן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5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מתורגמנית</w:t>
            </w:r>
            <w:r>
              <w:rPr>
                <w:rtl w:val="true"/>
              </w:rPr>
              <w:t>:</w:t>
            </w:r>
          </w:p>
        </w:tc>
        <w:tc>
          <w:tcPr>
            <w:tcW w:w="5145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אמנה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עראר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bookmarkStart w:id="5" w:name="LawTable"/>
      <w:bookmarkEnd w:id="5"/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z w:val="24"/>
        </w:rPr>
      </w:pPr>
      <w:hyperlink r:id="rId4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</w:rPr>
          <w:t>1977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u w:val="single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u w:val="single"/>
          <w:rtl w:val="true"/>
        </w:rPr>
        <w:t xml:space="preserve">'  </w:t>
      </w:r>
      <w:hyperlink r:id="rId5">
        <w:r>
          <w:rPr>
            <w:rStyle w:val="Hyperlink"/>
            <w:rFonts w:cs="FrankRuehl;Times New Roman" w:ascii="FrankRuehl;Times New Roman" w:hAnsi="FrankRuehl;Times New Roman"/>
            <w:sz w:val="24"/>
          </w:rPr>
          <w:t>5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;Times New Roman" w:ascii="FrankRuehl;Times New Roman" w:hAnsi="FrankRuehl;Times New Roman"/>
            <w:sz w:val="24"/>
          </w:rPr>
          <w:t>20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2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;Times New Roman" w:ascii="FrankRuehl;Times New Roman" w:hAnsi="FrankRuehl;Times New Roman"/>
            <w:sz w:val="24"/>
          </w:rPr>
          <w:t>20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2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;Times New Roman" w:ascii="FrankRuehl;Times New Roman" w:hAnsi="FrankRuehl;Times New Roman"/>
            <w:sz w:val="24"/>
          </w:rPr>
          <w:t>29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;Times New Roman" w:ascii="FrankRuehl;Times New Roman" w:hAnsi="FrankRuehl;Times New Roman"/>
            <w:sz w:val="24"/>
          </w:rPr>
          <w:t>298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;Times New Roman" w:ascii="FrankRuehl;Times New Roman" w:hAnsi="FrankRuehl;Times New Roman"/>
            <w:sz w:val="24"/>
          </w:rPr>
          <w:t>300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;Times New Roman" w:ascii="FrankRuehl;Times New Roman" w:hAnsi="FrankRuehl;Times New Roman"/>
            <w:sz w:val="24"/>
          </w:rPr>
          <w:t>300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;Times New Roman" w:ascii="FrankRuehl;Times New Roman" w:hAnsi="FrankRuehl;Times New Roman"/>
            <w:sz w:val="24"/>
          </w:rPr>
          <w:t>300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2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;Times New Roman" w:ascii="FrankRuehl;Times New Roman" w:hAnsi="FrankRuehl;Times New Roman"/>
            <w:sz w:val="24"/>
          </w:rPr>
          <w:t>300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3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14">
        <w:r>
          <w:rPr>
            <w:rStyle w:val="Hyperlink"/>
            <w:rFonts w:cs="FrankRuehl;Times New Roman" w:ascii="FrankRuehl;Times New Roman" w:hAnsi="FrankRuehl;Times New Roman"/>
            <w:sz w:val="24"/>
          </w:rPr>
          <w:t>301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א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;Times New Roman" w:ascii="FrankRuehl;Times New Roman" w:hAnsi="FrankRuehl;Times New Roman"/>
            <w:sz w:val="24"/>
          </w:rPr>
          <w:t>301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א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cs="FrankRuehl;Times New Roman" w:ascii="FrankRuehl;Times New Roman" w:hAnsi="FrankRuehl;Times New Roman"/>
          <w:color w:val="0000FF"/>
          <w:sz w:val="24"/>
        </w:rPr>
        <w:t>2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16">
        <w:r>
          <w:rPr>
            <w:rStyle w:val="Hyperlink"/>
            <w:rFonts w:cs="FrankRuehl;Times New Roman" w:ascii="FrankRuehl;Times New Roman" w:hAnsi="FrankRuehl;Times New Roman"/>
            <w:sz w:val="24"/>
          </w:rPr>
          <w:t>301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א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cs="FrankRuehl;Times New Roman" w:ascii="FrankRuehl;Times New Roman" w:hAnsi="FrankRuehl;Times New Roman"/>
          <w:color w:val="0000FF"/>
          <w:sz w:val="24"/>
        </w:rPr>
        <w:t>7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17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קטן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 xml:space="preserve"> 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18">
        <w:r>
          <w:rPr>
            <w:rStyle w:val="Hyperlink"/>
            <w:rFonts w:cs="FrankRuehl;Times New Roman" w:ascii="FrankRuehl;Times New Roman" w:hAnsi="FrankRuehl;Times New Roman"/>
            <w:sz w:val="24"/>
          </w:rPr>
          <w:t>301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א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2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19">
        <w:r>
          <w:rPr>
            <w:rStyle w:val="Hyperlink"/>
            <w:rFonts w:cs="FrankRuehl;Times New Roman" w:ascii="FrankRuehl;Times New Roman" w:hAnsi="FrankRuehl;Times New Roman"/>
            <w:sz w:val="24"/>
          </w:rPr>
          <w:t>301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א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20">
        <w:r>
          <w:rPr>
            <w:rStyle w:val="Hyperlink"/>
            <w:rFonts w:cs="FrankRuehl;Times New Roman" w:ascii="FrankRuehl;Times New Roman" w:hAnsi="FrankRuehl;Times New Roman"/>
            <w:sz w:val="24"/>
          </w:rPr>
          <w:t>301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ג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21">
        <w:r>
          <w:rPr>
            <w:rStyle w:val="Hyperlink"/>
            <w:rFonts w:cs="FrankRuehl;Times New Roman" w:ascii="FrankRuehl;Times New Roman" w:hAnsi="FrankRuehl;Times New Roman"/>
            <w:sz w:val="24"/>
          </w:rPr>
          <w:t>311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א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22">
        <w:r>
          <w:rPr>
            <w:rStyle w:val="Hyperlink"/>
            <w:rFonts w:cs="FrankRuehl;Times New Roman" w:ascii="FrankRuehl;Times New Roman" w:hAnsi="FrankRuehl;Times New Roman"/>
            <w:sz w:val="24"/>
          </w:rPr>
          <w:t>402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23">
        <w:r>
          <w:rPr>
            <w:rStyle w:val="Hyperlink"/>
            <w:rFonts w:cs="FrankRuehl;Times New Roman" w:ascii="FrankRuehl;Times New Roman" w:hAnsi="FrankRuehl;Times New Roman"/>
            <w:sz w:val="24"/>
          </w:rPr>
          <w:t>403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ascii="FrankRuehl;Times New Roman" w:hAnsi="FrankRuehl;Times New Roman" w:cs="FrankRuehl;Times New Roman"/>
          <w:color w:val="0000FF"/>
          <w:sz w:val="24"/>
        </w:rPr>
      </w:pP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bookmarkStart w:id="8" w:name="ABSTRACT_START"/>
      <w:bookmarkEnd w:id="8"/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דחה את הערעורים על הרשעת המערער בע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פ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6501/18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בהריגה לפי סעיף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298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לחוק העונשין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והמערער בע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פ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7424/18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בעבירה של רצח תוך כדי ביצוע עבירה לפי סעיף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300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)(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3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לחוק העונשין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וקבע כי במערערים התקיימו היסודות העובדתיים והנפשיים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עוד נפסק כי יש להרשיע את המערער בע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פ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7424/18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הן לפי הדין טרם תיקון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137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לחוק העונשין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הן לפי הדין אחריו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בעבירה שעונשה מאסר עולם חובה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וכי לא התקיימו נסיבות מיוחדות להחלת סעיף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301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לחוק העונשין ולהימנע מהטלת מאסר עולם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עבירת הרצח – תוך כדי ביצוע עבירה אחרת‏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עבירת הרצח – עונש מופחת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עבירות – המתה בקלות דעת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שותפים לעבירה – מבצע בצוותא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מחשבה פלילית – אדישות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ערעורים על פסקי דין של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המחוזי בשני תיקים שעסקו בפרשייה אחת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של המתת דוד בר קפרא ז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ל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להלן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המנוח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כל אחד מהמערערים הואשם בעבירת רצח תוך כדי ביצוע עבירה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לפי סעיף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300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)(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3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לחוק העונשין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להלן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החוק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נטען כי רצחו בצוותא חדא את המנוח במהלך ביצוע עבירת שוד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המערער בע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פ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6501/18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להלן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עלאא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זוכה מעבירת הרצח והורשע בעבירת הריגה והוטלו עליו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18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שנות מאסר בפועל לצד מאסר מותנה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המערער בע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פ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7424/18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להלן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מוג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'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אהד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הורשע בעבירה שיוחסה לו והוטל עליו מאסר עולם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כמו כן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המערערים חויבו לשלם פיצויים למשפחת המנוח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מפי השופט אלרון ובהסכמת השופטים סולברג ושטיין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דחה את הערעורים ופסק כי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במערערים התקיימו הן היסוד העובדתי של ביצוע בצוותא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שהרי כל אחד מהמערערים היה שותף 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מעגל הפנימי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של ביצוע העבירה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שניהם הכו את המנוח יחד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נמנעו מלהזעיק עזרה וכך תרמו לגרימת התוצאה הקטלנית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הן היסוד הנפשי מאחר ששניהם היו מודעים לפעולתם המשותפת שהובילה למות המנוח והתקיים בהם היסוד הנפשי של עבירת ההריגה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מודעות בצירוף כוונה או פזיזות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כאן מסוג אדישות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מוג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'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אהד הורשע בעבירה חמורה יותר מאחר שהתקיימו בו יסודות נוספים שלא התקיימו בעלאא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טענתו של מוג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'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אהד כי לאור תיקון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137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לחוק יש לזכותו מעבירת הרצח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נדחתה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בין היתר בתיקון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137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נקבעה הגדרה חדשה של רצח בסעיף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300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 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הגורם בכוונה או באדישות למותו של אדם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דינו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-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מאסר עולם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עונש זה אינו עונש חובה וניתן להטיל בגין העבירה מאסר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לתקופה בלתי קצובה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או לתקופה שלא תעלה על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30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שנה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לגרימת מוות בקלות דעת יוחדה בתיקון עבירה לפי סעיף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301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 לחוק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שעניינה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המתה בקלות דעת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אלא שאצל מוג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'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אהד הוכח היסוד המחמיר יותר של אדישות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ובאין קלות דעת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אין תחולה לסעיף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301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כמו כן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נקבעה בסעיף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301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 עבירת רצח בנסיבות מחמירות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שהעונש עליה הוא מאסר עולם חובה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לעבירת הרצח החדשה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-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גרימת מוות בכוונה או באדישות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מתווספות נסיבות המנויות בסעיף קטן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המחמירות את העונש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בסעיף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301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נקבע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 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המעשה נעשה במטרה לאפשר ביצוע עבירה אחרת או להקל את ביצועה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או במטרה להסתיר את ביצועה של עבירה אחרת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או לאפשר הימלטות מן הדין לאחר ביצוע העבירה האחרת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לעניין זה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, '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עבירה אחרת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עבירה שעונשה שבע שנות מאסר או יותר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לפי סעיף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301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גם אם התקיימה נסיבה מחמירה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ניתן להרשיע בעבירת הרצח לפי סעיף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300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קרי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ללא חובה להטיל מאסר עולם שאינו קצוב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אם מנימוקים מיוחדים שיירשמו יש נסיבות מיוחדות שבשלהן המעשה אינו מבטא דרגת אשמה חמורה במיוחד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25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לתיקון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137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קבע את תחולתו של התיקון בזמן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לפי סעיף קטן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באישום בגין עבירה שקודמת לכניסתו לתוקף של התיקון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אם טרם ניתן פסק דין חלוט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יש לבחון במלואם את ההסדר הקודם לתיקון ואת ההסדר החדש ולהכריע איזה מהם הוא הדין המקל עם הנאשם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לאחר מכן פועלים לפי סעיף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5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לחוק ומחילים את החיקוק המקל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בחינת תיקון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137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מלמדת כי העבירה שיוחסה למוג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'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אהד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רצח תוך ביצוע עבירה אחרת לפי סעיף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300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)(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לחוק בנוסחו הישן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מקבילה לרצח בנסיבה מחמירה בקשר לעבירה אחרת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לפי סעיף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301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לחוק בנוסחו החדש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מאחר שבשני המקרים העונש זהה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מאסר עולם חובה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ואין עוד טענה כי לא התקיימו יסודות העבירה 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ישנה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נבחן רק אם מעשי מוג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'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אהד עונים על תנאי העבירה החדשה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בהקשר זה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מוג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'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אהד הודה בכוונתו לשדוד את המנוח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קרי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לבצע עבירת שוד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ולפחות ניסיון שוד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לעבירות אלו קבועים עונשים של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20-7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ובכך הן עונות על תנאי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עבירה אחרת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שבסעיף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301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האלימות כלפי המנוח נועדה לאפשר את ביצוע השוד או להקל את ביצועו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והתקיים יסוד נפשי של אדישות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אם לא של כוונה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לגבי גרימת המוות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לכן התקיימו גם יתר תנאי סעיף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301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יש להרשיע את מוג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'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אהד הן לפי הדין הישן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הן לפי הדין החדש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בעבירה שעונשה מאסר עולם חובה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אין זה מקרה חריג המצדיק להתערב בעונשים שהוטלו על עלאא בגין הריגה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אשר למוג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'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אהד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נדחתה טענתו כי התקיימו נסיבות מיוחדות להחלת סעיף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301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לחוק ולהימנע מהטלת מאסר עולם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שכן מעשיו נכנסים לגדר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דרגת אשמה חמורה במיוחד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אפשר שבמקרה מתאים יוחל סעיף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301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לחוק על מבצע בצוותא שחלקו במעשים מצומצם מאוד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אולם חלקו של מוג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'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אהד בגרימת מותו של המנוח היה רב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נותרה על כנה הרשעתו של מוג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'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אהד בעבירה שהעונש עליה הוא מאסר עולם חובה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לפנינו ערעורים על פסקי דינו של בית המשפט המחוזי מרכז</w:t>
      </w:r>
      <w:r>
        <w:rPr>
          <w:rFonts w:ascii="Times New Roman;Times New Roman" w:hAnsi="Times New Roman;Times New Roman" w:cs="Times New Roman;Times New Roman"/>
          <w:rtl w:val="true"/>
        </w:rPr>
        <w:t>–</w:t>
      </w:r>
      <w:r>
        <w:rPr>
          <w:rtl w:val="true"/>
        </w:rPr>
        <w:t>לוד בשני תיקים שעסקו בפרשייה אחת</w:t>
      </w:r>
      <w:r>
        <w:rPr>
          <w:rtl w:val="true"/>
        </w:rPr>
        <w:t xml:space="preserve">, </w:t>
      </w:r>
      <w:r>
        <w:rPr>
          <w:rtl w:val="true"/>
        </w:rPr>
        <w:t>של המתת דוד בר קפרא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spacing w:val="0"/>
          <w:szCs w:val="24"/>
          <w:rtl w:val="true"/>
        </w:rPr>
        <w:t>המנוח</w:t>
      </w:r>
      <w:r>
        <w:rPr>
          <w:rtl w:val="true"/>
        </w:rPr>
        <w:t xml:space="preserve">). </w:t>
      </w:r>
      <w:r>
        <w:rPr>
          <w:rtl w:val="true"/>
        </w:rPr>
        <w:t>הערעור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6501/18</w:t>
      </w:r>
      <w:r>
        <w:rPr>
          <w:rtl w:val="true"/>
        </w:rPr>
        <w:t xml:space="preserve"> </w:t>
      </w:r>
      <w:r>
        <w:rPr>
          <w:rtl w:val="true"/>
        </w:rPr>
        <w:t>מופנה נגד הכרעת הדין וגזר הדין ב</w:t>
      </w:r>
      <w:hyperlink r:id="rId24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40481-07-15</w:t>
        </w:r>
      </w:hyperlink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 xml:space="preserve">סגן הנשיא </w:t>
      </w:r>
      <w:r>
        <w:rPr>
          <w:rFonts w:cs="Miriam"/>
          <w:spacing w:val="0"/>
          <w:szCs w:val="24"/>
          <w:rtl w:val="true"/>
        </w:rPr>
        <w:t>מ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פינקשלטיין</w:t>
      </w:r>
      <w:r>
        <w:rPr>
          <w:rtl w:val="true"/>
        </w:rPr>
        <w:t xml:space="preserve"> והשופטים </w:t>
      </w:r>
      <w:r>
        <w:rPr>
          <w:rFonts w:cs="Miriam"/>
          <w:spacing w:val="0"/>
          <w:szCs w:val="24"/>
          <w:rtl w:val="true"/>
        </w:rPr>
        <w:t>ל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ברודי</w:t>
      </w:r>
      <w:r>
        <w:rPr>
          <w:rtl w:val="true"/>
        </w:rPr>
        <w:t xml:space="preserve"> ו</w:t>
      </w:r>
      <w:r>
        <w:rPr>
          <w:rFonts w:cs="Miriam"/>
          <w:spacing w:val="0"/>
          <w:szCs w:val="24"/>
          <w:rtl w:val="true"/>
        </w:rPr>
        <w:t>ר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אמיר</w:t>
      </w:r>
      <w:r>
        <w:rPr>
          <w:rtl w:val="true"/>
        </w:rPr>
        <w:t xml:space="preserve">) </w:t>
      </w:r>
      <w:r>
        <w:rPr>
          <w:rtl w:val="true"/>
        </w:rPr>
        <w:t xml:space="preserve">מהתאריכים </w:t>
      </w:r>
      <w:r>
        <w:rPr/>
        <w:t>16.4.2018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29.7.2018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. </w:t>
      </w:r>
      <w:r>
        <w:rPr>
          <w:rtl w:val="true"/>
        </w:rPr>
        <w:t>הערעור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7424/18</w:t>
      </w:r>
      <w:r>
        <w:rPr>
          <w:rtl w:val="true"/>
        </w:rPr>
        <w:t xml:space="preserve"> </w:t>
      </w:r>
      <w:r>
        <w:rPr>
          <w:rtl w:val="true"/>
        </w:rPr>
        <w:t>נסב על הכרעת הדין וגזר הדין ב</w:t>
      </w:r>
      <w:hyperlink r:id="rId25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40519-07-15</w:t>
        </w:r>
      </w:hyperlink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 xml:space="preserve">סגנית הנשיא </w:t>
      </w:r>
      <w:r>
        <w:rPr>
          <w:rtl w:val="true"/>
        </w:rPr>
        <w:t>(</w:t>
      </w:r>
      <w:r>
        <w:rPr>
          <w:rtl w:val="true"/>
        </w:rPr>
        <w:t>כתוארה אז</w:t>
      </w:r>
      <w:r>
        <w:rPr>
          <w:rtl w:val="true"/>
        </w:rPr>
        <w:t xml:space="preserve">) </w:t>
      </w:r>
      <w:r>
        <w:rPr>
          <w:rFonts w:cs="Miriam"/>
          <w:spacing w:val="0"/>
          <w:szCs w:val="24"/>
          <w:rtl w:val="true"/>
        </w:rPr>
        <w:t>ר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לורך</w:t>
      </w:r>
      <w:r>
        <w:rPr>
          <w:rtl w:val="true"/>
        </w:rPr>
        <w:t xml:space="preserve"> והשופטים </w:t>
      </w:r>
      <w:r>
        <w:rPr>
          <w:rFonts w:cs="Miriam"/>
          <w:spacing w:val="0"/>
          <w:szCs w:val="24"/>
          <w:rtl w:val="true"/>
        </w:rPr>
        <w:t>צ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דותן</w:t>
      </w:r>
      <w:r>
        <w:rPr>
          <w:rtl w:val="true"/>
        </w:rPr>
        <w:t xml:space="preserve"> ו</w:t>
      </w:r>
      <w:r>
        <w:rPr>
          <w:rFonts w:cs="Miriam"/>
          <w:spacing w:val="0"/>
          <w:szCs w:val="24"/>
          <w:rtl w:val="true"/>
        </w:rPr>
        <w:t>ד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עטר</w:t>
      </w:r>
      <w:r>
        <w:rPr>
          <w:rtl w:val="true"/>
        </w:rPr>
        <w:t xml:space="preserve">) </w:t>
      </w:r>
      <w:r>
        <w:rPr>
          <w:rtl w:val="true"/>
        </w:rPr>
        <w:t xml:space="preserve">מהתאריכים </w:t>
      </w:r>
      <w:r>
        <w:rPr/>
        <w:t>13.5.2018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6.9.2018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ascii="Times New Roman;Times New Roman" w:hAnsi="Times New Roman;Times New Roman" w:cs="Times New Roman;Times New Roman"/>
          <w:rtl w:val="true"/>
        </w:rPr>
        <w:t>–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spacing w:val="0"/>
          <w:szCs w:val="24"/>
          <w:rtl w:val="true"/>
        </w:rPr>
        <w:t>החוק</w:t>
      </w:r>
      <w:r>
        <w:rPr>
          <w:rtl w:val="true"/>
        </w:rPr>
        <w:t xml:space="preserve">).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6501/18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spacing w:val="0"/>
          <w:szCs w:val="24"/>
          <w:rtl w:val="true"/>
        </w:rPr>
        <w:t>עלאא</w:t>
      </w:r>
      <w:r>
        <w:rPr>
          <w:rtl w:val="true"/>
        </w:rPr>
        <w:t xml:space="preserve">) </w:t>
      </w:r>
      <w:r>
        <w:rPr>
          <w:rtl w:val="true"/>
        </w:rPr>
        <w:t>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לעומתו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7424/18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spacing w:val="0"/>
          <w:szCs w:val="24"/>
          <w:rtl w:val="true"/>
        </w:rPr>
        <w:t>מוג</w:t>
      </w:r>
      <w:r>
        <w:rPr>
          <w:rFonts w:cs="Miriam"/>
          <w:spacing w:val="0"/>
          <w:szCs w:val="24"/>
          <w:rtl w:val="true"/>
        </w:rPr>
        <w:t>'</w:t>
      </w:r>
      <w:r>
        <w:rPr>
          <w:rFonts w:cs="Miriam"/>
          <w:spacing w:val="0"/>
          <w:szCs w:val="24"/>
          <w:rtl w:val="true"/>
        </w:rPr>
        <w:t>אהד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עלאא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ההרשעות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לתוקפו</w:t>
      </w:r>
      <w:r>
        <w:rPr>
          <w:rFonts w:eastAsia="Arial TUR;Arial" w:cs="Arial TUR;Arial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–</w:t>
      </w:r>
      <w:r>
        <w:rPr/>
        <w:t>2019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spacing w:val="0"/>
          <w:szCs w:val="24"/>
          <w:rtl w:val="true"/>
        </w:rPr>
        <w:t>תיקון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</w:rPr>
        <w:t>137</w:t>
      </w:r>
      <w:r>
        <w:rPr>
          <w:rtl w:val="true"/>
        </w:rPr>
        <w:t xml:space="preserve">),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10.7.2019</w:t>
      </w:r>
      <w:r>
        <w:rPr>
          <w:rtl w:val="true"/>
        </w:rPr>
        <w:t xml:space="preserve">, </w:t>
      </w:r>
      <w:r>
        <w:rPr>
          <w:rtl w:val="true"/>
        </w:rPr>
        <w:t>והמערערים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להשפעתו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בערעוריהם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כתבי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ועיקרי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הראיות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כתבי האישום נגד המערערים מתארים את אותה התרחשות</w:t>
      </w:r>
      <w:r>
        <w:rPr>
          <w:rtl w:val="true"/>
        </w:rPr>
        <w:t xml:space="preserve">, </w:t>
      </w:r>
      <w:r>
        <w:rPr>
          <w:rtl w:val="true"/>
        </w:rPr>
        <w:t>ועיקריה יפורטו להלן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תושבי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ליקיא</w:t>
      </w:r>
      <w:r>
        <w:rPr>
          <w:rtl w:val="true"/>
        </w:rPr>
        <w:t xml:space="preserve">.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eastAsia="Arial TUR;Arial" w:cs="Arial TUR;Arial"/>
          <w:rtl w:val="true"/>
        </w:rPr>
        <w:t xml:space="preserve"> </w:t>
      </w:r>
      <w:r>
        <w:rPr/>
        <w:t>1993</w:t>
      </w:r>
      <w:r>
        <w:rPr>
          <w:rtl w:val="true"/>
        </w:rPr>
        <w:t xml:space="preserve">, </w:t>
      </w:r>
      <w:r>
        <w:rPr>
          <w:rtl w:val="true"/>
        </w:rPr>
        <w:t>ועלאא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</w:t>
      </w:r>
      <w:r>
        <w:rPr>
          <w:rFonts w:eastAsia="Arial TUR;Arial" w:cs="Arial TUR;Arial"/>
          <w:rtl w:val="true"/>
        </w:rPr>
        <w:t xml:space="preserve"> </w:t>
      </w:r>
      <w:r>
        <w:rPr/>
        <w:t>1993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למנוח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שבעים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היישובים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ופדיה</w:t>
      </w:r>
      <w:r>
        <w:rPr>
          <w:rtl w:val="true"/>
        </w:rPr>
        <w:t xml:space="preserve">.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אפריל</w:t>
      </w:r>
      <w:r>
        <w:rPr>
          <w:rFonts w:eastAsia="Arial TUR;Arial" w:cs="Arial TUR;Arial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שכרו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ועלאא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23.6.2015</w:t>
      </w:r>
      <w:r>
        <w:rPr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לעלאא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. </w:t>
      </w:r>
      <w:r>
        <w:rPr>
          <w:rtl w:val="true"/>
        </w:rPr>
        <w:t>בערבו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אפרסקים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למחרת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התקרבו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והבחינו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בכיסא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סחורה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חקלאית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ורכש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ענבים</w:t>
      </w:r>
      <w:r>
        <w:rPr>
          <w:rtl w:val="true"/>
        </w:rPr>
        <w:t xml:space="preserve">.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הניח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ידיעותיו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במזומן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והתקרבו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;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קם</w:t>
      </w:r>
      <w:r>
        <w:rPr>
          <w:rtl w:val="true"/>
        </w:rPr>
        <w:t xml:space="preserve">, </w:t>
      </w:r>
      <w:r>
        <w:rPr>
          <w:rtl w:val="true"/>
        </w:rPr>
        <w:t>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וצעק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לעברם</w:t>
      </w:r>
      <w:r>
        <w:rPr>
          <w:rtl w:val="true"/>
        </w:rPr>
        <w:t>: "</w:t>
      </w:r>
      <w:r>
        <w:rPr>
          <w:rtl w:val="true"/>
        </w:rPr>
        <w:t>גנבים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, </w:t>
      </w:r>
      <w:r>
        <w:rPr>
          <w:rtl w:val="true"/>
        </w:rPr>
        <w:t>ובצוותא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ובידיהם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כספו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לרצפה</w:t>
      </w:r>
      <w:r>
        <w:rPr>
          <w:rtl w:val="true"/>
        </w:rPr>
        <w:t xml:space="preserve">, </w:t>
      </w:r>
      <w:r>
        <w:rPr>
          <w:rtl w:val="true"/>
        </w:rPr>
        <w:t>והמערערים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</w:t>
      </w:r>
      <w:r>
        <w:rPr>
          <w:rtl w:val="true"/>
        </w:rPr>
        <w:t xml:space="preserve">.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והלה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הכרתו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חיפשו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בכיסיו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מפתחות</w:t>
      </w:r>
      <w:r>
        <w:rPr>
          <w:rtl w:val="true"/>
        </w:rPr>
        <w:t xml:space="preserve">, </w:t>
      </w:r>
      <w:r>
        <w:rPr>
          <w:rtl w:val="true"/>
        </w:rPr>
        <w:t>הניחו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ונמלטו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ליקיא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להזעיק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</w:t>
      </w:r>
      <w:r>
        <w:rPr>
          <w:rtl w:val="true"/>
        </w:rPr>
        <w:t xml:space="preserve">, </w:t>
      </w:r>
      <w:r>
        <w:rPr>
          <w:rtl w:val="true"/>
        </w:rPr>
        <w:t>בגפיים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ובאיברים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מפצעיו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במשפטיהם של המערערים הובאו ראיות שונות</w:t>
      </w:r>
      <w:r>
        <w:rPr>
          <w:rtl w:val="true"/>
        </w:rPr>
        <w:t xml:space="preserve">, </w:t>
      </w:r>
      <w:r>
        <w:rPr>
          <w:rtl w:val="true"/>
        </w:rPr>
        <w:t>כמפורט בתמצית להלן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ובמשטרה</w:t>
      </w:r>
      <w:r>
        <w:rPr>
          <w:rtl w:val="true"/>
        </w:rPr>
        <w:t xml:space="preserve">, </w:t>
      </w:r>
      <w:r>
        <w:rPr>
          <w:rtl w:val="true"/>
        </w:rPr>
        <w:t>תכתוב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והקליטו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ידיעתם</w:t>
      </w:r>
      <w:r>
        <w:rPr>
          <w:rtl w:val="true"/>
        </w:rPr>
        <w:t xml:space="preserve">, </w:t>
      </w:r>
      <w:r>
        <w:rPr>
          <w:rtl w:val="true"/>
        </w:rPr>
        <w:t>תכתוב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ובמשפטו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פורמן</w:t>
      </w:r>
      <w:r>
        <w:rPr>
          <w:rtl w:val="true"/>
        </w:rPr>
        <w:t>-</w:t>
      </w:r>
      <w:r>
        <w:rPr>
          <w:rtl w:val="true"/>
        </w:rPr>
        <w:t>רזניק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הלאומי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לרפואה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במשפטו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עלאא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יהודה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העידו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ואביו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ביטחונם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שמותיהם</w:t>
      </w:r>
      <w:r>
        <w:rPr>
          <w:rtl w:val="true"/>
        </w:rPr>
        <w:t xml:space="preserve">, </w:t>
      </w:r>
      <w:r>
        <w:rPr>
          <w:rtl w:val="true"/>
        </w:rPr>
        <w:t>במשפטו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עדותם</w:t>
      </w:r>
      <w:r>
        <w:rPr>
          <w:rtl w:val="true"/>
        </w:rPr>
        <w:t xml:space="preserve">, </w:t>
      </w:r>
      <w:r>
        <w:rPr>
          <w:rtl w:val="true"/>
        </w:rPr>
        <w:t>והתבקשנו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במשפטו</w:t>
      </w:r>
      <w:r>
        <w:rPr>
          <w:rtl w:val="true"/>
        </w:rPr>
        <w:t xml:space="preserve">, </w:t>
      </w:r>
      <w:r>
        <w:rPr>
          <w:rtl w:val="true"/>
        </w:rPr>
        <w:t>ומוג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עלאא</w:t>
      </w:r>
      <w:r>
        <w:rPr>
          <w:rtl w:val="true"/>
        </w:rPr>
        <w:t xml:space="preserve">.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עלאא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העין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עלאא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tl w:val="true"/>
        </w:rPr>
        <w:t xml:space="preserve">, </w:t>
      </w:r>
      <w:r>
        <w:rPr>
          <w:rtl w:val="true"/>
        </w:rPr>
        <w:t>ומוג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עלאא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משפטו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עלאא</w:t>
      </w:r>
    </w:p>
    <w:p>
      <w:pPr>
        <w:pStyle w:val="Ruller41"/>
        <w:numPr>
          <w:ilvl w:val="0"/>
          <w:numId w:val="2"/>
        </w:numPr>
        <w:tabs>
          <w:tab w:val="clear" w:pos="720"/>
        </w:tabs>
        <w:ind w:hanging="0" w:start="0" w:end="0"/>
        <w:jc w:val="both"/>
        <w:rPr/>
      </w:pPr>
      <w:r>
        <w:rPr>
          <w:rtl w:val="true"/>
        </w:rPr>
        <w:t xml:space="preserve">בית המשפט המחוזי </w:t>
      </w:r>
      <w:r>
        <w:rPr>
          <w:rtl w:val="true"/>
        </w:rPr>
        <w:t>(</w:t>
      </w:r>
      <w:r>
        <w:rPr>
          <w:rtl w:val="true"/>
        </w:rPr>
        <w:t xml:space="preserve">בחוות דעת עיקרית מפי השופטת </w:t>
      </w:r>
      <w:r>
        <w:rPr>
          <w:rFonts w:ascii="Arial TUR;Arial" w:hAnsi="Arial TUR;Arial" w:cs="Miriam"/>
          <w:spacing w:val="0"/>
          <w:sz w:val="22"/>
          <w:sz w:val="22"/>
          <w:szCs w:val="24"/>
          <w:rtl w:val="true"/>
        </w:rPr>
        <w:t>ברודי</w:t>
      </w:r>
      <w:r>
        <w:rPr>
          <w:rtl w:val="true"/>
        </w:rPr>
        <w:t xml:space="preserve">) </w:t>
      </w:r>
      <w:r>
        <w:rPr>
          <w:rtl w:val="true"/>
        </w:rPr>
        <w:t>סקר בפירוט רב את חומר הראיות וסתירות שעלו בין הגרסאות השונות של המערערים</w:t>
      </w:r>
      <w:r>
        <w:rPr>
          <w:rtl w:val="true"/>
        </w:rPr>
        <w:t xml:space="preserve">, </w:t>
      </w:r>
      <w:r>
        <w:rPr>
          <w:rtl w:val="true"/>
        </w:rPr>
        <w:t>וקבע בין היתר את הקביעות הללו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"</w:t>
      </w:r>
      <w:r>
        <w:rPr>
          <w:rtl w:val="true"/>
        </w:rPr>
        <w:t>התרשמתי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המובילה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עלאא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א</w:t>
      </w:r>
      <w:r>
        <w:rPr>
          <w:rFonts w:cs="Miriam"/>
          <w:spacing w:val="0"/>
          <w:szCs w:val="24"/>
          <w:rtl w:val="true"/>
        </w:rPr>
        <w:t>'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נחלץ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tl w:val="true"/>
        </w:rPr>
        <w:t xml:space="preserve">, </w:t>
      </w:r>
      <w:r>
        <w:rPr>
          <w:rtl w:val="true"/>
        </w:rPr>
        <w:t>שניהם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307</w:t>
      </w:r>
      <w:r>
        <w:rPr>
          <w:rtl w:val="true"/>
        </w:rPr>
        <w:t>);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"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341</w:t>
      </w:r>
      <w:r>
        <w:rPr>
          <w:rtl w:val="true"/>
        </w:rPr>
        <w:t>);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שבלבו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גמלה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כספו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342</w:t>
      </w:r>
      <w:r>
        <w:rPr>
          <w:rtl w:val="true"/>
        </w:rPr>
        <w:t>);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"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היכו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בידיהם</w:t>
      </w:r>
      <w:r>
        <w:rPr>
          <w:rtl w:val="true"/>
        </w:rPr>
        <w:t xml:space="preserve">, </w:t>
      </w:r>
      <w:r>
        <w:rPr>
          <w:rtl w:val="true"/>
        </w:rPr>
        <w:t>ברגליהם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בעיטות</w:t>
      </w:r>
      <w:r>
        <w:rPr>
          <w:rtl w:val="true"/>
        </w:rPr>
        <w:t xml:space="preserve">) </w:t>
      </w:r>
      <w:r>
        <w:rPr>
          <w:rtl w:val="true"/>
        </w:rPr>
        <w:t>ולסירוגין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במקל</w:t>
      </w:r>
      <w:r>
        <w:rPr>
          <w:rtl w:val="true"/>
        </w:rPr>
        <w:t xml:space="preserve">, </w:t>
      </w:r>
      <w:r>
        <w:rPr>
          <w:rtl w:val="true"/>
        </w:rPr>
        <w:t>בחלקי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Fonts w:cs="Miriam"/>
          <w:spacing w:val="0"/>
          <w:szCs w:val="24"/>
          <w:rtl w:val="true"/>
        </w:rPr>
        <w:t>הן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בעת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שעמד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המנוח</w:t>
      </w:r>
      <w:r>
        <w:rPr>
          <w:rFonts w:cs="Miriam"/>
          <w:spacing w:val="0"/>
          <w:szCs w:val="24"/>
          <w:rtl w:val="true"/>
        </w:rPr>
        <w:t xml:space="preserve">, </w:t>
      </w:r>
      <w:r>
        <w:rPr>
          <w:rFonts w:cs="Miriam"/>
          <w:spacing w:val="0"/>
          <w:szCs w:val="24"/>
          <w:rtl w:val="true"/>
        </w:rPr>
        <w:t>והן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לאחר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נפילתו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352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). 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א</w:t>
      </w:r>
      <w:r>
        <w:rPr>
          <w:rFonts w:cs="Miriam"/>
          <w:spacing w:val="0"/>
          <w:szCs w:val="24"/>
          <w:rtl w:val="true"/>
        </w:rPr>
        <w:t>'</w:t>
      </w:r>
      <w:r>
        <w:rPr>
          <w:rtl w:val="true"/>
        </w:rPr>
        <w:t>);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"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שהופעלה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האבן</w:t>
      </w:r>
      <w:r>
        <w:rPr>
          <w:rtl w:val="true"/>
        </w:rPr>
        <w:t xml:space="preserve">, </w:t>
      </w:r>
      <w:r>
        <w:rPr>
          <w:rtl w:val="true"/>
        </w:rPr>
        <w:t>ובאמצעותה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העין</w:t>
      </w:r>
      <w:r>
        <w:rPr>
          <w:rtl w:val="true"/>
        </w:rPr>
        <w:t xml:space="preserve">.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אינטגרלי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האלים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352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). </w:t>
      </w:r>
      <w:r>
        <w:rPr>
          <w:rtl w:val="true"/>
        </w:rPr>
        <w:t>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א</w:t>
      </w:r>
      <w:r>
        <w:rPr>
          <w:rFonts w:cs="Miriam"/>
          <w:spacing w:val="0"/>
          <w:szCs w:val="24"/>
          <w:rtl w:val="true"/>
        </w:rPr>
        <w:t>'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"</w:t>
      </w:r>
      <w:r>
        <w:rPr>
          <w:rtl w:val="true"/>
        </w:rPr>
        <w:t>בהיבט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שהופעלה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ולתוצאותיה</w:t>
      </w:r>
      <w:r>
        <w:rPr>
          <w:rtl w:val="true"/>
        </w:rPr>
        <w:t xml:space="preserve">",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ההכאה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שננקטו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ומהיר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352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>)(</w:t>
      </w:r>
      <w:r>
        <w:rPr>
          <w:rtl w:val="true"/>
        </w:rPr>
        <w:t>א</w:t>
      </w:r>
      <w:r>
        <w:rPr>
          <w:rtl w:val="true"/>
        </w:rPr>
        <w:t>)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));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"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353</w:t>
      </w:r>
      <w:r>
        <w:rPr>
          <w:rtl w:val="true"/>
        </w:rPr>
        <w:t>);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ח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"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</w:t>
      </w:r>
      <w:r>
        <w:rPr>
          <w:rtl w:val="true"/>
        </w:rPr>
        <w:t xml:space="preserve">, </w:t>
      </w:r>
      <w:r>
        <w:rPr>
          <w:rtl w:val="true"/>
        </w:rPr>
        <w:t>ברחו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בהתאמה</w:t>
      </w:r>
      <w:r>
        <w:rPr>
          <w:rtl w:val="true"/>
        </w:rPr>
        <w:t xml:space="preserve">),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הושיטו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tl w:val="true"/>
        </w:rPr>
        <w:t xml:space="preserve">. </w:t>
      </w:r>
      <w:r>
        <w:rPr>
          <w:rtl w:val="true"/>
        </w:rPr>
        <w:t>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הוזעקו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אביו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א</w:t>
      </w:r>
      <w:r>
        <w:rPr>
          <w:rFonts w:cs="Miriam"/>
          <w:spacing w:val="0"/>
          <w:szCs w:val="24"/>
          <w:rtl w:val="true"/>
        </w:rPr>
        <w:t>'</w:t>
      </w:r>
      <w:r>
        <w:rPr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358</w:t>
      </w:r>
      <w:r>
        <w:rPr>
          <w:rtl w:val="true"/>
        </w:rPr>
        <w:t>);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ט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"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מנוסתם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לבוש</w:t>
      </w:r>
      <w:r>
        <w:rPr>
          <w:rtl w:val="true"/>
        </w:rPr>
        <w:t xml:space="preserve">, </w:t>
      </w:r>
      <w:r>
        <w:rPr>
          <w:rtl w:val="true"/>
        </w:rPr>
        <w:t>ולמצער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בדם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361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שעלאא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לשוד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השותפות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1"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מהטעמים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375</w:t>
      </w:r>
      <w:r>
        <w:rPr>
          <w:rtl w:val="true"/>
        </w:rPr>
        <w:t>):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משהצטרף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בשיתוף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שהונחתו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להחלשתו</w:t>
      </w:r>
      <w:r>
        <w:rPr>
          <w:rtl w:val="true"/>
        </w:rPr>
        <w:t xml:space="preserve">, </w:t>
      </w:r>
      <w:r>
        <w:rPr>
          <w:rtl w:val="true"/>
        </w:rPr>
        <w:t>להפלתו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...</w:t>
      </w:r>
      <w:r>
        <w:rPr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התיישב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כשהנאשם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לידו</w:t>
      </w:r>
      <w:r>
        <w:rPr>
          <w:rtl w:val="true"/>
        </w:rPr>
        <w:t xml:space="preserve">. </w:t>
      </w:r>
      <w:r>
        <w:rPr>
          <w:rtl w:val="true"/>
        </w:rPr>
        <w:t>הזדהותו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ופעולותו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מוצאת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מזרן</w:t>
      </w:r>
      <w:r>
        <w:rPr>
          <w:rtl w:val="true"/>
        </w:rPr>
        <w:t xml:space="preserve">, </w:t>
      </w:r>
      <w:r>
        <w:rPr>
          <w:rtl w:val="true"/>
        </w:rPr>
        <w:t>נמלט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שהזעיק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ההצלה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מותו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עלאא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) </w:t>
      </w:r>
      <w:r>
        <w:rPr>
          <w:rtl w:val="true"/>
        </w:rPr>
        <w:t>לגרימת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377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השופט </w:t>
      </w:r>
      <w:r>
        <w:rPr>
          <w:rFonts w:cs="Miriam"/>
          <w:spacing w:val="0"/>
          <w:szCs w:val="24"/>
          <w:rtl w:val="true"/>
        </w:rPr>
        <w:t>פינקלשטיין</w:t>
      </w:r>
      <w:r>
        <w:rPr>
          <w:rtl w:val="true"/>
        </w:rPr>
        <w:t xml:space="preserve"> הסכים לחוות דעתה של השופטת </w:t>
      </w:r>
      <w:r>
        <w:rPr>
          <w:rFonts w:cs="Miriam"/>
          <w:spacing w:val="0"/>
          <w:szCs w:val="24"/>
          <w:rtl w:val="true"/>
        </w:rPr>
        <w:t>ברודי</w:t>
      </w:r>
      <w:r>
        <w:rPr>
          <w:rtl w:val="true"/>
        </w:rPr>
        <w:t xml:space="preserve"> ותמה מדוע שני המערערים נשפטו בנפרד</w:t>
      </w:r>
      <w:r>
        <w:rPr>
          <w:rtl w:val="true"/>
        </w:rPr>
        <w:t xml:space="preserve">, </w:t>
      </w:r>
      <w:r>
        <w:rPr>
          <w:rtl w:val="true"/>
        </w:rPr>
        <w:t>ומדוע לא יוחסה להם עבירה חלופית של רצח בכוונה תחילה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בהתחשב בכך ששניהם הפעילו יחדיו </w:t>
      </w:r>
      <w:r>
        <w:rPr>
          <w:rtl w:val="true"/>
        </w:rPr>
        <w:t>"</w:t>
      </w:r>
      <w:r>
        <w:rPr>
          <w:rtl w:val="true"/>
        </w:rPr>
        <w:t>אלימות קשה ואכזרית</w:t>
      </w:r>
      <w:r>
        <w:rPr>
          <w:rtl w:val="true"/>
        </w:rPr>
        <w:t xml:space="preserve">" </w:t>
      </w:r>
      <w:r>
        <w:rPr>
          <w:rtl w:val="true"/>
        </w:rPr>
        <w:t xml:space="preserve">כלפי המנוח וגרמו לו חבלות קשות </w:t>
      </w:r>
      <w:r>
        <w:rPr>
          <w:rtl w:val="true"/>
        </w:rPr>
        <w:t>(</w:t>
      </w:r>
      <w:r>
        <w:rPr>
          <w:rtl w:val="true"/>
        </w:rPr>
        <w:t>פסקה ב לחוות דעתו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אמיר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הסתברויות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</w:t>
      </w:r>
      <w:r>
        <w:rPr>
          <w:rtl w:val="true"/>
        </w:rPr>
        <w:t xml:space="preserve">, </w:t>
      </w:r>
      <w:r>
        <w:rPr>
          <w:rtl w:val="true"/>
        </w:rPr>
        <w:t>ושבדרך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העין</w:t>
      </w:r>
      <w:r>
        <w:rPr>
          <w:rtl w:val="true"/>
        </w:rPr>
        <w:t xml:space="preserve">, </w:t>
      </w:r>
      <w:r>
        <w:rPr>
          <w:rtl w:val="true"/>
        </w:rPr>
        <w:t>שגרמה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במישרין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. </w:t>
      </w:r>
      <w:r>
        <w:rPr>
          <w:rtl w:val="true"/>
        </w:rPr>
        <w:t>הדגשות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א</w:t>
      </w:r>
      <w:r>
        <w:rPr>
          <w:rFonts w:cs="Miriam"/>
          <w:spacing w:val="0"/>
          <w:szCs w:val="24"/>
          <w:rtl w:val="true"/>
        </w:rPr>
        <w:t>'</w:t>
      </w:r>
      <w:r>
        <w:rPr>
          <w:rtl w:val="true"/>
        </w:rPr>
        <w:t xml:space="preserve">), </w:t>
      </w:r>
      <w:r>
        <w:rPr>
          <w:rtl w:val="true"/>
        </w:rPr>
        <w:t>והחיל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השותפות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עלאא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שלדעתו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עלאא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בבואו לגזור עונש לעלאא עמד בית המשפט המחוזי על תסקיר נפגעי עבירה שהוגש בהתייחס למשפחת המנוח</w:t>
      </w:r>
      <w:r>
        <w:rPr>
          <w:rtl w:val="true"/>
        </w:rPr>
        <w:t xml:space="preserve">, </w:t>
      </w:r>
      <w:r>
        <w:rPr>
          <w:rtl w:val="true"/>
        </w:rPr>
        <w:t>וציין כי עולים ממנו תכונותיו הטובות של המנוח והנזקים שנגרמו למשפחתו בכלל ולכל אחד מבניה בפרט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המוגן</w:t>
      </w:r>
      <w:r>
        <w:rPr>
          <w:rtl w:val="true"/>
        </w:rPr>
        <w:t xml:space="preserve">, </w:t>
      </w:r>
      <w:r>
        <w:rPr>
          <w:rtl w:val="true"/>
        </w:rPr>
        <w:t>קדושת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;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;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עלאא</w:t>
      </w:r>
      <w:r>
        <w:rPr>
          <w:rtl w:val="true"/>
        </w:rPr>
        <w:t xml:space="preserve">, </w:t>
      </w:r>
      <w:r>
        <w:rPr>
          <w:rtl w:val="true"/>
        </w:rPr>
        <w:t>שגילה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"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לגורל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; </w:t>
      </w:r>
      <w:r>
        <w:rPr>
          <w:rtl w:val="true"/>
        </w:rPr>
        <w:t>והאכזריות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עלאא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: </w:t>
      </w:r>
      <w:r>
        <w:rPr>
          <w:rtl w:val="true"/>
        </w:rPr>
        <w:t>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;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תושבי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הפלסטינית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; </w:t>
      </w:r>
      <w:r>
        <w:rPr>
          <w:rtl w:val="true"/>
        </w:rPr>
        <w:t>העלאת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; </w:t>
      </w:r>
      <w:r>
        <w:rPr>
          <w:rtl w:val="true"/>
        </w:rPr>
        <w:t>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עלאא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במחצית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",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ולהטיל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עלאא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180,000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משפטו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 הודה בכך שמות המנוח נגרם במהלך ביצוע עבירת שוד או כדי להקל על ביצועה</w:t>
      </w:r>
      <w:r>
        <w:rPr>
          <w:rtl w:val="true"/>
        </w:rPr>
        <w:t xml:space="preserve">, </w:t>
      </w:r>
      <w:r>
        <w:rPr>
          <w:rtl w:val="true"/>
        </w:rPr>
        <w:t xml:space="preserve">אולם טען כי את המוות גרם עלאא </w:t>
      </w:r>
      <w:r>
        <w:rPr>
          <w:rtl w:val="true"/>
        </w:rPr>
        <w:t>(</w:t>
      </w:r>
      <w:r>
        <w:rPr>
          <w:rtl w:val="true"/>
        </w:rPr>
        <w:t xml:space="preserve">ראו פסקה </w:t>
      </w:r>
      <w:r>
        <w:rPr/>
        <w:t>43</w:t>
      </w:r>
      <w:r>
        <w:rPr>
          <w:rtl w:val="true"/>
        </w:rPr>
        <w:t xml:space="preserve"> </w:t>
      </w:r>
      <w:r>
        <w:rPr>
          <w:rtl w:val="true"/>
        </w:rPr>
        <w:t>לפסק הדין</w:t>
      </w:r>
      <w:r>
        <w:rPr>
          <w:rtl w:val="true"/>
        </w:rPr>
        <w:t xml:space="preserve">). </w:t>
      </w:r>
      <w:r>
        <w:rPr>
          <w:rtl w:val="true"/>
        </w:rPr>
        <w:t xml:space="preserve">בית המשפט המחוזי </w:t>
      </w:r>
      <w:r>
        <w:rPr>
          <w:rtl w:val="true"/>
        </w:rPr>
        <w:t>(</w:t>
      </w:r>
      <w:r>
        <w:rPr>
          <w:rtl w:val="true"/>
        </w:rPr>
        <w:t xml:space="preserve">מפי השופט </w:t>
      </w:r>
      <w:r>
        <w:rPr>
          <w:rFonts w:cs="Miriam"/>
          <w:spacing w:val="0"/>
          <w:szCs w:val="24"/>
          <w:rtl w:val="true"/>
        </w:rPr>
        <w:t>דותן</w:t>
      </w:r>
      <w:r>
        <w:rPr>
          <w:rtl w:val="true"/>
        </w:rPr>
        <w:t xml:space="preserve">, </w:t>
      </w:r>
      <w:r>
        <w:rPr>
          <w:rtl w:val="true"/>
        </w:rPr>
        <w:t xml:space="preserve">בהסכמת השופטות </w:t>
      </w:r>
      <w:r>
        <w:rPr>
          <w:rFonts w:cs="Miriam"/>
          <w:spacing w:val="0"/>
          <w:szCs w:val="24"/>
          <w:rtl w:val="true"/>
        </w:rPr>
        <w:t>לורך</w:t>
      </w:r>
      <w:r>
        <w:rPr>
          <w:rtl w:val="true"/>
        </w:rPr>
        <w:t xml:space="preserve"> ו</w:t>
      </w:r>
      <w:r>
        <w:rPr>
          <w:rFonts w:cs="Miriam"/>
          <w:spacing w:val="0"/>
          <w:szCs w:val="24"/>
          <w:rtl w:val="true"/>
        </w:rPr>
        <w:t>עטר</w:t>
      </w:r>
      <w:r>
        <w:rPr>
          <w:rtl w:val="true"/>
        </w:rPr>
        <w:t xml:space="preserve">) </w:t>
      </w:r>
      <w:r>
        <w:rPr>
          <w:rtl w:val="true"/>
        </w:rPr>
        <w:t>הרשיע את מוג</w:t>
      </w:r>
      <w:r>
        <w:rPr>
          <w:rtl w:val="true"/>
        </w:rPr>
        <w:t>'</w:t>
      </w:r>
      <w:r>
        <w:rPr>
          <w:rtl w:val="true"/>
        </w:rPr>
        <w:t>אהד כמבצע בצוותא של עבירת הרצח שיוחסה לו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tl w:val="true"/>
        </w:rPr>
        <w:t xml:space="preserve">, </w:t>
      </w:r>
      <w:r>
        <w:rPr>
          <w:rtl w:val="true"/>
        </w:rPr>
        <w:t>והביאו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</w:t>
      </w:r>
      <w:r>
        <w:rPr>
          <w:rtl w:val="true"/>
        </w:rPr>
        <w:t>/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שנמצאו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א</w:t>
      </w:r>
      <w:r>
        <w:rPr>
          <w:rFonts w:cs="Miriam"/>
          <w:spacing w:val="0"/>
          <w:szCs w:val="24"/>
          <w:rtl w:val="true"/>
        </w:rPr>
        <w:t>'</w:t>
      </w:r>
      <w:r>
        <w:rPr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>המתיישבים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מוארך</w:t>
      </w:r>
      <w:r>
        <w:rPr>
          <w:rtl w:val="true"/>
        </w:rPr>
        <w:t>'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פורמן</w:t>
      </w:r>
      <w:r>
        <w:rPr>
          <w:rtl w:val="true"/>
        </w:rPr>
        <w:t>-</w:t>
      </w:r>
      <w:r>
        <w:rPr>
          <w:rtl w:val="true"/>
        </w:rPr>
        <w:t>רזניק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31</w:t>
      </w:r>
      <w:r>
        <w:rPr>
          <w:rtl w:val="true"/>
        </w:rPr>
        <w:t>);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tl w:val="true"/>
        </w:rPr>
        <w:t xml:space="preserve">, </w:t>
      </w:r>
      <w:r>
        <w:rPr>
          <w:rtl w:val="true"/>
        </w:rPr>
        <w:t>ושמותו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33</w:t>
      </w:r>
      <w:r>
        <w:rPr>
          <w:rtl w:val="true"/>
        </w:rPr>
        <w:t>);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הגירסה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בזירה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),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מהמבצעים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40</w:t>
      </w:r>
      <w:r>
        <w:rPr>
          <w:rtl w:val="true"/>
        </w:rPr>
        <w:t>);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א</w:t>
      </w:r>
      <w:r>
        <w:rPr>
          <w:rFonts w:cs="Miriam"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במקל</w:t>
      </w:r>
      <w:r>
        <w:rPr>
          <w:rtl w:val="true"/>
        </w:rPr>
        <w:t xml:space="preserve">, </w:t>
      </w:r>
      <w:r>
        <w:rPr>
          <w:rtl w:val="true"/>
        </w:rPr>
        <w:t>והכה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", </w:t>
      </w:r>
      <w:r>
        <w:rPr>
          <w:rtl w:val="true"/>
        </w:rPr>
        <w:t>ומשום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עלאא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42</w:t>
      </w:r>
      <w:r>
        <w:rPr>
          <w:rtl w:val="true"/>
        </w:rPr>
        <w:t>);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הפנימי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ותרם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להגשמתה</w:t>
      </w:r>
      <w:r>
        <w:rPr>
          <w:rtl w:val="true"/>
        </w:rPr>
        <w:t xml:space="preserve">.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עלאא</w:t>
      </w:r>
      <w:r>
        <w:rPr>
          <w:rtl w:val="true"/>
        </w:rPr>
        <w:t xml:space="preserve">, </w:t>
      </w:r>
      <w:r>
        <w:rPr>
          <w:rtl w:val="true"/>
        </w:rPr>
        <w:t>ובהשארתו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מדמם</w:t>
      </w:r>
      <w:r>
        <w:rPr>
          <w:rtl w:val="true"/>
        </w:rPr>
        <w:t xml:space="preserve">, </w:t>
      </w:r>
      <w:r>
        <w:rPr>
          <w:rtl w:val="true"/>
        </w:rPr>
        <w:t>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חסום</w:t>
      </w:r>
      <w:r>
        <w:rPr>
          <w:rtl w:val="true"/>
        </w:rPr>
        <w:t xml:space="preserve">, </w:t>
      </w:r>
      <w:r>
        <w:rPr>
          <w:rtl w:val="true"/>
        </w:rPr>
        <w:t>ומזרן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להזעיק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50</w:t>
      </w:r>
      <w:r>
        <w:rPr>
          <w:rtl w:val="true"/>
        </w:rPr>
        <w:t>);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, </w:t>
      </w:r>
      <w:r>
        <w:rPr>
          <w:rtl w:val="true"/>
        </w:rPr>
        <w:t>לנסיבה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52</w:t>
      </w:r>
      <w:r>
        <w:rPr>
          <w:rtl w:val="true"/>
        </w:rPr>
        <w:t xml:space="preserve">) </w:t>
      </w:r>
      <w:r>
        <w:rPr>
          <w:rtl w:val="true"/>
        </w:rPr>
        <w:t>ולאפשרות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הטבעיות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56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/>
        <w:t>57</w:t>
      </w:r>
      <w:r>
        <w:rPr>
          <w:rtl w:val="true"/>
        </w:rPr>
        <w:t xml:space="preserve">), </w:t>
      </w:r>
      <w:r>
        <w:rPr>
          <w:rtl w:val="true"/>
        </w:rPr>
        <w:t>והיה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פזיזות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57</w:t>
      </w:r>
      <w:r>
        <w:rPr>
          <w:rtl w:val="true"/>
        </w:rPr>
        <w:t>);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עלאא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מהתוכנית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השותפים</w:t>
      </w:r>
      <w:r>
        <w:rPr>
          <w:rtl w:val="true"/>
        </w:rPr>
        <w:t xml:space="preserve">,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שידרוג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שחל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59</w:t>
      </w:r>
      <w:r>
        <w:rPr>
          <w:rtl w:val="true"/>
        </w:rPr>
        <w:t>);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ח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61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ההרשעה ברצח גררה עונש מאסר עולם חובה</w:t>
      </w:r>
      <w:r>
        <w:rPr>
          <w:rtl w:val="true"/>
        </w:rPr>
        <w:t xml:space="preserve">, </w:t>
      </w:r>
      <w:r>
        <w:rPr>
          <w:rtl w:val="true"/>
        </w:rPr>
        <w:t>כפי שהיה קבוע אז בחוק</w:t>
      </w:r>
      <w:r>
        <w:rPr>
          <w:rtl w:val="true"/>
        </w:rPr>
        <w:t xml:space="preserve">, </w:t>
      </w:r>
      <w:r>
        <w:rPr>
          <w:rtl w:val="true"/>
        </w:rPr>
        <w:t>ובגזר דינו דן בית המשפט המחוזי רק בשאלת הפיצוי לבני משפחת המנוח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עלאא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החוקים</w:t>
      </w:r>
      <w:r>
        <w:rPr>
          <w:rtl w:val="true"/>
        </w:rPr>
        <w:t xml:space="preserve">", </w:t>
      </w:r>
      <w:r>
        <w:rPr>
          <w:rtl w:val="true"/>
        </w:rPr>
        <w:t>באכזריות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" </w:t>
      </w:r>
      <w:r>
        <w:rPr>
          <w:rtl w:val="true"/>
        </w:rPr>
        <w:t>למשפחה</w:t>
      </w:r>
      <w:r>
        <w:rPr>
          <w:rtl w:val="true"/>
        </w:rPr>
        <w:t xml:space="preserve">, </w:t>
      </w:r>
      <w:r>
        <w:rPr>
          <w:rtl w:val="true"/>
        </w:rPr>
        <w:t>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;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130,000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 xml:space="preserve">', </w:t>
      </w:r>
      <w:r>
        <w:rPr>
          <w:rtl w:val="true"/>
        </w:rPr>
        <w:t>שנזקה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לאחיה</w:t>
      </w:r>
      <w:r>
        <w:rPr>
          <w:rtl w:val="true"/>
        </w:rPr>
        <w:t xml:space="preserve">;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22,000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מארבעת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הכרעות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במשפטי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השוואה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בטרם אפרט את טענות המערערים לפנינו</w:t>
      </w:r>
      <w:r>
        <w:rPr>
          <w:rtl w:val="true"/>
        </w:rPr>
        <w:t xml:space="preserve">, </w:t>
      </w:r>
      <w:r>
        <w:rPr>
          <w:rtl w:val="true"/>
        </w:rPr>
        <w:t>אסכם את ההכרעות העובדתיות העיקריות בשני פסקי הדין</w:t>
      </w:r>
      <w:r>
        <w:rPr>
          <w:rtl w:val="true"/>
        </w:rPr>
        <w:t xml:space="preserve">, </w:t>
      </w:r>
      <w:r>
        <w:rPr>
          <w:rtl w:val="true"/>
        </w:rPr>
        <w:t>על הדומה והשונה ביניהן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Fonts w:cs="Miriam"/>
          <w:spacing w:val="0"/>
          <w:szCs w:val="24"/>
          <w:rtl w:val="true"/>
        </w:rPr>
        <w:t>האם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התבצע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במשפטו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עלאא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לשוד</w:t>
      </w:r>
      <w:r>
        <w:rPr>
          <w:rtl w:val="true"/>
        </w:rPr>
        <w:t xml:space="preserve">. </w:t>
      </w:r>
      <w:r>
        <w:rPr>
          <w:rtl w:val="true"/>
        </w:rPr>
        <w:t>יובהר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עלאא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Fonts w:cs="Miriam"/>
          <w:spacing w:val="0"/>
          <w:szCs w:val="24"/>
          <w:rtl w:val="true"/>
        </w:rPr>
        <w:t>מה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גרם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למות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עלאא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 xml:space="preserve">: </w:t>
      </w:r>
      <w:r>
        <w:rPr>
          <w:rtl w:val="true"/>
        </w:rPr>
        <w:t>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העין</w:t>
      </w:r>
      <w:r>
        <w:rPr>
          <w:rtl w:val="true"/>
        </w:rPr>
        <w:t xml:space="preserve">;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בקרקפת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ברודי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" </w:t>
      </w:r>
      <w:r>
        <w:rPr>
          <w:rtl w:val="true"/>
        </w:rPr>
        <w:t>למנוח</w:t>
      </w:r>
      <w:r>
        <w:rPr>
          <w:rtl w:val="true"/>
        </w:rPr>
        <w:t xml:space="preserve">, </w:t>
      </w:r>
      <w:r>
        <w:rPr>
          <w:rtl w:val="true"/>
        </w:rPr>
        <w:t>ולצד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אמיר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הרפואית</w:t>
      </w:r>
      <w:r>
        <w:rPr>
          <w:rtl w:val="true"/>
        </w:rPr>
        <w:t xml:space="preserve">",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פינקלשטיין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ברודי</w:t>
      </w:r>
      <w:r>
        <w:rPr>
          <w:rtl w:val="true"/>
        </w:rPr>
        <w:t xml:space="preserve">) </w:t>
      </w:r>
      <w:r>
        <w:rPr>
          <w:rtl w:val="true"/>
        </w:rPr>
        <w:t>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הונחתה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במשפטו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tl w:val="true"/>
        </w:rPr>
        <w:t xml:space="preserve">, </w:t>
      </w:r>
      <w:r>
        <w:rPr>
          <w:rtl w:val="true"/>
        </w:rPr>
        <w:t>ונקבע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מקלות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Fonts w:cs="Miriam"/>
          <w:spacing w:val="0"/>
          <w:szCs w:val="24"/>
          <w:rtl w:val="true"/>
        </w:rPr>
        <w:t>מי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הנחית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על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המנוח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את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המכה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הקטלנית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עלאא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ובאשר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tl w:val="true"/>
        </w:rPr>
        <w:t xml:space="preserve">).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במשפטו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במקל</w:t>
      </w:r>
      <w:r>
        <w:rPr>
          <w:rtl w:val="true"/>
        </w:rPr>
        <w:t xml:space="preserve">)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Fonts w:cs="Miriam"/>
          <w:spacing w:val="0"/>
          <w:szCs w:val="24"/>
          <w:rtl w:val="true"/>
        </w:rPr>
        <w:t>הפעילות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המשותפת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של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עלאא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בידיהם</w:t>
      </w:r>
      <w:r>
        <w:rPr>
          <w:rtl w:val="true"/>
        </w:rPr>
        <w:t xml:space="preserve">, </w:t>
      </w:r>
      <w:r>
        <w:rPr>
          <w:rtl w:val="true"/>
        </w:rPr>
        <w:t>ברגליהם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ובמקל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בהיבט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" </w:t>
      </w:r>
      <w:r>
        <w:rPr>
          <w:rtl w:val="true"/>
        </w:rPr>
        <w:t>שניהם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שהופעלה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הפעולה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Fonts w:cs="Miriam"/>
          <w:spacing w:val="0"/>
          <w:szCs w:val="24"/>
          <w:rtl w:val="true"/>
        </w:rPr>
        <w:t>הבריחה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מהמקום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להושיט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סיכום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ההבדל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למוות</w:t>
      </w:r>
      <w:r>
        <w:rPr>
          <w:rtl w:val="true"/>
        </w:rPr>
        <w:t xml:space="preserve">. </w:t>
      </w:r>
      <w:r>
        <w:rPr>
          <w:rtl w:val="true"/>
        </w:rPr>
        <w:t>במשפטו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עלאא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במקל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עלאא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היס</w:t>
      </w:r>
      <w:r>
        <w:rPr>
          <w:rtl w:val="true"/>
        </w:rPr>
        <w:t xml:space="preserve">. </w:t>
      </w:r>
      <w:r>
        <w:rPr>
          <w:rtl w:val="true"/>
        </w:rPr>
        <w:t>הואיל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ההרכבים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ואפנה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הטענות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בערעורים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הדין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עלאא מבקש לזכותו מעבירת ההריגה שהורשע בה</w:t>
      </w:r>
      <w:r>
        <w:rPr>
          <w:rtl w:val="true"/>
        </w:rPr>
        <w:t xml:space="preserve">, </w:t>
      </w:r>
      <w:r>
        <w:rPr>
          <w:rtl w:val="true"/>
        </w:rPr>
        <w:t>בשל כמה טעמים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ולהורגו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מנשיכתו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המינורית</w:t>
      </w:r>
      <w:r>
        <w:rPr>
          <w:rtl w:val="true"/>
        </w:rPr>
        <w:t xml:space="preserve">", </w:t>
      </w:r>
      <w:r>
        <w:rPr>
          <w:rtl w:val="true"/>
        </w:rPr>
        <w:t>כהגדרת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שהפעיל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קטלנית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למוות</w:t>
      </w:r>
      <w:r>
        <w:rPr>
          <w:rtl w:val="true"/>
        </w:rPr>
        <w:t xml:space="preserve">. </w:t>
      </w:r>
      <w:r>
        <w:rPr>
          <w:rtl w:val="true"/>
        </w:rPr>
        <w:t>מטעמים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עלאא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התרחשותה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עלאא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הפנימי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 טוען כי יש לזכותו מעבירת רצח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נזכרו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ההנחות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ועלאא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;Arial" w:cs="Arial TUR;Arial"/>
          <w:rtl w:val="true"/>
        </w:rPr>
        <w:t xml:space="preserve"> </w:t>
      </w:r>
      <w:hyperlink r:id="rId33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שנחקקה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ושמקבילה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עלאא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עלאא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המשיבה סבורה כי יש לדחות את שני הערעורים</w:t>
      </w:r>
      <w:r>
        <w:rPr>
          <w:rtl w:val="true"/>
        </w:rPr>
        <w:t xml:space="preserve">, </w:t>
      </w:r>
      <w:r>
        <w:rPr>
          <w:rtl w:val="true"/>
        </w:rPr>
        <w:t>בעיקר בהסתמך על פסקי דינם של שני ההרכבים בבית המשפט המחוזי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tl w:val="true"/>
        </w:rPr>
        <w:t xml:space="preserve">,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בבירור</w:t>
      </w:r>
      <w:r>
        <w:rPr>
          <w:rtl w:val="true"/>
        </w:rPr>
        <w:t xml:space="preserve">"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",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בדינו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שיצדיקו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במהלך הדיון בעל פה הערנו הערות שונות ובסיומו הצענו למערערים לשקול את עמדתם</w:t>
      </w:r>
      <w:r>
        <w:rPr>
          <w:rtl w:val="true"/>
        </w:rPr>
        <w:t xml:space="preserve">. </w:t>
      </w:r>
      <w:r>
        <w:rPr>
          <w:rtl w:val="true"/>
        </w:rPr>
        <w:t>לאחר שהודיעו לנו כי הם עומדים עליה</w:t>
      </w:r>
      <w:r>
        <w:rPr>
          <w:rtl w:val="true"/>
        </w:rPr>
        <w:t xml:space="preserve">, </w:t>
      </w:r>
      <w:r>
        <w:rPr>
          <w:rtl w:val="true"/>
        </w:rPr>
        <w:t>הגיעה עת ההכרעה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דיון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והכרעה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נימוקיהם המפורטים של המערערים עוסקים בחלקם בהתערבות בממצאי עובדה ומהימנות של המותבים שדנו במשפטיהם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ערכאת הערעור אינה מתערבת בממצאים מסוג זה</w:t>
      </w:r>
      <w:r>
        <w:rPr>
          <w:rtl w:val="true"/>
        </w:rPr>
        <w:t xml:space="preserve">, </w:t>
      </w:r>
      <w:r>
        <w:rPr>
          <w:rtl w:val="true"/>
        </w:rPr>
        <w:t>אלא במקרים חריגים בלבד</w:t>
      </w:r>
      <w:r>
        <w:rPr>
          <w:rtl w:val="true"/>
        </w:rPr>
        <w:t xml:space="preserve">. </w:t>
      </w:r>
      <w:r>
        <w:rPr>
          <w:rtl w:val="true"/>
        </w:rPr>
        <w:t>כלל זה נכון גם לקביעות המבוססות על חוות דעת מקצועיות</w:t>
      </w:r>
      <w:r>
        <w:rPr>
          <w:rtl w:val="true"/>
        </w:rPr>
        <w:t xml:space="preserve">, </w:t>
      </w:r>
      <w:r>
        <w:rPr>
          <w:rtl w:val="true"/>
        </w:rPr>
        <w:t xml:space="preserve">ובפרט אם עורכיהן העידו בערכאה הדיונית </w:t>
      </w:r>
      <w:r>
        <w:rPr>
          <w:rtl w:val="true"/>
        </w:rPr>
        <w:t>(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9284/17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חורש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(</w:t>
      </w:r>
      <w:r>
        <w:rPr/>
        <w:t>5.3.2020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והמסד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לפניו</w:t>
      </w:r>
      <w:r>
        <w:rPr>
          <w:rtl w:val="true"/>
        </w:rPr>
        <w:t xml:space="preserve">, </w:t>
      </w:r>
      <w:r>
        <w:rPr>
          <w:rtl w:val="true"/>
        </w:rPr>
        <w:t>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והניחו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התערבותנו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בשני המשפטים בבית המשפט המחוזי נקבעה קביעה ברורה שלפיה המערערים נקטו יחדיו אלימות כלפי המנוח</w:t>
      </w:r>
      <w:r>
        <w:rPr>
          <w:rtl w:val="true"/>
        </w:rPr>
        <w:t xml:space="preserve">, </w:t>
      </w:r>
      <w:r>
        <w:rPr>
          <w:rtl w:val="true"/>
        </w:rPr>
        <w:t>וזו הביאה למותו</w:t>
      </w:r>
      <w:r>
        <w:rPr>
          <w:rtl w:val="true"/>
        </w:rPr>
        <w:t xml:space="preserve">. </w:t>
      </w:r>
      <w:r>
        <w:rPr>
          <w:rtl w:val="true"/>
        </w:rPr>
        <w:t>החבירה המשותפת להכות את המנוח אינה חייבת להיות פרי של תכנון מוקדם ומדוקדק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 xml:space="preserve">ביצוע בצוותא עשוי להתקיים גם בעקבות </w:t>
      </w:r>
      <w:r>
        <w:rPr>
          <w:rtl w:val="true"/>
        </w:rPr>
        <w:t>"</w:t>
      </w:r>
      <w:r>
        <w:rPr>
          <w:rtl w:val="true"/>
        </w:rPr>
        <w:t>חבירה ספונטנית</w:t>
      </w:r>
      <w:r>
        <w:rPr>
          <w:rtl w:val="true"/>
        </w:rPr>
        <w:t>" (</w:t>
      </w:r>
      <w:r>
        <w:rPr>
          <w:rtl w:val="true"/>
        </w:rPr>
        <w:t xml:space="preserve">ראו לאחרונה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954/17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אבו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עראר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36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/>
        <w:t>38</w:t>
      </w:r>
      <w:r>
        <w:rPr>
          <w:rtl w:val="true"/>
        </w:rPr>
        <w:t xml:space="preserve"> (</w:t>
      </w:r>
      <w:r>
        <w:rPr/>
        <w:t>10.6.2019</w:t>
      </w:r>
      <w:r>
        <w:rPr>
          <w:rtl w:val="true"/>
        </w:rPr>
        <w:t xml:space="preserve">), </w:t>
      </w:r>
      <w:r>
        <w:rPr>
          <w:rtl w:val="true"/>
        </w:rPr>
        <w:t xml:space="preserve">מפי חברי השופט </w:t>
      </w:r>
      <w:r>
        <w:rPr>
          <w:rFonts w:cs="Miriam"/>
          <w:spacing w:val="0"/>
          <w:szCs w:val="24"/>
          <w:rtl w:val="true"/>
        </w:rPr>
        <w:t>א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שטיין</w:t>
      </w:r>
      <w:r>
        <w:rPr>
          <w:rtl w:val="true"/>
        </w:rPr>
        <w:t xml:space="preserve">;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2648/18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פלוני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23</w:t>
      </w:r>
      <w:r>
        <w:rPr>
          <w:rtl w:val="true"/>
        </w:rPr>
        <w:t xml:space="preserve">, </w:t>
      </w:r>
      <w:r>
        <w:rPr/>
        <w:t>25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המשנה לנשיאה </w:t>
      </w:r>
      <w:r>
        <w:rPr>
          <w:rFonts w:cs="Miriam"/>
          <w:spacing w:val="0"/>
          <w:szCs w:val="24"/>
          <w:rtl w:val="true"/>
        </w:rPr>
        <w:t>ח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מלצר</w:t>
      </w:r>
      <w:r>
        <w:rPr>
          <w:rtl w:val="true"/>
        </w:rPr>
        <w:t xml:space="preserve"> ופסקאות </w:t>
      </w:r>
      <w:r>
        <w:rPr/>
        <w:t>3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דעתי </w:t>
      </w:r>
      <w:r>
        <w:rPr>
          <w:rtl w:val="true"/>
        </w:rPr>
        <w:t>(</w:t>
      </w:r>
      <w:r>
        <w:rPr/>
        <w:t>19.3.2020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spacing w:val="0"/>
          <w:szCs w:val="24"/>
          <w:rtl w:val="true"/>
        </w:rPr>
        <w:t>ע</w:t>
      </w:r>
      <w:r>
        <w:rPr>
          <w:rFonts w:cs="Miriam"/>
          <w:spacing w:val="0"/>
          <w:szCs w:val="24"/>
          <w:rtl w:val="true"/>
        </w:rPr>
        <w:t>"</w:t>
      </w:r>
      <w:r>
        <w:rPr>
          <w:rFonts w:cs="Miriam"/>
          <w:spacing w:val="0"/>
          <w:szCs w:val="24"/>
          <w:rtl w:val="true"/>
        </w:rPr>
        <w:t>פ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פלוני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שייחשבו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למבצעים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  <w:r>
        <w:rPr>
          <w:rtl w:val="true"/>
        </w:rPr>
        <w:t>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, </w:t>
      </w:r>
      <w:r>
        <w:rPr>
          <w:rtl w:val="true"/>
        </w:rPr>
        <w:t>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, </w:t>
      </w:r>
      <w:r>
        <w:rPr>
          <w:rtl w:val="true"/>
        </w:rPr>
        <w:t>ובתום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והותירו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מדמם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ומזרן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הזעקת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וריבוים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ימות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זניחת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תקיפתו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כראוי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למערערים</w:t>
      </w:r>
      <w:r>
        <w:rPr>
          <w:rtl w:val="true"/>
        </w:rPr>
        <w:t xml:space="preserve">, </w:t>
      </w:r>
      <w:r>
        <w:rPr>
          <w:rtl w:val="true"/>
        </w:rPr>
        <w:t>ולכל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העין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שבגופו</w:t>
      </w:r>
      <w:r>
        <w:rPr>
          <w:rtl w:val="true"/>
        </w:rPr>
        <w:t xml:space="preserve">, </w:t>
      </w:r>
      <w:r>
        <w:rPr>
          <w:rtl w:val="true"/>
        </w:rPr>
        <w:t>ותוצאה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טבעית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מוות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אלימה</w:t>
      </w:r>
      <w:r>
        <w:rPr>
          <w:rtl w:val="true"/>
        </w:rPr>
        <w:t xml:space="preserve">, </w:t>
      </w:r>
      <w:r>
        <w:rPr>
          <w:rtl w:val="true"/>
        </w:rPr>
        <w:t>ברוטלית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, </w:t>
      </w:r>
      <w:r>
        <w:rPr>
          <w:rtl w:val="true"/>
        </w:rPr>
        <w:t>וכמוה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חבול</w:t>
      </w:r>
      <w:r>
        <w:rPr>
          <w:rtl w:val="true"/>
        </w:rPr>
        <w:t xml:space="preserve">, </w:t>
      </w:r>
      <w:r>
        <w:rPr>
          <w:rtl w:val="true"/>
        </w:rPr>
        <w:t>פצוע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הותרתו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וכשמזרן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) </w:t>
      </w:r>
      <w:r>
        <w:rPr>
          <w:rtl w:val="true"/>
        </w:rPr>
        <w:t>והימנעות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לעזרה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הטבעיות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37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404/13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פלוני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בדימ</w:t>
      </w:r>
      <w:r>
        <w:rPr>
          <w:rtl w:val="true"/>
        </w:rPr>
        <w:t xml:space="preserve">') </w:t>
      </w:r>
      <w:r>
        <w:rPr>
          <w:rFonts w:cs="Miriam"/>
          <w:spacing w:val="0"/>
          <w:szCs w:val="24"/>
          <w:rtl w:val="true"/>
        </w:rPr>
        <w:t>א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גרוניס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15.4.2015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spacing w:val="0"/>
          <w:szCs w:val="24"/>
          <w:rtl w:val="true"/>
        </w:rPr>
        <w:t>דנ</w:t>
      </w:r>
      <w:r>
        <w:rPr>
          <w:rFonts w:cs="Miriam"/>
          <w:spacing w:val="0"/>
          <w:szCs w:val="24"/>
          <w:rtl w:val="true"/>
        </w:rPr>
        <w:t>"</w:t>
      </w:r>
      <w:r>
        <w:rPr>
          <w:rFonts w:cs="Miriam"/>
          <w:spacing w:val="0"/>
          <w:szCs w:val="24"/>
          <w:rtl w:val="true"/>
        </w:rPr>
        <w:t>פ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פלוני</w:t>
      </w:r>
      <w:r>
        <w:rPr>
          <w:rtl w:val="true"/>
        </w:rPr>
        <w:t xml:space="preserve">)),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באמצעות</w:t>
      </w:r>
      <w:r>
        <w:rPr>
          <w:rtl w:val="true"/>
        </w:rPr>
        <w:t xml:space="preserve">" </w:t>
      </w:r>
      <w:r>
        <w:rPr>
          <w:rtl w:val="true"/>
        </w:rPr>
        <w:t>חברו</w:t>
      </w:r>
      <w:r>
        <w:rPr>
          <w:rtl w:val="true"/>
        </w:rPr>
        <w:t xml:space="preserve">. </w:t>
      </w:r>
      <w:r>
        <w:rPr>
          <w:rtl w:val="true"/>
        </w:rPr>
        <w:t>למצער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 xml:space="preserve">. </w:t>
      </w:r>
      <w:r>
        <w:rPr>
          <w:rtl w:val="true"/>
        </w:rPr>
        <w:t>נטישת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לגורלו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לנשום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מדגימה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האדישות</w:t>
      </w:r>
      <w:r>
        <w:rPr>
          <w:rFonts w:eastAsia="Arial TUR;Arial" w:cs="Arial TUR;Arial"/>
          <w:rtl w:val="true"/>
        </w:rPr>
        <w:t xml:space="preserve"> </w:t>
      </w:r>
      <w:hyperlink r:id="rId38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הפנימי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: </w:t>
      </w:r>
      <w:r>
        <w:rPr>
          <w:rtl w:val="true"/>
        </w:rPr>
        <w:t>שניהם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 xml:space="preserve">, </w:t>
      </w:r>
      <w:r>
        <w:rPr>
          <w:rtl w:val="true"/>
        </w:rPr>
        <w:t>נטשו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ונמנעו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מלהזעיק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 xml:space="preserve">;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המשותפת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פזיזות</w:t>
      </w:r>
      <w:r>
        <w:rPr>
          <w:rtl w:val="true"/>
        </w:rPr>
        <w:t xml:space="preserve">,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בדימ</w:t>
      </w:r>
      <w:r>
        <w:rPr>
          <w:rtl w:val="true"/>
        </w:rPr>
        <w:t xml:space="preserve">') </w:t>
      </w:r>
      <w:r>
        <w:rPr>
          <w:rFonts w:cs="Miriam"/>
          <w:spacing w:val="0"/>
          <w:szCs w:val="24"/>
          <w:rtl w:val="true"/>
        </w:rPr>
        <w:t>גרוניס</w:t>
      </w:r>
      <w:r>
        <w:rPr>
          <w:rtl w:val="true"/>
        </w:rPr>
        <w:t xml:space="preserve">;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10152/17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>'</w:t>
      </w:r>
      <w:r>
        <w:rPr>
          <w:rFonts w:cs="Miriam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ח</w:t>
      </w:r>
      <w:r>
        <w:rPr>
          <w:rFonts w:cs="Miriam"/>
          <w:spacing w:val="0"/>
          <w:szCs w:val="24"/>
          <w:rtl w:val="true"/>
        </w:rPr>
        <w:t>'</w:t>
      </w:r>
      <w:r>
        <w:rPr>
          <w:rFonts w:cs="Miriam"/>
          <w:spacing w:val="0"/>
          <w:szCs w:val="24"/>
          <w:rtl w:val="true"/>
        </w:rPr>
        <w:t>טיב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(</w:t>
      </w:r>
      <w:r>
        <w:rPr/>
        <w:t>10.5.2018</w:t>
      </w:r>
      <w:r>
        <w:rPr>
          <w:rtl w:val="true"/>
        </w:rPr>
        <w:t xml:space="preserve">)). </w:t>
      </w:r>
      <w:r>
        <w:rPr>
          <w:rtl w:val="true"/>
        </w:rPr>
        <w:t>יודגש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בעלאא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אדון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שייחודיות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עלאא טען כי פעל בהגנה עצמית מפני המנוח</w:t>
      </w:r>
      <w:r>
        <w:rPr>
          <w:rtl w:val="true"/>
        </w:rPr>
        <w:t xml:space="preserve">, </w:t>
      </w:r>
      <w:r>
        <w:rPr>
          <w:rtl w:val="true"/>
        </w:rPr>
        <w:t>שנשך אותו בעת שהתגונן מפני המערערים</w:t>
      </w:r>
      <w:r>
        <w:rPr>
          <w:rtl w:val="true"/>
        </w:rPr>
        <w:t xml:space="preserve">. </w:t>
      </w:r>
      <w:r>
        <w:rPr>
          <w:rtl w:val="true"/>
        </w:rPr>
        <w:t>כבית המשפט המחוזי</w:t>
      </w:r>
      <w:r>
        <w:rPr>
          <w:rtl w:val="true"/>
        </w:rPr>
        <w:t xml:space="preserve">, </w:t>
      </w:r>
      <w:r>
        <w:rPr>
          <w:rtl w:val="true"/>
        </w:rPr>
        <w:t>איני מקבל טענה זו</w:t>
      </w:r>
      <w:r>
        <w:rPr>
          <w:rtl w:val="true"/>
        </w:rPr>
        <w:t xml:space="preserve">. </w:t>
      </w:r>
      <w:r>
        <w:rPr>
          <w:rtl w:val="true"/>
        </w:rPr>
        <w:t xml:space="preserve">גם אם התרחשה נשיכה כאמור </w:t>
      </w:r>
      <w:r>
        <w:rPr>
          <w:rtl w:val="true"/>
        </w:rPr>
        <w:t>(</w:t>
      </w:r>
      <w:r>
        <w:rPr>
          <w:rtl w:val="true"/>
        </w:rPr>
        <w:t>ואיני קובע זאת</w:t>
      </w:r>
      <w:r>
        <w:rPr>
          <w:rtl w:val="true"/>
        </w:rPr>
        <w:t xml:space="preserve">), </w:t>
      </w:r>
      <w:r>
        <w:rPr>
          <w:rtl w:val="true"/>
        </w:rPr>
        <w:t>התגובה האלימה לה הייתה חסרת מידתיות</w:t>
      </w:r>
      <w:r>
        <w:rPr>
          <w:rtl w:val="true"/>
        </w:rPr>
        <w:t xml:space="preserve">, </w:t>
      </w:r>
      <w:r>
        <w:rPr>
          <w:rtl w:val="true"/>
        </w:rPr>
        <w:t>המשיכה הרבה מעבר לנדרש והעידה כי אין ביסודה כוונה להתגונן או להפריד בין המנוח למוג</w:t>
      </w:r>
      <w:r>
        <w:rPr>
          <w:rtl w:val="true"/>
        </w:rPr>
        <w:t>'</w:t>
      </w:r>
      <w:r>
        <w:rPr>
          <w:rtl w:val="true"/>
        </w:rPr>
        <w:t xml:space="preserve">אהד </w:t>
      </w:r>
      <w:r>
        <w:rPr>
          <w:rtl w:val="true"/>
        </w:rPr>
        <w:t>(</w:t>
      </w:r>
      <w:r>
        <w:rPr>
          <w:rtl w:val="true"/>
        </w:rPr>
        <w:t>על יסודות סייג ההגנה העצמית ראו 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>
          <w:rFonts w:cs="Miriam"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המשנה לנשיאה </w:t>
      </w:r>
      <w:r>
        <w:rPr>
          <w:rFonts w:cs="Miriam"/>
          <w:spacing w:val="0"/>
          <w:szCs w:val="24"/>
          <w:rtl w:val="true"/>
        </w:rPr>
        <w:t>מלצר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 xml:space="preserve">אהד טען כי לאור 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יש לזכותו מעבירת הרצח</w:t>
      </w:r>
      <w:r>
        <w:rPr>
          <w:rtl w:val="true"/>
        </w:rPr>
        <w:t xml:space="preserve">. </w:t>
      </w:r>
      <w:r>
        <w:rPr>
          <w:rtl w:val="true"/>
        </w:rPr>
        <w:t>אף דינה של טענה זו להידחות</w:t>
      </w:r>
      <w:r>
        <w:rPr>
          <w:rtl w:val="true"/>
        </w:rPr>
        <w:t xml:space="preserve">, </w:t>
      </w:r>
      <w:r>
        <w:rPr>
          <w:rtl w:val="true"/>
        </w:rPr>
        <w:t>ולשם כך אתאר את ההשפעה האפשרית של התיקון על ענייננו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ביטל את החלופות השונות של עבירת הרצח ואת עבירת ההריגה וקבע במקומן הסדרים אחרים</w:t>
      </w:r>
      <w:r>
        <w:rPr>
          <w:rtl w:val="true"/>
        </w:rPr>
        <w:t xml:space="preserve">.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נקבעה הגדרה חדשה של רצח </w:t>
      </w:r>
      <w:hyperlink r:id="rId40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: "</w:t>
      </w:r>
      <w:r>
        <w:rPr>
          <w:rtl w:val="true"/>
        </w:rPr>
        <w:t>הגורם בכוונה או באדישות למותו של אדם</w:t>
      </w:r>
      <w:r>
        <w:rPr>
          <w:rtl w:val="true"/>
        </w:rPr>
        <w:t xml:space="preserve">, </w:t>
      </w:r>
      <w:r>
        <w:rPr>
          <w:rtl w:val="true"/>
        </w:rPr>
        <w:t xml:space="preserve">דינו </w:t>
      </w:r>
      <w:r>
        <w:rPr>
          <w:rtl w:val="true"/>
        </w:rPr>
        <w:t>–</w:t>
      </w:r>
      <w:r>
        <w:rPr>
          <w:rtl w:val="true"/>
        </w:rPr>
        <w:t xml:space="preserve"> מאסר עולם</w:t>
      </w:r>
      <w:r>
        <w:rPr>
          <w:rtl w:val="true"/>
        </w:rPr>
        <w:t xml:space="preserve">". </w:t>
      </w:r>
      <w:r>
        <w:rPr>
          <w:rtl w:val="true"/>
        </w:rPr>
        <w:t>עונש זה אינו עונש חובה</w:t>
      </w:r>
      <w:r>
        <w:rPr>
          <w:rtl w:val="true"/>
        </w:rPr>
        <w:t xml:space="preserve">, </w:t>
      </w:r>
      <w:r>
        <w:rPr>
          <w:rtl w:val="true"/>
        </w:rPr>
        <w:t xml:space="preserve">וניתן להטיל בגין העבירה מאסר </w:t>
      </w:r>
      <w:r>
        <w:rPr>
          <w:rtl w:val="true"/>
        </w:rPr>
        <w:t>"</w:t>
      </w:r>
      <w:r>
        <w:rPr>
          <w:rtl w:val="true"/>
        </w:rPr>
        <w:t>לתקופה בלתי קצובה</w:t>
      </w:r>
      <w:r>
        <w:rPr>
          <w:rtl w:val="true"/>
        </w:rPr>
        <w:t xml:space="preserve">" </w:t>
      </w:r>
      <w:r>
        <w:rPr>
          <w:rtl w:val="true"/>
        </w:rPr>
        <w:t xml:space="preserve">או לתקופה שלא תעלה על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 xml:space="preserve">שנה </w:t>
      </w:r>
      <w:r>
        <w:rPr>
          <w:rtl w:val="true"/>
        </w:rPr>
        <w:t>(</w:t>
      </w:r>
      <w:hyperlink r:id="rId4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311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לחוק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נפרדת</w:t>
      </w:r>
      <w:r>
        <w:rPr>
          <w:rtl w:val="true"/>
        </w:rPr>
        <w:t>, "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"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4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אזכיר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. </w:t>
      </w:r>
      <w:r>
        <w:rPr>
          <w:rtl w:val="true"/>
        </w:rPr>
        <w:t>ציינתי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אדישות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למנען</w:t>
      </w:r>
      <w:r>
        <w:rPr>
          <w:rtl w:val="true"/>
        </w:rPr>
        <w:t>" (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940/19</w:t>
        </w:r>
      </w:hyperlink>
      <w:r>
        <w:rPr>
          <w:rtl w:val="true"/>
        </w:rPr>
        <w:t xml:space="preserve"> </w:t>
      </w:r>
      <w:r>
        <w:rPr>
          <w:rFonts w:ascii="Garamond" w:hAnsi="Garamond" w:cs="Miriam"/>
          <w:spacing w:val="0"/>
          <w:sz w:val="24"/>
          <w:sz w:val="24"/>
          <w:szCs w:val="24"/>
          <w:rtl w:val="true"/>
        </w:rPr>
        <w:t>גרייב</w:t>
      </w:r>
      <w:r>
        <w:rPr>
          <w:rFonts w:ascii="Garamond" w:hAnsi="Garamond" w:eastAsia="Garamond" w:cs="Garamon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Garamond" w:hAnsi="Garamond"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 w:ascii="Garamond" w:hAnsi="Garamond"/>
          <w:spacing w:val="0"/>
          <w:sz w:val="24"/>
          <w:szCs w:val="24"/>
          <w:rtl w:val="true"/>
        </w:rPr>
        <w:t xml:space="preserve">' </w:t>
      </w:r>
      <w:r>
        <w:rPr>
          <w:rFonts w:ascii="Garamond" w:hAnsi="Garamond"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ascii="Garamond" w:hAnsi="Garamond" w:eastAsia="Garamond" w:cs="Garamond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Garamond" w:hAnsi="Garamond" w:cs="Miriam"/>
          <w:spacing w:val="0"/>
          <w:sz w:val="24"/>
          <w:sz w:val="24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/>
        <w:t>16</w:t>
      </w:r>
      <w:r>
        <w:rPr>
          <w:rtl w:val="true"/>
        </w:rPr>
        <w:t xml:space="preserve">, </w:t>
      </w:r>
      <w:r>
        <w:rPr/>
        <w:t>18</w:t>
      </w:r>
      <w:r>
        <w:rPr>
          <w:rtl w:val="true"/>
        </w:rPr>
        <w:t xml:space="preserve"> (</w:t>
      </w:r>
      <w:r>
        <w:rPr/>
        <w:t>5.4.2020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 xml:space="preserve">, </w:t>
      </w:r>
      <w:r>
        <w:rPr>
          <w:rtl w:val="true"/>
        </w:rPr>
        <w:t>ועזיבת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להזעיק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לסתירת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המוות</w:t>
      </w:r>
      <w:r>
        <w:rPr>
          <w:rtl w:val="true"/>
        </w:rPr>
        <w:t xml:space="preserve">. </w:t>
      </w:r>
      <w:r>
        <w:rPr>
          <w:rtl w:val="true"/>
        </w:rPr>
        <w:t>באין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תחולה</w:t>
      </w:r>
      <w:r>
        <w:rPr>
          <w:rFonts w:eastAsia="Arial TUR;Arial" w:cs="Arial TUR;Arial"/>
          <w:rtl w:val="true"/>
        </w:rPr>
        <w:t xml:space="preserve"> </w:t>
      </w:r>
      <w:hyperlink r:id="rId45">
        <w:r>
          <w:rPr>
            <w:rStyle w:val="Hyperlink"/>
            <w:rtl w:val="true"/>
          </w:rPr>
          <w:t>לסעיף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.</w:t>
        </w:r>
      </w:hyperlink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בסיסית</w:t>
      </w:r>
      <w:r>
        <w:rPr>
          <w:rtl w:val="true"/>
        </w:rPr>
        <w:t xml:space="preserve">", </w:t>
      </w:r>
      <w:r>
        <w:rPr>
          <w:rtl w:val="true"/>
        </w:rPr>
        <w:t>נקבעה</w:t>
      </w:r>
      <w:r>
        <w:rPr>
          <w:rFonts w:eastAsia="Arial TUR;Arial" w:cs="Arial TUR;Arial"/>
          <w:rtl w:val="true"/>
        </w:rPr>
        <w:t xml:space="preserve"> </w:t>
      </w:r>
      <w:hyperlink r:id="rId46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.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eastAsia="Arial TUR;Arial" w:cs="Arial TUR;Arial"/>
          <w:rtl w:val="true"/>
        </w:rPr>
        <w:t xml:space="preserve"> </w:t>
      </w:r>
      <w:hyperlink r:id="rId47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קטן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והמחמירות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חשובה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האחרת</w:t>
      </w:r>
      <w:r>
        <w:rPr>
          <w:rtl w:val="true"/>
        </w:rPr>
        <w:t xml:space="preserve">;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, '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שעונשה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4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4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</w:hyperlink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: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קצוב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מנימוקים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שיירשמו</w:t>
      </w:r>
      <w:r>
        <w:rPr>
          <w:rtl w:val="true"/>
        </w:rPr>
        <w:t xml:space="preserve">" </w:t>
      </w:r>
      <w:r>
        <w:rPr>
          <w:rtl w:val="true"/>
        </w:rPr>
        <w:t>ישנן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שבשלהן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". </w:t>
      </w:r>
      <w:r>
        <w:rPr>
          <w:rtl w:val="true"/>
        </w:rPr>
        <w:t>אבחן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סעיף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 xml:space="preserve">לתיקון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 xml:space="preserve">קבע את תחולתו של התיקון בזמן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8965/18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מחאג</w:t>
      </w:r>
      <w:r>
        <w:rPr>
          <w:rFonts w:cs="Miriam"/>
          <w:spacing w:val="0"/>
          <w:szCs w:val="24"/>
          <w:rtl w:val="true"/>
        </w:rPr>
        <w:t>'</w:t>
      </w:r>
      <w:r>
        <w:rPr>
          <w:rFonts w:cs="Miriam"/>
          <w:spacing w:val="0"/>
          <w:szCs w:val="24"/>
          <w:rtl w:val="true"/>
        </w:rPr>
        <w:t>נה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41</w:t>
      </w:r>
      <w:r>
        <w:rPr>
          <w:rtl w:val="true"/>
        </w:rPr>
        <w:t xml:space="preserve"> (</w:t>
      </w:r>
      <w:r>
        <w:rPr/>
        <w:t>3.11.2019</w:t>
      </w:r>
      <w:r>
        <w:rPr>
          <w:rtl w:val="true"/>
        </w:rPr>
        <w:t xml:space="preserve">)). </w:t>
      </w:r>
      <w:r>
        <w:rPr>
          <w:rtl w:val="true"/>
        </w:rPr>
        <w:t xml:space="preserve">לענייננו חשוב סעיף קטן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>שלפיו באישום בגין עבירה שקודמת לכניסתו לתוקף של התיקון</w:t>
      </w:r>
      <w:r>
        <w:rPr>
          <w:rtl w:val="true"/>
        </w:rPr>
        <w:t xml:space="preserve">, </w:t>
      </w:r>
      <w:r>
        <w:rPr>
          <w:rtl w:val="true"/>
        </w:rPr>
        <w:t>אם טרם ניתן פסק דין חלוט</w:t>
      </w:r>
      <w:r>
        <w:rPr>
          <w:rtl w:val="true"/>
        </w:rPr>
        <w:t xml:space="preserve">, </w:t>
      </w:r>
      <w:r>
        <w:rPr>
          <w:rtl w:val="true"/>
        </w:rPr>
        <w:t>יש לבחון במלואם את ההסדר הקודם לתיקון ואת ההסדר החדש ולהכריע איזה מהם הוא הדין המקל עם הנאשם</w:t>
      </w:r>
      <w:r>
        <w:rPr>
          <w:rtl w:val="true"/>
        </w:rPr>
        <w:t xml:space="preserve">. </w:t>
      </w:r>
      <w:r>
        <w:rPr>
          <w:rtl w:val="true"/>
        </w:rPr>
        <w:t xml:space="preserve">לאחר מכן פועלים לפי הוראות </w:t>
      </w:r>
      <w:hyperlink r:id="rId5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נעברה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לגביה</w:t>
      </w:r>
      <w:r>
        <w:rPr>
          <w:rtl w:val="true"/>
        </w:rPr>
        <w:t xml:space="preserve">,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להגדרתה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יחול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במלואו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tl w:val="true"/>
        </w:rPr>
        <w:t xml:space="preserve">,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5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הישן</w:t>
      </w:r>
      <w:r>
        <w:rPr>
          <w:rtl w:val="true"/>
        </w:rPr>
        <w:t xml:space="preserve">, </w:t>
      </w:r>
      <w:r>
        <w:rPr>
          <w:rtl w:val="true"/>
        </w:rPr>
        <w:t>מקבילה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5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3510/16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אבו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דקה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51</w:t>
      </w:r>
      <w:r>
        <w:rPr>
          <w:rtl w:val="true"/>
        </w:rPr>
        <w:t xml:space="preserve"> (</w:t>
      </w:r>
      <w:r>
        <w:rPr/>
        <w:t>17.7.2019</w:t>
      </w:r>
      <w:r>
        <w:rPr>
          <w:rtl w:val="true"/>
        </w:rPr>
        <w:t xml:space="preserve">)).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ישנה</w:t>
      </w:r>
      <w:r>
        <w:rPr>
          <w:rtl w:val="true"/>
        </w:rPr>
        <w:t xml:space="preserve">", </w:t>
      </w:r>
      <w:r>
        <w:rPr>
          <w:rtl w:val="true"/>
        </w:rPr>
        <w:t>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החדשה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: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5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ולפחות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5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חלופותיהן</w:t>
      </w:r>
      <w:r>
        <w:rPr>
          <w:rtl w:val="true"/>
        </w:rPr>
        <w:t xml:space="preserve">, </w:t>
      </w:r>
      <w:r>
        <w:rPr>
          <w:rtl w:val="true"/>
        </w:rPr>
        <w:t>קבועים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" </w:t>
      </w:r>
      <w:hyperlink r:id="rId57">
        <w:r>
          <w:rPr>
            <w:rStyle w:val="Hyperlink"/>
            <w:rtl w:val="true"/>
          </w:rPr>
          <w:t>שבסעיף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).</w:t>
        </w:r>
      </w:hyperlink>
      <w:r>
        <w:rPr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ביצועו</w:t>
      </w:r>
      <w:r>
        <w:rPr>
          <w:rtl w:val="true"/>
        </w:rPr>
        <w:t xml:space="preserve">, </w:t>
      </w:r>
      <w:r>
        <w:rPr>
          <w:rtl w:val="true"/>
        </w:rPr>
        <w:t>והתקיים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אדישות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hyperlink r:id="rId5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hyperlink r:id="rId5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המחייבת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באכזריות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בקורבן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קביעותיו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לאכזריות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הישן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החדש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שעונשה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 xml:space="preserve">דין הערעורים על ההרשעות </w:t>
      </w:r>
      <w:r>
        <w:rPr>
          <w:rtl w:val="true"/>
        </w:rPr>
        <w:t>–</w:t>
      </w:r>
      <w:r>
        <w:rPr>
          <w:rtl w:val="true"/>
        </w:rPr>
        <w:t xml:space="preserve"> להידחות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הערעורים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גזרי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הדין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המערערים מבקשים להקל בעונשיהם</w:t>
      </w:r>
      <w:r>
        <w:rPr>
          <w:rtl w:val="true"/>
        </w:rPr>
        <w:t xml:space="preserve">. </w:t>
      </w:r>
      <w:r>
        <w:rPr>
          <w:rtl w:val="true"/>
        </w:rPr>
        <w:t>בטרם יפורטו טענותיהם</w:t>
      </w:r>
      <w:r>
        <w:rPr>
          <w:rtl w:val="true"/>
        </w:rPr>
        <w:t xml:space="preserve">, </w:t>
      </w:r>
      <w:r>
        <w:rPr>
          <w:rtl w:val="true"/>
        </w:rPr>
        <w:t>אציין כי המשיבה תומכת בגזרי הדין שהוטלו בבית המשפט המחוזי ובנימוקיהם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עלאא מבקש להפחית את משכו של עונש המאסר בפועל </w:t>
      </w:r>
      <w:r>
        <w:rPr>
          <w:rtl w:val="true"/>
        </w:rPr>
        <w:t>(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) </w:t>
      </w:r>
      <w:r>
        <w:rPr>
          <w:rtl w:val="true"/>
        </w:rPr>
        <w:t>שנגזר לו ואת גובה הפיצוי שחויב בו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בשטחים</w:t>
      </w:r>
      <w:r>
        <w:rPr>
          <w:rtl w:val="true"/>
        </w:rPr>
        <w:t xml:space="preserve">"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הדומיננטית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", </w:t>
      </w:r>
      <w:r>
        <w:rPr>
          <w:rtl w:val="true"/>
        </w:rPr>
        <w:t>וישנן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הזעיק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"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ובהקשר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"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לפיצוי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עלאא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שהטילה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ובולטת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שמתבטאת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8146/16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אנטילי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(</w:t>
      </w:r>
      <w:r>
        <w:rPr/>
        <w:t>6.2.2018</w:t>
      </w:r>
      <w:r>
        <w:rPr>
          <w:rtl w:val="true"/>
        </w:rPr>
        <w:t xml:space="preserve">)).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המחמירים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והמקילים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האכזריות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עלאא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אדישותו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לפחות</w:t>
      </w:r>
      <w:r>
        <w:rPr>
          <w:rtl w:val="true"/>
        </w:rPr>
        <w:t xml:space="preserve">) </w:t>
      </w:r>
      <w:r>
        <w:rPr>
          <w:rtl w:val="true"/>
        </w:rPr>
        <w:t>לתוצאה</w:t>
      </w:r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הנמשכת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והמתבטאת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הנפסדת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).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צוינו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ונזכרה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4524/18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חנוכייב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3.3.2019</w:t>
      </w:r>
      <w:r>
        <w:rPr>
          <w:rtl w:val="true"/>
        </w:rPr>
        <w:t xml:space="preserve">),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ידיים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),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עלאא</w:t>
      </w:r>
      <w:r>
        <w:rPr>
          <w:rtl w:val="true"/>
        </w:rPr>
        <w:t xml:space="preserve">, </w:t>
      </w:r>
      <w:r>
        <w:rPr>
          <w:rtl w:val="true"/>
        </w:rPr>
        <w:t>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תמים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עלאא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ומצב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8449/17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פלוני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Arial TUR;Arial" w:cs="Arial TUR;Arial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51</w:t>
      </w:r>
      <w:r>
        <w:rPr>
          <w:rFonts w:cs="Times New Roman;Times New Roman" w:ascii="Times New Roman;Times New Roman" w:hAnsi="Times New Roman;Times New Roman"/>
          <w:rtl w:val="true"/>
        </w:rPr>
        <w:t>–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סולברג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16.6.2019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 משיג על מאסר העולם שהוטל עליו</w:t>
      </w:r>
      <w:r>
        <w:rPr>
          <w:rtl w:val="true"/>
        </w:rPr>
        <w:t xml:space="preserve">, </w:t>
      </w:r>
      <w:r>
        <w:rPr>
          <w:rtl w:val="true"/>
        </w:rPr>
        <w:t>בטענה כי עלאא הכה את המנוח במקל מכה קטלנית</w:t>
      </w:r>
      <w:r>
        <w:rPr>
          <w:rtl w:val="true"/>
        </w:rPr>
        <w:t xml:space="preserve">, </w:t>
      </w:r>
      <w:r>
        <w:rPr>
          <w:rtl w:val="true"/>
        </w:rPr>
        <w:t>למוג</w:t>
      </w:r>
      <w:r>
        <w:rPr>
          <w:rtl w:val="true"/>
        </w:rPr>
        <w:t>'</w:t>
      </w:r>
      <w:r>
        <w:rPr>
          <w:rtl w:val="true"/>
        </w:rPr>
        <w:t>אהד לא הייתה שליטה על כך</w:t>
      </w:r>
      <w:r>
        <w:rPr>
          <w:rtl w:val="true"/>
        </w:rPr>
        <w:t xml:space="preserve">, </w:t>
      </w:r>
      <w:r>
        <w:rPr>
          <w:rtl w:val="true"/>
        </w:rPr>
        <w:t xml:space="preserve">ועל כן התקיימו נסיבות מיוחדות להחיל את </w:t>
      </w:r>
      <w:hyperlink r:id="rId6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ולהימנע מהטלת מאסר עולם חובה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התבקשנו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יש לדחות את הערעור על עונשו של 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3308/17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וחידי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38</w:t>
      </w:r>
      <w:r>
        <w:rPr>
          <w:rtl w:val="true"/>
        </w:rPr>
        <w:t xml:space="preserve"> (</w:t>
      </w:r>
      <w:r>
        <w:rPr/>
        <w:t>15.1.2020</w:t>
      </w:r>
      <w:r>
        <w:rPr>
          <w:rtl w:val="true"/>
        </w:rPr>
        <w:t xml:space="preserve">), </w:t>
      </w:r>
      <w:r>
        <w:rPr>
          <w:rtl w:val="true"/>
        </w:rPr>
        <w:t xml:space="preserve">הביע חברי השופט </w:t>
      </w:r>
      <w:r>
        <w:rPr>
          <w:rFonts w:cs="Miriam"/>
          <w:spacing w:val="0"/>
          <w:szCs w:val="24"/>
          <w:rtl w:val="true"/>
        </w:rPr>
        <w:t>א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שטיין</w:t>
      </w:r>
      <w:r>
        <w:rPr>
          <w:rtl w:val="true"/>
        </w:rPr>
        <w:t xml:space="preserve"> את עמדתו</w:t>
      </w:r>
      <w:r>
        <w:rPr>
          <w:rtl w:val="true"/>
        </w:rPr>
        <w:t>, "</w:t>
      </w:r>
      <w:r>
        <w:rPr>
          <w:rtl w:val="true"/>
        </w:rPr>
        <w:t>מבלי לקבוע מסמרות ובמאמר מוסגר</w:t>
      </w:r>
      <w:r>
        <w:rPr>
          <w:rtl w:val="true"/>
        </w:rPr>
        <w:t xml:space="preserve">", </w:t>
      </w:r>
      <w:r>
        <w:rPr>
          <w:rtl w:val="true"/>
        </w:rPr>
        <w:t xml:space="preserve">כי על הנאשם להוכיח במאזן הסתברויות את הנימוקים המיוחדים והנסיבות המיוחדות </w:t>
      </w:r>
      <w:hyperlink r:id="rId65">
        <w:r>
          <w:rPr>
            <w:rStyle w:val="Hyperlink"/>
            <w:rtl w:val="true"/>
          </w:rPr>
          <w:t>שבסעיף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אף במקרה דנן אין צורך להכריע בכך</w:t>
      </w:r>
      <w:r>
        <w:rPr>
          <w:rtl w:val="true"/>
        </w:rPr>
        <w:t xml:space="preserve">, </w:t>
      </w:r>
      <w:r>
        <w:rPr>
          <w:rtl w:val="true"/>
        </w:rPr>
        <w:t>שכן קביעותיו של בית המשפט המחוזי מובילות לדחיית טענתו של 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;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בהנחות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עלאא</w:t>
      </w:r>
      <w:r>
        <w:rPr>
          <w:rtl w:val="true"/>
        </w:rPr>
        <w:t xml:space="preserve">;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להזעיק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דרגת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",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המתאפשרת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6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יוחל</w:t>
      </w:r>
      <w:r>
        <w:rPr>
          <w:rFonts w:eastAsia="Arial TUR;Arial" w:cs="Arial TUR;Arial"/>
          <w:rtl w:val="true"/>
        </w:rPr>
        <w:t xml:space="preserve"> </w:t>
      </w:r>
      <w:hyperlink r:id="rId6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לענישה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פלוני</w:t>
      </w:r>
      <w:r>
        <w:rPr>
          <w:rtl w:val="true"/>
        </w:rPr>
        <w:t xml:space="preserve">).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, </w:t>
      </w:r>
      <w:r>
        <w:rPr>
          <w:rtl w:val="true"/>
        </w:rPr>
        <w:t>ומשום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לפיצויים</w:t>
      </w:r>
      <w:r>
        <w:rPr>
          <w:rtl w:val="true"/>
        </w:rPr>
        <w:t xml:space="preserve">, </w:t>
      </w:r>
      <w:r>
        <w:rPr>
          <w:rtl w:val="true"/>
        </w:rPr>
        <w:t>באין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מקובלים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להשאיר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לפני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סיום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בטרם חתימה</w:t>
      </w:r>
      <w:r>
        <w:rPr>
          <w:rtl w:val="true"/>
        </w:rPr>
        <w:t xml:space="preserve">, </w:t>
      </w:r>
      <w:r>
        <w:rPr>
          <w:rtl w:val="true"/>
        </w:rPr>
        <w:t>אין לי אלא להצטרף לתמיהה שהביעו שני ההרכבים בבית המשפט המחוזי על החלטת המשיבה להגיש כתבי אישום נפרדים נגד המערערים</w:t>
      </w:r>
      <w:r>
        <w:rPr>
          <w:rtl w:val="true"/>
        </w:rPr>
        <w:t xml:space="preserve">. </w:t>
      </w:r>
      <w:r>
        <w:rPr>
          <w:rtl w:val="true"/>
        </w:rPr>
        <w:t>מדובר בשני מעורבים שפעלו יחד בפרשייה אחת</w:t>
      </w:r>
      <w:r>
        <w:rPr>
          <w:rtl w:val="true"/>
        </w:rPr>
        <w:t xml:space="preserve">, </w:t>
      </w:r>
      <w:r>
        <w:rPr>
          <w:rtl w:val="true"/>
        </w:rPr>
        <w:t>חומר הראיות נגדם זהה</w:t>
      </w:r>
      <w:r>
        <w:rPr>
          <w:rtl w:val="true"/>
        </w:rPr>
        <w:t xml:space="preserve">, </w:t>
      </w:r>
      <w:r>
        <w:rPr>
          <w:rtl w:val="true"/>
        </w:rPr>
        <w:t>ולרשות התביעה עמדו כמה הודאות של כל אחד מהם בחקירתו</w:t>
      </w:r>
      <w:r>
        <w:rPr>
          <w:rtl w:val="true"/>
        </w:rPr>
        <w:t xml:space="preserve">. </w:t>
      </w:r>
      <w:r>
        <w:rPr>
          <w:rtl w:val="true"/>
        </w:rPr>
        <w:t xml:space="preserve">גם ללא </w:t>
      </w:r>
      <w:r>
        <w:rPr>
          <w:rtl w:val="true"/>
        </w:rPr>
        <w:t>"</w:t>
      </w:r>
      <w:r>
        <w:rPr>
          <w:rtl w:val="true"/>
        </w:rPr>
        <w:t>חוכמה בדיעבד</w:t>
      </w:r>
      <w:r>
        <w:rPr>
          <w:rtl w:val="true"/>
        </w:rPr>
        <w:t xml:space="preserve">" </w:t>
      </w:r>
      <w:r>
        <w:rPr>
          <w:rtl w:val="true"/>
        </w:rPr>
        <w:t>ניתן לשאול איזה יתרון טקטי ביקשה המשיבה להשיג בפיצול המשפטים</w:t>
      </w:r>
      <w:r>
        <w:rPr>
          <w:rtl w:val="true"/>
        </w:rPr>
        <w:t xml:space="preserve">. </w:t>
      </w:r>
      <w:r>
        <w:rPr>
          <w:rtl w:val="true"/>
        </w:rPr>
        <w:t>נמסר מטעמה כי הדבר נדרש כדי להעיד כל אחד מהם במשפטו של האחר</w:t>
      </w:r>
      <w:r>
        <w:rPr>
          <w:rtl w:val="true"/>
        </w:rPr>
        <w:t xml:space="preserve">, </w:t>
      </w:r>
      <w:r>
        <w:rPr>
          <w:rtl w:val="true"/>
        </w:rPr>
        <w:t>אולם עמדו לחובתם אמרות של כל אחד בחקירותיו במשטרה</w:t>
      </w:r>
      <w:r>
        <w:rPr>
          <w:rtl w:val="true"/>
        </w:rPr>
        <w:t xml:space="preserve">, </w:t>
      </w:r>
      <w:r>
        <w:rPr>
          <w:rtl w:val="true"/>
        </w:rPr>
        <w:t>ועל כל פנים</w:t>
      </w:r>
      <w:r>
        <w:rPr>
          <w:rtl w:val="true"/>
        </w:rPr>
        <w:t xml:space="preserve">, </w:t>
      </w:r>
      <w:r>
        <w:rPr>
          <w:rtl w:val="true"/>
        </w:rPr>
        <w:t>במקור עלאא לא העיד במשפטו של מוג</w:t>
      </w:r>
      <w:r>
        <w:rPr>
          <w:rtl w:val="true"/>
        </w:rPr>
        <w:t>'</w:t>
      </w:r>
      <w:r>
        <w:rPr>
          <w:rtl w:val="true"/>
        </w:rPr>
        <w:t>אהד</w:t>
      </w:r>
      <w:r>
        <w:rPr>
          <w:rtl w:val="true"/>
        </w:rPr>
        <w:t xml:space="preserve">. </w:t>
      </w: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>אחד החששות העומדים בבסיס הנטייה לקיים במאוחד משפט מסוג זה</w:t>
      </w:r>
      <w:r>
        <w:rPr>
          <w:rtl w:val="true"/>
        </w:rPr>
        <w:t xml:space="preserve">, </w:t>
      </w:r>
      <w:r>
        <w:rPr>
          <w:rtl w:val="true"/>
        </w:rPr>
        <w:t xml:space="preserve">הוא מפני הכרעות עובדתיות מנוגדות </w:t>
      </w:r>
      <w:r>
        <w:rPr>
          <w:rtl w:val="true"/>
        </w:rPr>
        <w:t>–</w:t>
      </w:r>
      <w:r>
        <w:rPr>
          <w:rtl w:val="true"/>
        </w:rPr>
        <w:t xml:space="preserve"> חשש אשר התממש בנסיבות דנן</w:t>
      </w:r>
      <w:r>
        <w:rPr>
          <w:rtl w:val="true"/>
        </w:rPr>
        <w:t xml:space="preserve">, </w:t>
      </w:r>
      <w:r>
        <w:rPr>
          <w:rtl w:val="true"/>
        </w:rPr>
        <w:t xml:space="preserve">אף אם לא עד כדי מצב של </w:t>
      </w:r>
      <w:r>
        <w:rPr>
          <w:rtl w:val="true"/>
        </w:rPr>
        <w:t>"</w:t>
      </w:r>
      <w:r>
        <w:rPr>
          <w:rtl w:val="true"/>
        </w:rPr>
        <w:t>בית משפט המדבר בשני קולות</w:t>
      </w:r>
      <w:r>
        <w:rPr>
          <w:rtl w:val="true"/>
        </w:rPr>
        <w:t>" (</w:t>
      </w:r>
      <w:r>
        <w:rPr>
          <w:rtl w:val="true"/>
        </w:rPr>
        <w:t xml:space="preserve">על כך ראו </w:t>
      </w:r>
      <w:hyperlink r:id="rId68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4971/02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זגורי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נח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583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); 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1872/16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דז</w:t>
      </w:r>
      <w:r>
        <w:rPr>
          <w:rFonts w:cs="Miriam"/>
          <w:spacing w:val="0"/>
          <w:szCs w:val="24"/>
          <w:rtl w:val="true"/>
        </w:rPr>
        <w:t>'</w:t>
      </w:r>
      <w:r>
        <w:rPr>
          <w:rFonts w:cs="Miriam"/>
          <w:spacing w:val="0"/>
          <w:szCs w:val="24"/>
          <w:rtl w:val="true"/>
        </w:rPr>
        <w:t>לטי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49</w:t>
      </w:r>
      <w:r>
        <w:rPr>
          <w:rtl w:val="true"/>
        </w:rPr>
        <w:t xml:space="preserve"> (</w:t>
      </w:r>
      <w:r>
        <w:rPr/>
        <w:t>18.5.2017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יסיקו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להבא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סוף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דבר</w:t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מהטעמים המנויים לעיל אציע לחבריי לדחות את הערעורים על כל חלקיהם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>
          <w:rFonts w:ascii="Miriam" w:hAnsi="Miriam" w:cs="Miriam"/>
          <w:spacing w:val="0"/>
          <w:szCs w:val="24"/>
        </w:rPr>
      </w:pPr>
      <w:r>
        <w:rPr>
          <w:rFonts w:ascii="Miriam" w:hAnsi="Miriam" w:cs="Miriam"/>
          <w:spacing w:val="0"/>
          <w:szCs w:val="24"/>
          <w:u w:val="single"/>
          <w:rtl w:val="true"/>
        </w:rPr>
        <w:t>השופט נ</w:t>
      </w:r>
      <w:r>
        <w:rPr>
          <w:rFonts w:cs="Miriam" w:ascii="Miriam" w:hAnsi="Miriam"/>
          <w:spacing w:val="0"/>
          <w:szCs w:val="24"/>
          <w:u w:val="single"/>
          <w:rtl w:val="true"/>
        </w:rPr>
        <w:t xml:space="preserve">' </w:t>
      </w:r>
      <w:r>
        <w:rPr>
          <w:rFonts w:ascii="Miriam" w:hAnsi="Miriam" w:cs="Miriam"/>
          <w:spacing w:val="0"/>
          <w:szCs w:val="24"/>
          <w:u w:val="single"/>
          <w:rtl w:val="true"/>
        </w:rPr>
        <w:t>סולברג</w:t>
      </w:r>
      <w:r>
        <w:rPr>
          <w:rFonts w:cs="Miriam" w:ascii="Miriam" w:hAnsi="Miriam"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Miriam" w:hAnsi="Miriam" w:cs="Miriam"/>
          <w:spacing w:val="0"/>
          <w:szCs w:val="24"/>
        </w:rPr>
      </w:pPr>
      <w:r>
        <w:rPr>
          <w:rFonts w:cs="Miriam" w:ascii="Miriam" w:hAnsi="Miriam"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Miriam" w:hAnsi="Miriam" w:cs="Miriam"/>
          <w:spacing w:val="0"/>
          <w:szCs w:val="24"/>
        </w:rPr>
      </w:pPr>
      <w:r>
        <w:rPr>
          <w:rFonts w:ascii="Miriam" w:hAnsi="Miriam" w:cs="Miriam"/>
          <w:spacing w:val="0"/>
          <w:szCs w:val="24"/>
          <w:u w:val="single"/>
          <w:rtl w:val="true"/>
        </w:rPr>
        <w:t>השופט א</w:t>
      </w:r>
      <w:r>
        <w:rPr>
          <w:rFonts w:cs="Miriam" w:ascii="Miriam" w:hAnsi="Miriam"/>
          <w:spacing w:val="0"/>
          <w:szCs w:val="24"/>
          <w:u w:val="single"/>
          <w:rtl w:val="true"/>
        </w:rPr>
        <w:t xml:space="preserve">' </w:t>
      </w:r>
      <w:r>
        <w:rPr>
          <w:rFonts w:ascii="Miriam" w:hAnsi="Miriam" w:cs="Miriam"/>
          <w:spacing w:val="0"/>
          <w:szCs w:val="24"/>
          <w:u w:val="single"/>
          <w:rtl w:val="true"/>
        </w:rPr>
        <w:t>שטיין</w:t>
      </w:r>
      <w:r>
        <w:rPr>
          <w:rFonts w:cs="Miriam" w:ascii="Miriam" w:hAnsi="Miriam"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Miriam" w:hAnsi="Miriam" w:cs="Miriam"/>
          <w:spacing w:val="0"/>
          <w:szCs w:val="24"/>
        </w:rPr>
      </w:pPr>
      <w:r>
        <w:rPr>
          <w:rFonts w:cs="Miriam" w:ascii="Miriam" w:hAnsi="Miriam"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pacing w:val="0"/>
          <w:szCs w:val="24"/>
          <w:rtl w:val="true"/>
        </w:rPr>
        <w:t>י</w:t>
      </w:r>
      <w:r>
        <w:rPr>
          <w:rFonts w:cs="Miriam" w:ascii="Miriam" w:hAnsi="Miriam"/>
          <w:spacing w:val="0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22.4.2020</w:t>
      </w:r>
      <w:r>
        <w:rPr>
          <w:rtl w:val="true"/>
        </w:rPr>
        <w:t xml:space="preserve">). </w:t>
      </w:r>
      <w:bookmarkEnd w:id="17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18065010</w:t>
      </w:r>
      <w:r>
        <w:rPr>
          <w:sz w:val="16"/>
          <w:rtl w:val="true"/>
        </w:rPr>
        <w:t>_</w:t>
      </w:r>
      <w:r>
        <w:rPr>
          <w:sz w:val="16"/>
        </w:rPr>
        <w:t>J15.docx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70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סולברג </w:t>
      </w:r>
      <w:r>
        <w:rPr>
          <w:rFonts w:cs="David;Times New Roman" w:ascii="David;Times New Roman" w:hAnsi="David;Times New Roman"/>
          <w:color w:val="000000"/>
          <w:szCs w:val="22"/>
        </w:rPr>
        <w:t>54678313-6501/18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7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72"/>
      <w:footerReference w:type="default" r:id="rId7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altName w:val="Verdana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24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6501/18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עלאא דאר עאצי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Ruller41"/>
    <w:qFormat/>
    <w:pPr>
      <w:keepNext w:val="true"/>
      <w:numPr>
        <w:ilvl w:val="0"/>
        <w:numId w:val="1"/>
      </w:numPr>
      <w:spacing w:before="360" w:after="240"/>
      <w:outlineLvl w:val="0"/>
    </w:pPr>
    <w:rPr>
      <w:rFonts w:ascii="Cambria" w:hAnsi="Cambria" w:cs="Miriam"/>
      <w:kern w:val="2"/>
      <w:sz w:val="24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Symbol" w:hAnsi="Symbol" w:eastAsia="Times New Roman;Times New Roman" w:cs="FrankRuehl;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;Verdana" w:hAnsi="Tahoma;Verdana" w:cs="Tahoma;Verdana"/>
      <w:sz w:val="18"/>
      <w:szCs w:val="18"/>
    </w:rPr>
  </w:style>
  <w:style w:type="character" w:styleId="CharChar5">
    <w:name w:val=" Char Char5"/>
    <w:qFormat/>
    <w:rPr>
      <w:rFonts w:ascii="Cambria" w:hAnsi="Cambria" w:cs="Miriam"/>
      <w:kern w:val="2"/>
      <w:sz w:val="24"/>
      <w:szCs w:val="24"/>
    </w:rPr>
  </w:style>
  <w:style w:type="character" w:styleId="CharChar4">
    <w:name w:val=" Char Char4"/>
    <w:qFormat/>
    <w:rPr>
      <w:rFonts w:cs="David;Times New Roman"/>
      <w:szCs w:val="24"/>
    </w:rPr>
  </w:style>
  <w:style w:type="character" w:styleId="CharChar3">
    <w:name w:val=" Char Char3"/>
    <w:qFormat/>
    <w:rPr>
      <w:rFonts w:cs="David;Times New Roman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;Times New Roman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;Verdana" w:hAnsi="Tahoma;Verdana" w:cs="Tahoma;Verdan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2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3"/>
      </w:numPr>
    </w:pPr>
    <w:rPr>
      <w:rFonts w:ascii="Garamond" w:hAnsi="Garamond" w:cs="Garamond"/>
      <w:sz w:val="24"/>
    </w:rPr>
  </w:style>
  <w:style w:type="paragraph" w:styleId="ListParagraph">
    <w:name w:val="List Paragraph"/>
    <w:basedOn w:val="Normal"/>
    <w:qFormat/>
    <w:pPr>
      <w:spacing w:lineRule="auto" w:line="360"/>
    </w:pPr>
    <w:rPr>
      <w:rFonts w:ascii="Century" w:hAnsi="Century" w:cs="FrankRuehl;Times New Roman"/>
      <w:spacing w:val="10"/>
      <w:szCs w:val="28"/>
    </w:rPr>
  </w:style>
  <w:style w:type="paragraph" w:styleId="ruller40">
    <w:name w:val="ruller40"/>
    <w:basedOn w:val="Normal"/>
    <w:qFormat/>
    <w:pPr>
      <w:spacing w:lineRule="auto" w:line="360"/>
      <w:jc w:val="both"/>
      <w:textAlignment w:val="auto"/>
    </w:pPr>
    <w:rPr>
      <w:rFonts w:ascii="Arial TUR;Arial" w:hAnsi="Arial TUR;Arial" w:cs="Arial TUR;Arial"/>
      <w:spacing w:val="10"/>
      <w:sz w:val="22"/>
      <w:szCs w:val="22"/>
      <w:lang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450940" TargetMode="External"/><Relationship Id="rId3" Type="http://schemas.openxmlformats.org/officeDocument/2006/relationships/hyperlink" Target="http://www.nevo.co.il/case/20450987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5.a" TargetMode="External"/><Relationship Id="rId6" Type="http://schemas.openxmlformats.org/officeDocument/2006/relationships/hyperlink" Target="http://www.nevo.co.il/law/70301/20.a.2.a" TargetMode="External"/><Relationship Id="rId7" Type="http://schemas.openxmlformats.org/officeDocument/2006/relationships/hyperlink" Target="http://www.nevo.co.il/law/70301/20.a.2.b" TargetMode="External"/><Relationship Id="rId8" Type="http://schemas.openxmlformats.org/officeDocument/2006/relationships/hyperlink" Target="http://www.nevo.co.il/law/70301/29.b" TargetMode="External"/><Relationship Id="rId9" Type="http://schemas.openxmlformats.org/officeDocument/2006/relationships/hyperlink" Target="http://www.nevo.co.il/law/70301/298" TargetMode="External"/><Relationship Id="rId10" Type="http://schemas.openxmlformats.org/officeDocument/2006/relationships/hyperlink" Target="http://www.nevo.co.il/law/70301/300" TargetMode="External"/><Relationship Id="rId11" Type="http://schemas.openxmlformats.org/officeDocument/2006/relationships/hyperlink" Target="http://www.nevo.co.il/law/70301/300.a" TargetMode="External"/><Relationship Id="rId12" Type="http://schemas.openxmlformats.org/officeDocument/2006/relationships/hyperlink" Target="http://www.nevo.co.il/law/70301/300.a.2" TargetMode="External"/><Relationship Id="rId13" Type="http://schemas.openxmlformats.org/officeDocument/2006/relationships/hyperlink" Target="http://www.nevo.co.il/law/70301/300.a.3" TargetMode="External"/><Relationship Id="rId14" Type="http://schemas.openxmlformats.org/officeDocument/2006/relationships/hyperlink" Target="http://www.nevo.co.il/law/70301/301a" TargetMode="External"/><Relationship Id="rId15" Type="http://schemas.openxmlformats.org/officeDocument/2006/relationships/hyperlink" Target="http://www.nevo.co.il/law/70301/301a.2" TargetMode="External"/><Relationship Id="rId16" Type="http://schemas.openxmlformats.org/officeDocument/2006/relationships/hyperlink" Target="http://www.nevo.co.il/law/70301/301a.7" TargetMode="External"/><Relationship Id="rId17" Type="http://schemas.openxmlformats.org/officeDocument/2006/relationships/hyperlink" Target="http://www.nevo.co.il/law/70301/301a.a" TargetMode="External"/><Relationship Id="rId18" Type="http://schemas.openxmlformats.org/officeDocument/2006/relationships/hyperlink" Target="http://www.nevo.co.il/law/70301/301a.a.2" TargetMode="External"/><Relationship Id="rId19" Type="http://schemas.openxmlformats.org/officeDocument/2006/relationships/hyperlink" Target="http://www.nevo.co.il/law/70301/301a.b" TargetMode="External"/><Relationship Id="rId20" Type="http://schemas.openxmlformats.org/officeDocument/2006/relationships/hyperlink" Target="http://www.nevo.co.il/law/70301/301c" TargetMode="External"/><Relationship Id="rId21" Type="http://schemas.openxmlformats.org/officeDocument/2006/relationships/hyperlink" Target="http://www.nevo.co.il/law/70301/311a" TargetMode="External"/><Relationship Id="rId22" Type="http://schemas.openxmlformats.org/officeDocument/2006/relationships/hyperlink" Target="http://www.nevo.co.il/law/70301/402" TargetMode="External"/><Relationship Id="rId23" Type="http://schemas.openxmlformats.org/officeDocument/2006/relationships/hyperlink" Target="http://www.nevo.co.il/law/70301/403" TargetMode="External"/><Relationship Id="rId24" Type="http://schemas.openxmlformats.org/officeDocument/2006/relationships/hyperlink" Target="http://www.nevo.co.il/case/20450940" TargetMode="External"/><Relationship Id="rId25" Type="http://schemas.openxmlformats.org/officeDocument/2006/relationships/hyperlink" Target="http://www.nevo.co.il/case/20450987" TargetMode="External"/><Relationship Id="rId26" Type="http://schemas.openxmlformats.org/officeDocument/2006/relationships/hyperlink" Target="http://www.nevo.co.il/law/70301/300.a.3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298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298" TargetMode="External"/><Relationship Id="rId31" Type="http://schemas.openxmlformats.org/officeDocument/2006/relationships/hyperlink" Target="http://www.nevo.co.il/law/70301/29.b" TargetMode="External"/><Relationship Id="rId32" Type="http://schemas.openxmlformats.org/officeDocument/2006/relationships/hyperlink" Target="http://www.nevo.co.il/law/70301/300.a.2" TargetMode="External"/><Relationship Id="rId33" Type="http://schemas.openxmlformats.org/officeDocument/2006/relationships/hyperlink" Target="http://www.nevo.co.il/law/70301/301a.a.2" TargetMode="External"/><Relationship Id="rId34" Type="http://schemas.openxmlformats.org/officeDocument/2006/relationships/hyperlink" Target="http://www.nevo.co.il/case/23506677" TargetMode="External"/><Relationship Id="rId35" Type="http://schemas.openxmlformats.org/officeDocument/2006/relationships/hyperlink" Target="http://www.nevo.co.il/case/22205829" TargetMode="External"/><Relationship Id="rId36" Type="http://schemas.openxmlformats.org/officeDocument/2006/relationships/hyperlink" Target="http://www.nevo.co.il/case/23831736" TargetMode="External"/><Relationship Id="rId37" Type="http://schemas.openxmlformats.org/officeDocument/2006/relationships/hyperlink" Target="http://www.nevo.co.il/case/6245391" TargetMode="External"/><Relationship Id="rId38" Type="http://schemas.openxmlformats.org/officeDocument/2006/relationships/hyperlink" Target="http://www.nevo.co.il/law/70301/20.a.2.a" TargetMode="External"/><Relationship Id="rId39" Type="http://schemas.openxmlformats.org/officeDocument/2006/relationships/hyperlink" Target="http://www.nevo.co.il/case/23751303" TargetMode="External"/><Relationship Id="rId40" Type="http://schemas.openxmlformats.org/officeDocument/2006/relationships/hyperlink" Target="http://www.nevo.co.il/law/70301/300.a" TargetMode="External"/><Relationship Id="rId41" Type="http://schemas.openxmlformats.org/officeDocument/2006/relationships/hyperlink" Target="http://www.nevo.co.il/law/70301/311a" TargetMode="External"/><Relationship Id="rId42" Type="http://schemas.openxmlformats.org/officeDocument/2006/relationships/hyperlink" Target="http://www.nevo.co.il/law/70301/301c" TargetMode="External"/><Relationship Id="rId43" Type="http://schemas.openxmlformats.org/officeDocument/2006/relationships/hyperlink" Target="http://www.nevo.co.il/law/70301/20.a.2.b" TargetMode="External"/><Relationship Id="rId44" Type="http://schemas.openxmlformats.org/officeDocument/2006/relationships/hyperlink" Target="http://www.nevo.co.il/case/25424970" TargetMode="External"/><Relationship Id="rId45" Type="http://schemas.openxmlformats.org/officeDocument/2006/relationships/hyperlink" Target="http://www.nevo.co.il/law/70301/301c" TargetMode="External"/><Relationship Id="rId46" Type="http://schemas.openxmlformats.org/officeDocument/2006/relationships/hyperlink" Target="http://www.nevo.co.il/law/70301/301a" TargetMode="External"/><Relationship Id="rId47" Type="http://schemas.openxmlformats.org/officeDocument/2006/relationships/hyperlink" Target="http://www.nevo.co.il/law/70301/301a.a" TargetMode="External"/><Relationship Id="rId48" Type="http://schemas.openxmlformats.org/officeDocument/2006/relationships/hyperlink" Target="http://www.nevo.co.il/law/70301/301a.b" TargetMode="External"/><Relationship Id="rId49" Type="http://schemas.openxmlformats.org/officeDocument/2006/relationships/hyperlink" Target="http://www.nevo.co.il/law/70301/300" TargetMode="External"/><Relationship Id="rId50" Type="http://schemas.openxmlformats.org/officeDocument/2006/relationships/hyperlink" Target="http://www.nevo.co.il/case/25246134" TargetMode="External"/><Relationship Id="rId51" Type="http://schemas.openxmlformats.org/officeDocument/2006/relationships/hyperlink" Target="http://www.nevo.co.il/law/70301/5.a" TargetMode="External"/><Relationship Id="rId52" Type="http://schemas.openxmlformats.org/officeDocument/2006/relationships/hyperlink" Target="http://www.nevo.co.il/law/70301/300.a.3" TargetMode="External"/><Relationship Id="rId53" Type="http://schemas.openxmlformats.org/officeDocument/2006/relationships/hyperlink" Target="http://www.nevo.co.il/law/70301/301a.2" TargetMode="External"/><Relationship Id="rId54" Type="http://schemas.openxmlformats.org/officeDocument/2006/relationships/hyperlink" Target="http://www.nevo.co.il/case/21473673" TargetMode="External"/><Relationship Id="rId55" Type="http://schemas.openxmlformats.org/officeDocument/2006/relationships/hyperlink" Target="http://www.nevo.co.il/law/70301/402" TargetMode="External"/><Relationship Id="rId56" Type="http://schemas.openxmlformats.org/officeDocument/2006/relationships/hyperlink" Target="http://www.nevo.co.il/law/70301/403" TargetMode="External"/><Relationship Id="rId57" Type="http://schemas.openxmlformats.org/officeDocument/2006/relationships/hyperlink" Target="http://www.nevo.co.il/law/70301/301a.2" TargetMode="External"/><Relationship Id="rId58" Type="http://schemas.openxmlformats.org/officeDocument/2006/relationships/hyperlink" Target="http://www.nevo.co.il/law/70301/301a.2" TargetMode="External"/><Relationship Id="rId59" Type="http://schemas.openxmlformats.org/officeDocument/2006/relationships/hyperlink" Target="http://www.nevo.co.il/law/70301/301a.7" TargetMode="External"/><Relationship Id="rId60" Type="http://schemas.openxmlformats.org/officeDocument/2006/relationships/hyperlink" Target="http://www.nevo.co.il/case/21508469" TargetMode="External"/><Relationship Id="rId61" Type="http://schemas.openxmlformats.org/officeDocument/2006/relationships/hyperlink" Target="http://www.nevo.co.il/case/24287805" TargetMode="External"/><Relationship Id="rId62" Type="http://schemas.openxmlformats.org/officeDocument/2006/relationships/hyperlink" Target="http://www.nevo.co.il/case/23353997" TargetMode="External"/><Relationship Id="rId63" Type="http://schemas.openxmlformats.org/officeDocument/2006/relationships/hyperlink" Target="http://www.nevo.co.il/law/70301/301a.b" TargetMode="External"/><Relationship Id="rId64" Type="http://schemas.openxmlformats.org/officeDocument/2006/relationships/hyperlink" Target="http://www.nevo.co.il/case/22540397" TargetMode="External"/><Relationship Id="rId65" Type="http://schemas.openxmlformats.org/officeDocument/2006/relationships/hyperlink" Target="http://www.nevo.co.il/law/70301/301a.b" TargetMode="External"/><Relationship Id="rId66" Type="http://schemas.openxmlformats.org/officeDocument/2006/relationships/hyperlink" Target="http://www.nevo.co.il/law/70301/301a.b" TargetMode="External"/><Relationship Id="rId67" Type="http://schemas.openxmlformats.org/officeDocument/2006/relationships/hyperlink" Target="http://www.nevo.co.il/law/70301/301a.b" TargetMode="External"/><Relationship Id="rId68" Type="http://schemas.openxmlformats.org/officeDocument/2006/relationships/hyperlink" Target="http://www.nevo.co.il/case/5806771" TargetMode="External"/><Relationship Id="rId69" Type="http://schemas.openxmlformats.org/officeDocument/2006/relationships/hyperlink" Target="http://www.nevo.co.il/case/21015204" TargetMode="External"/><Relationship Id="rId70" Type="http://schemas.openxmlformats.org/officeDocument/2006/relationships/hyperlink" Target="http://supreme.court.gov.il/" TargetMode="External"/><Relationship Id="rId71" Type="http://schemas.openxmlformats.org/officeDocument/2006/relationships/hyperlink" Target="http://www.nevo.co.il/advertisements/nevo-100.doc" TargetMode="External"/><Relationship Id="rId72" Type="http://schemas.openxmlformats.org/officeDocument/2006/relationships/header" Target="header1.xml"/><Relationship Id="rId73" Type="http://schemas.openxmlformats.org/officeDocument/2006/relationships/footer" Target="footer1.xml"/><Relationship Id="rId74" Type="http://schemas.openxmlformats.org/officeDocument/2006/relationships/numbering" Target="numbering.xml"/><Relationship Id="rId75" Type="http://schemas.openxmlformats.org/officeDocument/2006/relationships/fontTable" Target="fontTable.xml"/><Relationship Id="rId76" Type="http://schemas.openxmlformats.org/officeDocument/2006/relationships/settings" Target="settings.xml"/><Relationship Id="rId7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2020-04-23T08:24:00Z</dcterms:created>
  <dc:creator>h4</dc:creator>
  <dc:description/>
  <cp:keywords/>
  <dc:language>en-IL</dc:language>
  <cp:lastModifiedBy>orly</cp:lastModifiedBy>
  <cp:lastPrinted>2020-04-22T09:22:00Z</cp:lastPrinted>
  <dcterms:modified xsi:type="dcterms:W3CDTF">2020-04-23T08:24:00Z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עלאא דאר עאצי;מוג'אהד עלי דאר עאצי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ישראל;אילנה בר קפרא;דניאל בר;אליה בר קפרא;תהילה בר קפרא;טליה בר קפרא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24981686:5;25072685:5;20450940:2;20450987:2;23506677;22205829;23831736;6245391;23751303;25424970;25246134;21473673;21508469;24287805;23353997;22540397;5806771;21015204</vt:lpwstr>
  </property>
  <property fmtid="{D5CDD505-2E9C-101B-9397-08002B2CF9AE}" pid="9" name="CITY">
    <vt:lpwstr/>
  </property>
  <property fmtid="{D5CDD505-2E9C-101B-9397-08002B2CF9AE}" pid="10" name="DATE">
    <vt:lpwstr>20200422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סולברג;י' אלרון;א' שטיין</vt:lpwstr>
  </property>
  <property fmtid="{D5CDD505-2E9C-101B-9397-08002B2CF9AE}" pid="14" name="LAWLISTTMP1">
    <vt:lpwstr>70301/300.a.3:2;298:2;029.b;300.a.2;301a.a.2;020.a.2.a;300.a;311a;301c:2;020.a.2.b;301a;301a.a;301a.b:5;300;005.a;301a.2:3;402;403;301a.7</vt:lpwstr>
  </property>
  <property fmtid="{D5CDD505-2E9C-101B-9397-08002B2CF9AE}" pid="15" name="LAWYER">
    <vt:lpwstr>אבי וסטרמן;עבד אבו עאמר;בדר אלדין אגבאריה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77;77;77;77;77</vt:lpwstr>
  </property>
  <property fmtid="{D5CDD505-2E9C-101B-9397-08002B2CF9AE}" pid="37" name="NOSE21">
    <vt:lpwstr>עבירת הרצח</vt:lpwstr>
  </property>
  <property fmtid="{D5CDD505-2E9C-101B-9397-08002B2CF9AE}" pid="38" name="NOSE210">
    <vt:lpwstr/>
  </property>
  <property fmtid="{D5CDD505-2E9C-101B-9397-08002B2CF9AE}" pid="39" name="NOSE22">
    <vt:lpwstr>עבירת הרצח</vt:lpwstr>
  </property>
  <property fmtid="{D5CDD505-2E9C-101B-9397-08002B2CF9AE}" pid="40" name="NOSE23">
    <vt:lpwstr>עבירות</vt:lpwstr>
  </property>
  <property fmtid="{D5CDD505-2E9C-101B-9397-08002B2CF9AE}" pid="41" name="NOSE24">
    <vt:lpwstr>שותפים לעבירה</vt:lpwstr>
  </property>
  <property fmtid="{D5CDD505-2E9C-101B-9397-08002B2CF9AE}" pid="42" name="NOSE25">
    <vt:lpwstr>מחשבה פלילית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12455;12455;1443;1451;1436</vt:lpwstr>
  </property>
  <property fmtid="{D5CDD505-2E9C-101B-9397-08002B2CF9AE}" pid="48" name="NOSE31">
    <vt:lpwstr>תוך כדי ביצוע עבירה אחרת‏</vt:lpwstr>
  </property>
  <property fmtid="{D5CDD505-2E9C-101B-9397-08002B2CF9AE}" pid="49" name="NOSE310">
    <vt:lpwstr/>
  </property>
  <property fmtid="{D5CDD505-2E9C-101B-9397-08002B2CF9AE}" pid="50" name="NOSE32">
    <vt:lpwstr>עונש מופחת</vt:lpwstr>
  </property>
  <property fmtid="{D5CDD505-2E9C-101B-9397-08002B2CF9AE}" pid="51" name="NOSE33">
    <vt:lpwstr>המתה בקלות דעת</vt:lpwstr>
  </property>
  <property fmtid="{D5CDD505-2E9C-101B-9397-08002B2CF9AE}" pid="52" name="NOSE34">
    <vt:lpwstr>מבצע בצוותא</vt:lpwstr>
  </property>
  <property fmtid="{D5CDD505-2E9C-101B-9397-08002B2CF9AE}" pid="53" name="NOSE35">
    <vt:lpwstr>אדישות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16868;15787;18467;9034;16006</vt:lpwstr>
  </property>
  <property fmtid="{D5CDD505-2E9C-101B-9397-08002B2CF9AE}" pid="59" name="PADIDATE">
    <vt:lpwstr>20200423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</vt:lpwstr>
  </property>
  <property fmtid="{D5CDD505-2E9C-101B-9397-08002B2CF9AE}" pid="64" name="PROCNUM">
    <vt:lpwstr>6501;7424</vt:lpwstr>
  </property>
  <property fmtid="{D5CDD505-2E9C-101B-9397-08002B2CF9AE}" pid="65" name="PROCYEAR">
    <vt:lpwstr>18;18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410120200422</vt:lpwstr>
  </property>
  <property fmtid="{D5CDD505-2E9C-101B-9397-08002B2CF9AE}" pid="69" name="TYPE_N_DATE">
    <vt:lpwstr>41020200422</vt:lpwstr>
  </property>
  <property fmtid="{D5CDD505-2E9C-101B-9397-08002B2CF9AE}" pid="70" name="VOLUME">
    <vt:lpwstr/>
  </property>
  <property fmtid="{D5CDD505-2E9C-101B-9397-08002B2CF9AE}" pid="71" name="WORDNUMPAGES">
    <vt:lpwstr>22</vt:lpwstr>
  </property>
</Properties>
</file>