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6538/22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61201-06-17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15.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לורך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צ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דותן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עטר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12.7.2023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גורני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נחמני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אלבק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אסף הרדוף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פרשנות תכליתית או מצמצמת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או שמא תכליתית ומצמצמת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?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כא לחוק העונשין ועמימותן של הלשון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התכלית והפגיעה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ספר אשר גרוניס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 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קרן אזולאי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אהרן ברק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רון גולדשטיין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קרן וינשל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‏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779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 פלר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מאסר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עולם חובה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מאסר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עולם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ומאסר ‏‏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עשרים שנה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</w:rPr>
          <w:t>‎</w:t>
        </w:r>
        <w:r>
          <w:rPr>
            <w:rStyle w:val="Hyperlink"/>
            <w:rFonts w:cs="FrankRuehl" w:ascii="FrankRuehl" w:hAnsi="FrankRuehl"/>
            <w:sz w:val="24"/>
            <w:u w:val="none"/>
          </w:rPr>
          <w:t>"‎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 וממשל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ב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507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inks_Kitvei_End"/>
      <w:bookmarkStart w:id="9" w:name="Links_Kitvei_End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0" w:name="Links_Start"/>
      <w:bookmarkEnd w:id="10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ז פלר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hyperlink r:id="rId7">
        <w:r>
          <w:rPr>
            <w:rFonts w:ascii="FrankRuehl" w:hAnsi="FrankRuehl" w:cs="FrankRuehl"/>
            <w:color w:val="000000"/>
            <w:sz w:val="24"/>
            <w:sz w:val="24"/>
            <w:rtl w:val="true"/>
          </w:rPr>
          <w:t>יורם רבין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,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יניב ואקי  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דיני עונשין 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00"/>
          <w:sz w:val="24"/>
        </w:rPr>
      </w:pPr>
      <w:r>
        <w:rPr>
          <w:rFonts w:cs="FrankRuehl" w:ascii="FrankRuehl" w:hAnsi="FrankRuehl"/>
          <w:color w:val="000000"/>
          <w:sz w:val="24"/>
          <w:rtl w:val="true"/>
        </w:rPr>
      </w:r>
      <w:bookmarkStart w:id="11" w:name="Links_End"/>
      <w:bookmarkStart w:id="12" w:name="Links_End"/>
      <w:bookmarkEnd w:id="12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3" w:name="LawTable"/>
      <w:bookmarkEnd w:id="13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41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97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107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111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113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121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298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1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2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$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4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$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6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7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$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sz w:val="24"/>
            <w:u w:val="none"/>
          </w:rPr>
          <w:t>304$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sz w:val="24"/>
            <w:u w:val="none"/>
          </w:rPr>
          <w:t>311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כ </w:t>
        </w:r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כא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בפרק 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'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טיפול בחולי נפש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1991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33">
        <w:r>
          <w:rPr>
            <w:rStyle w:val="Hyperlink"/>
            <w:rFonts w:cs="FrankRuehl" w:ascii="FrankRuehl" w:hAnsi="FrankRuehl"/>
            <w:sz w:val="24"/>
            <w:u w:val="none"/>
          </w:rPr>
          <w:t>15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4">
        <w:r>
          <w:rPr>
            <w:rStyle w:val="Hyperlink"/>
            <w:rFonts w:cs="FrankRuehl" w:ascii="FrankRuehl" w:hAnsi="FrankRuehl"/>
            <w:sz w:val="24"/>
            <w:u w:val="none"/>
          </w:rPr>
          <w:t>15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35">
        <w:r>
          <w:rPr>
            <w:rStyle w:val="Hyperlink"/>
            <w:rFonts w:cs="FrankRuehl" w:ascii="FrankRuehl" w:hAnsi="FrankRuehl"/>
            <w:sz w:val="24"/>
            <w:u w:val="none"/>
          </w:rPr>
          <w:t>15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36">
        <w:r>
          <w:rPr>
            <w:rStyle w:val="Hyperlink"/>
            <w:rFonts w:cs="FrankRuehl" w:ascii="FrankRuehl" w:hAnsi="FrankRuehl"/>
            <w:sz w:val="24"/>
            <w:u w:val="none"/>
          </w:rPr>
          <w:t>15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37">
        <w:r>
          <w:rPr>
            <w:rStyle w:val="Hyperlink"/>
            <w:rFonts w:cs="FrankRuehl" w:ascii="FrankRuehl" w:hAnsi="FrankRuehl"/>
            <w:sz w:val="24"/>
            <w:u w:val="none"/>
          </w:rPr>
          <w:t>15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38">
        <w:r>
          <w:rPr>
            <w:rStyle w:val="Hyperlink"/>
            <w:rFonts w:cs="FrankRuehl" w:ascii="FrankRuehl" w:hAnsi="FrankRuehl"/>
            <w:sz w:val="24"/>
            <w:u w:val="none"/>
          </w:rPr>
          <w:t>15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39">
        <w:r>
          <w:rPr>
            <w:rStyle w:val="Hyperlink"/>
            <w:rFonts w:cs="FrankRuehl" w:ascii="FrankRuehl" w:hAnsi="FrankRuehl"/>
            <w:sz w:val="24"/>
            <w:u w:val="none"/>
          </w:rPr>
          <w:t>35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4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שחרור על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תנאי ממאסר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2001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1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4" w:name="LawTable_End"/>
      <w:bookmarkStart w:id="15" w:name="LawTable_End"/>
      <w:bookmarkEnd w:id="15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6" w:name="ABSTRACT_START"/>
      <w:bookmarkEnd w:id="16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במוקד </w:t>
      </w:r>
      <w:r>
        <w:rPr>
          <w:rFonts w:ascii="Times New Roman" w:hAnsi="Times New Roman" w:cs="Times New Roman"/>
          <w:spacing w:val="0"/>
          <w:szCs w:val="26"/>
          <w:rtl w:val="true"/>
        </w:rPr>
        <w:t>פסה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ניצבת סוגיה הנגזרת מהרפורמה בעבירות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טרם הוכרעה בפסיקת </w:t>
      </w:r>
      <w:r>
        <w:rPr>
          <w:rFonts w:ascii="Times New Roman" w:hAnsi="Times New Roman" w:cs="Times New Roman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מהי תקופת האשפוז המרבית אשר ניתן לקצוב עבור נאשם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חולה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נפש בגין אישומו בעבירת הרצח הבסיסית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 </w:t>
      </w:r>
      <w:hyperlink r:id="rId42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טיפול בחולי נפש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האם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– כ</w:t>
      </w:r>
      <w:r>
        <w:rPr>
          <w:rFonts w:ascii="Times New Roman" w:hAnsi="Times New Roman" w:cs="Times New Roman"/>
          <w:spacing w:val="0"/>
          <w:szCs w:val="26"/>
          <w:rtl w:val="true"/>
        </w:rPr>
        <w:t>עמדת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וכ</w:t>
      </w:r>
      <w:r>
        <w:rPr>
          <w:rFonts w:ascii="Times New Roman" w:hAnsi="Times New Roman" w:cs="Times New Roman"/>
          <w:spacing w:val="0"/>
          <w:szCs w:val="26"/>
          <w:rtl w:val="true"/>
        </w:rPr>
        <w:t>שיטת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 </w:t>
      </w:r>
      <w:r>
        <w:rPr>
          <w:rFonts w:cs="Times New Roman" w:ascii="Times New Roman" w:hAnsi="Times New Roman"/>
          <w:spacing w:val="0"/>
          <w:szCs w:val="26"/>
        </w:rPr>
        <w:t>25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– כשיטת המדינה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?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העליון קובע כי תקופת האשפוז המירבית בגין עבירת הרצח הבסיסית עומדת על </w:t>
      </w:r>
      <w:r>
        <w:rPr>
          <w:rFonts w:cs="Times New Roman" w:ascii="Times New Roman" w:hAnsi="Times New Roman"/>
          <w:spacing w:val="0"/>
          <w:szCs w:val="26"/>
        </w:rPr>
        <w:t>25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חולי נפש – אשפוז כפוי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פרשנות – דין – חוק טיפול בחולי נפש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התשנ</w:t>
      </w:r>
      <w:r>
        <w:rPr>
          <w:rFonts w:cs="Times New Roman" w:ascii="Times New Roman" w:hAnsi="Times New Roman"/>
          <w:spacing w:val="0"/>
          <w:szCs w:val="26"/>
          <w:rtl w:val="true"/>
        </w:rPr>
        <w:t>`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1991</w:t>
      </w:r>
      <w:r>
        <w:rPr>
          <w:rFonts w:cs="Times New Roman" w:ascii="Times New Roman" w:hAnsi="Times New Roman"/>
          <w:spacing w:val="0"/>
          <w:szCs w:val="26"/>
          <w:rtl w:val="true"/>
        </w:rPr>
        <w:t>‏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פרשנות – דין – חוק העונשין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עבירת הרצח – תיקון </w:t>
      </w:r>
      <w:r>
        <w:rPr>
          <w:rFonts w:cs="Times New Roman" w:ascii="Times New Roman" w:hAnsi="Times New Roman"/>
          <w:spacing w:val="0"/>
          <w:szCs w:val="26"/>
        </w:rPr>
        <w:t>137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עבירת הרצח – עבירת הרצח הבסיסית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ענישה – תיקון </w:t>
      </w:r>
      <w:r>
        <w:rPr>
          <w:rFonts w:cs="Times New Roman" w:ascii="Times New Roman" w:hAnsi="Times New Roman"/>
          <w:spacing w:val="0"/>
          <w:szCs w:val="26"/>
        </w:rPr>
        <w:t>137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פס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במוקד פסק הדין ניצבת סוגיה הנגזרת מהרפורמה בעבירות ההמתה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טרם הוכרעה בפסיקת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– מהי תקופת האשפוז המרבית אשר ניתן לקצוב עבור 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נפש בגין אישומו בעבירת הרצח הבסיסית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</w:t>
      </w:r>
      <w:hyperlink r:id="rId43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טיפול בחולי נפש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האם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– כשיטת 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וכפי שקבע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או </w:t>
      </w:r>
      <w:r>
        <w:rPr>
          <w:rFonts w:cs="Times New Roman" w:ascii="Times New Roman" w:hAnsi="Times New Roman"/>
          <w:spacing w:val="0"/>
          <w:sz w:val="24"/>
          <w:szCs w:val="26"/>
        </w:rPr>
        <w:t>25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– כשיטת המדינה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?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בהסכמת המשנה לנשיאה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פוגלמן והשופט 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נקודת המוצא לדיון היא כי האשפוז הכפוי אינו 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ביסודו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נועד להעניק טיפול רפואי מיטבי לנאשם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נפש אשר נדרש לאשפזו בכפייה בעקבות מעורבות בפלילים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מנת להשיב את מסוגלותו להתנהל בחברה כבן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חורין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תקופת האשפוז המרבית עבור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נפש נעדרת ממד עונשי או התחשבות בשיקולי אשמה ואחריות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אין הכרח כי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נפש ימצה את מלוא משך תקופת האשפוז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בהיותה תקופה מרבית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התאם 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44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טיפול בחולי נפש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תקופת האשפוז המרבית נקבעת ככלל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טכני וגורף – בהתאם לתקופת המאסר המרבית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 לעבירה שדינה מאסר עולם חובה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המחוקק חרג מהכלל הנוקשה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וייחד הסדר ספציפי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 הסדר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תקופת האשפוז המרבית עבור 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נפש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בגין עבירת הרצח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תהא כתקופת המאסר המרבית – היינו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תעמוד על </w:t>
      </w:r>
      <w:r>
        <w:rPr>
          <w:rFonts w:cs="Times New Roman" w:ascii="Times New Roman" w:hAnsi="Times New Roman"/>
          <w:spacing w:val="0"/>
          <w:sz w:val="24"/>
          <w:szCs w:val="26"/>
        </w:rPr>
        <w:t>25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 הרפורמה בעבירות ההמתה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תחת עבירת הרצח נחקקו שתי עבירות חדשות – עבירת הרצח הבסיסית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הכוללת מקרי המתה ביסוד נפשי של אדישות או כוונה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והעונש המרבי בגינה הוא מאסר עולם כעונש מרבי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;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ועבירת הרצח בנסיבות מחמירות המונה </w:t>
      </w:r>
      <w:r>
        <w:rPr>
          <w:rFonts w:cs="Times New Roman" w:ascii="Times New Roman" w:hAnsi="Times New Roman"/>
          <w:spacing w:val="0"/>
          <w:sz w:val="24"/>
          <w:szCs w:val="26"/>
        </w:rPr>
        <w:t>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מחמירות אשר הבא בגדרן עונשו ייגזר למאסר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שילוב עבירות הרצח החדשות עם הוראות </w:t>
      </w:r>
      <w:hyperlink r:id="rId45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טיפול בחולי נפש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מוביל לסוגיה שלפנינו – חוק טיפול בחולי נפש מסדיר במפורש את תקופת האשפוז המרבית באשר לעונש מאסר עולם חובה וקובע כי זו תעמוד על </w:t>
      </w:r>
      <w:r>
        <w:rPr>
          <w:rFonts w:cs="Times New Roman" w:ascii="Times New Roman" w:hAnsi="Times New Roman"/>
          <w:spacing w:val="0"/>
          <w:sz w:val="24"/>
          <w:szCs w:val="26"/>
        </w:rPr>
        <w:t>25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זהו הדין אפוא באשר לנאשם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נפש בעבירת הרצח בנסיבות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מהו הדין באשר לעונש מאסר עולם שאינו חובה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כעונש המרבי בגין עבירת הרצח הבסיסית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?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קובע כי תקופת האשפוז המירבית בגין עבירת הרצח הבסיסית עומדת על </w:t>
      </w:r>
      <w:r>
        <w:rPr>
          <w:rFonts w:cs="Times New Roman" w:ascii="Times New Roman" w:hAnsi="Times New Roman"/>
          <w:spacing w:val="0"/>
          <w:sz w:val="24"/>
          <w:szCs w:val="26"/>
        </w:rPr>
        <w:t>25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עבירת הרצח הבסיסית קובעת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העונש המרבי בצידה יהא עונש של 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41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העונשין קובע כי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 אימת שנקבע עונש 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מדובר בעונש חובה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אזי תקופת המאסר המרבית תעמוד על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אלא שבמסגרת הרפורמה בעבירות ההמתה המחוקק ייחד במפורש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311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 לחוק נורמה ספציפית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המחריג את עבירת הרצח הבסיסית וקובע כי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41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רשאי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להטיל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בלתי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קצובה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שלושים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שתי העמדות – של המדינה ושל המשיב – מתמודדות עם קושי פרשני לשוני בסעיפי החוק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עמדת המשיב אינה מתיישבת עם תחולת סעיף </w:t>
      </w:r>
      <w:r>
        <w:rPr>
          <w:rFonts w:cs="Times New Roman" w:ascii="Times New Roman" w:hAnsi="Times New Roman"/>
          <w:spacing w:val="0"/>
          <w:sz w:val="24"/>
          <w:szCs w:val="26"/>
        </w:rPr>
        <w:t>311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 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ואילו עמדת המדינה מוקשית לנוכח הוראת סעיף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46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טיפול בחולי נפש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שקובע כי תקופת האשפוז המרבית תהא </w:t>
      </w:r>
      <w:r>
        <w:rPr>
          <w:rFonts w:cs="Times New Roman" w:ascii="Times New Roman" w:hAnsi="Times New Roman"/>
          <w:spacing w:val="0"/>
          <w:sz w:val="24"/>
          <w:szCs w:val="26"/>
        </w:rPr>
        <w:t>25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תחול בהתייחס לעבירות אשר דינן מאסר עולם חובה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ממילא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שדינן מאסר עולם שאינו חובה – וביניהן עבירת הרצח הבסיסית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אינן חוסות לכאורה בגדרי סעיף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להידרש אפוא לתכלית הדברים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הכלל שעיצב המחוקק הוא שתקופת האשפוז המרבית תהא כתקופת המאסר המרבית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לעניין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אמורה להיות הבחנה בין עונש מאסר עולם שאינו חובה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לבין עונש מאסר עולם חובה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האחד מתחייב מהחוק – והשני כפוף לשיקול דעתו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כך ובין 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תקופת המאסר המרבית זהה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ומאחר שזהו הפרמטר המנחה את קביעת תקופת האשפוז המרבית אזי בהקשר נקודתי זה אין בין עבירת הרצח הבסיסית לעבירת הרצח בנסיבות מחמירות – כהוא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יתרה מזו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47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טיפול בחולי נפש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קובע את תקופת האשפוז המרבית בגין עבירה אשר העונש בצידה הוא מאסר עולם חובה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נתחמת תקופת האשפוז המרבית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למשל עבור עבירת הרצח בנסיבות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כך שזו תעמוד על </w:t>
      </w:r>
      <w:r>
        <w:rPr>
          <w:rFonts w:cs="Times New Roman" w:ascii="Times New Roman" w:hAnsi="Times New Roman"/>
          <w:spacing w:val="0"/>
          <w:sz w:val="24"/>
          <w:szCs w:val="26"/>
        </w:rPr>
        <w:t>25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לראות בקביעה זו גילוי דעתו של המחוקק כי ישנו גבול עליון לאשפוז הכפוי במסגרת המסלול הפלילי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וגבול זה נקבע על </w:t>
      </w:r>
      <w:r>
        <w:rPr>
          <w:rFonts w:cs="Times New Roman" w:ascii="Times New Roman" w:hAnsi="Times New Roman"/>
          <w:spacing w:val="0"/>
          <w:sz w:val="24"/>
          <w:szCs w:val="26"/>
        </w:rPr>
        <w:t>25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בגין העבירות החמורות ביותר ב</w:t>
      </w:r>
      <w:hyperlink r:id="rId48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העונשין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הנושאות בצידן את העונש המשמעותי ביותר של מאסר עולם חובה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ניתן להורות על אשפוז כפוי מעבר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25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הגבלה זו יש להחיל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על עבירת הרצח הבסיסית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במוקד הטענות בזכות קביעת תקופת אשפוז מרבית על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ניצבת הסברה כי על קביעת תקופת האשפוז המרבית לבטא את מדרג האשמה והחומרה שנקבע במסגרת הרפורמה בעבירות ההמתה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עמדה 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בטעות יסודה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קיים פער מהותי בין תכלית האשפוז הכפוי וקביעת תקופת האשפוז המרבית לבין תכלית הרפורמה בעבירות ההמתה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פער אשר משמעותו היא כי אין להתחשב במדרג האשמה בקביעת תקופת האשפוז המרבית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במישרין ולא בעקיפין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כזכור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האשפוז הכפוי אינו 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ומשכך בקביעת תקופת האשפוז המרבית אין מקום להתחשבות בשיקולי ענישה ואחריות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משעה שתקופת המאסר המרבית בצידן של שתי עבירות הרצח זהה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אזי יש לקבוע כי כך גם ראוי שתהיה זהות בין תקופת האשפוז המרבית בגין שתי עבירות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בהתאם לכלל הטכני כי תקופת המאסר המרבית תהיה בהתאם לתקופת האשפוז המרבית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המגלם את תכלית האשפוז הכפוי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מתבקש כי תקופת האשפוז המרבית אף ביחס לעבירת הרצח הבסיסית תהא </w:t>
      </w:r>
      <w:r>
        <w:rPr>
          <w:rFonts w:cs="Times New Roman" w:ascii="Times New Roman" w:hAnsi="Times New Roman"/>
          <w:spacing w:val="0"/>
          <w:sz w:val="24"/>
          <w:szCs w:val="26"/>
        </w:rPr>
        <w:t>25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נמצאה תמיכה לעמדת המשיב בכלל הפרשנות המקלה בפלילים או בהיקש לעבירת ההמתה בנסיבות של אחריות מופחתת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כלל הפרשנות המקלה בפלילים נועד להעניק לפרט חופש פעולה ובחירה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ומונע את הכשלתו מלעבור עבירה המוגדרת באופן המותיר ספק באשר להיקף תחולתה ומשמעותה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49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טיפול בחולי נפש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אינו מגביל באופן עצמאי את הפרט מלפעול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ההכוונה המנויה בסעיף זה מופנית דווקא אל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לצורך קביעת תקופת האשפוז המרבית עבור 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ספק אם ניתן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כל שכן נדרש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להפעיל את כלל הפרשנות המקלה בפלילים על אופן קביעת תקופת האשפוז המרבית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 על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לו היה מיושם כלל הפרשנות המקלה בפלילים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ממילא כלל זה אינו מוביל לקביעת תקופת האשפוז המרבית למשך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מאחר שבהתאם לנדרש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34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 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כלל הפרשנות המקלה חל אך ורק בבחירה שבין מספר פירושים סבירים של הדין בהתאם ללשונו ואשר אף עולים בקנה אחד עם תכלית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לעומת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העמדה הפרשנית שלפיה תקופת האשפוז המרבית תהא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שנים אינה צולחת את שני השלבים הראשונים של סעיף </w:t>
      </w:r>
      <w:r>
        <w:rPr>
          <w:rFonts w:cs="Times New Roman" w:ascii="Times New Roman" w:hAnsi="Times New Roman"/>
          <w:spacing w:val="0"/>
          <w:sz w:val="24"/>
          <w:szCs w:val="26"/>
        </w:rPr>
        <w:t>34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 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 הנוגע 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טענה בדבר היקש מעבירת המתה בנסיבות של אחריות מופחתת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בשל הפרעה נפשית חמורה שבסעיף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הקובע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 מרבי של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 במובנים רבים קיימת קרבה בין עבירת המתה בנסיבות של אחריות מופחתת בשל מצבו השכלי או הנפשי של הנאשם לבין עבירת הרצח הבסיסית אשר נעשית תחת סייג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שפיות הדעת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בעניין קביעת תקופת האשפוז המרבית קיימים הבדלים מהותיים בין שני הסדרים אלו שאינם מאפשרים להקיש האחד ממשנהו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מאחר שקביעת תקופת האשפוז המרבית נעשית בלי התחשבות בשיקולי ענישה ואחריות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אזי אין מקום להקיש או להשוות בין עבירת ההמתה בנסיבות של אחריות מופחתת אשר בה נמצא כי הנאשם אחראי למעשיו אך במידה פחותה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לבין עבירת רצח בסיסית שבה נקבע כי הנאשם אינו אחראי למעשיו או אינו כשיר לעמוד לדין ולבירור מידת אחריותו למעשים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ניתן להשוות בין אדם אשר הורשע ונגזר דינו בהתאם לעבירת המתה בנסיבות של אחריות מופחתת לבין נאשם אשר זוכה בדינו או שהופסקו ההליכים בעניינו ביחס לעבירת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הורה על אשפוזו הכפוי לצורך קבלת טיפול רפואי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7" w:name="ABSTRACT_END"/>
      <w:bookmarkStart w:id="18" w:name="ABSTRACT_END"/>
      <w:bookmarkEnd w:id="18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9" w:name="PsakDin"/>
            <w:bookmarkStart w:id="20" w:name="BeginProtocol"/>
            <w:bookmarkStart w:id="21" w:name="secretary"/>
            <w:bookmarkEnd w:id="19"/>
            <w:bookmarkEnd w:id="20"/>
            <w:bookmarkEnd w:id="2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2" w:name="Writer_Name"/>
      <w:bookmarkEnd w:id="2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  <w:bookmarkStart w:id="23" w:name="Start_Write"/>
      <w:bookmarkEnd w:id="23"/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במוקד פסק הדין ניצבת סוגיה הנגזרת מהרפורמה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 xml:space="preserve">אשר טרם הוכרעה בפסיקת בית משפט זה </w:t>
      </w:r>
      <w:r>
        <w:rPr>
          <w:rtl w:val="true"/>
        </w:rPr>
        <w:t>–</w:t>
      </w:r>
      <w:r>
        <w:rPr>
          <w:rtl w:val="true"/>
        </w:rPr>
        <w:t xml:space="preserve"> מהי תקופת האשפוז המרבית אשר ניתן לקצוב עבור 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 xml:space="preserve">נפש בגין אישומו בעבירת הרצח הבסיסית </w:t>
      </w:r>
      <w:r>
        <w:rPr>
          <w:rtl w:val="true"/>
        </w:rPr>
        <w:t>(</w:t>
      </w:r>
      <w:hyperlink r:id="rId5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)) </w:t>
      </w:r>
      <w:r>
        <w:rPr>
          <w:rtl w:val="true"/>
        </w:rPr>
        <w:t xml:space="preserve">לפי 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1991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טיפול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</w:t>
      </w:r>
      <w:r>
        <w:rPr>
          <w:rtl w:val="true"/>
        </w:rPr>
        <w:t xml:space="preserve">). </w:t>
      </w:r>
      <w:r>
        <w:rPr>
          <w:rtl w:val="true"/>
        </w:rPr>
        <w:t xml:space="preserve">האם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>–</w:t>
      </w:r>
      <w:r>
        <w:rPr>
          <w:rtl w:val="true"/>
        </w:rPr>
        <w:t xml:space="preserve"> כשיטת המשיב</w:t>
      </w:r>
      <w:r>
        <w:rPr>
          <w:rtl w:val="true"/>
        </w:rPr>
        <w:t xml:space="preserve">, </w:t>
      </w:r>
      <w:r>
        <w:rPr>
          <w:rtl w:val="true"/>
        </w:rPr>
        <w:t xml:space="preserve">או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>–</w:t>
      </w:r>
      <w:r>
        <w:rPr>
          <w:rtl w:val="true"/>
        </w:rPr>
        <w:t xml:space="preserve"> כשיטת המדינה</w:t>
      </w:r>
      <w:r>
        <w:rPr>
          <w:rtl w:val="true"/>
        </w:rPr>
        <w:t>?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האשפוז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הכפוי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tl w:val="true"/>
        </w:rPr>
        <w:t xml:space="preserve">. </w:t>
      </w:r>
      <w:r>
        <w:rPr>
          <w:rtl w:val="true"/>
        </w:rPr>
        <w:t>ביסודו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לאשפזו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tl w:val="true"/>
        </w:rPr>
        <w:t>-</w:t>
      </w:r>
      <w:r>
        <w:rPr>
          <w:rtl w:val="true"/>
        </w:rPr>
        <w:t>חורין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ואחריות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tl w:val="true"/>
        </w:rPr>
        <w:t xml:space="preserve">, </w:t>
      </w:r>
      <w:r>
        <w:rPr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לורך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עטר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5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61202-06-17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15.8.2022</w:t>
      </w:r>
      <w:r>
        <w:rPr>
          <w:rtl w:val="true"/>
        </w:rPr>
        <w:t xml:space="preserve"> </w:t>
      </w:r>
      <w:r>
        <w:rPr>
          <w:rtl w:val="true"/>
        </w:rPr>
        <w:t>בגדרה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20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שנה</w:t>
      </w:r>
      <w:r>
        <w:rPr>
          <w:rtl w:val="true"/>
        </w:rPr>
        <w:t>.</w:t>
      </w: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ולמען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, </w:t>
      </w:r>
      <w:r>
        <w:rPr>
          <w:rtl w:val="true"/>
        </w:rPr>
        <w:t>אניח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האשפוז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במסלול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הפלילי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לעיתים מתעורר צורך לכפות אשפוז וטיפול רפואי על אדם שמפאת מחלת הנפש שבה הוא לוקה אינו מסוגל לדאוג לצרכיו ואף עלול להוות סכנה לעצמו ולציבור</w:t>
      </w:r>
      <w:r>
        <w:rPr>
          <w:rtl w:val="true"/>
        </w:rPr>
        <w:t xml:space="preserve">. </w:t>
      </w:r>
      <w:r>
        <w:rPr>
          <w:rtl w:val="true"/>
        </w:rPr>
        <w:t>הרצון להעניק טיפול מיטבי לחולה לצד הצורך להגן על הציבור מפני מסוכנותו מצדיקים במקרים המתאימים את אשפוזו הכפוי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חרף הפגיעה בחירותו והסטיגמה החברתית והעצמית הכרוכה בכך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הגבלת חירותו של חולה הנפש מצריכה הקפדה על זכויותיו של החולה</w:t>
      </w:r>
      <w:r>
        <w:rPr>
          <w:rtl w:val="true"/>
        </w:rPr>
        <w:t xml:space="preserve">, </w:t>
      </w:r>
      <w:r>
        <w:rPr>
          <w:rtl w:val="true"/>
        </w:rPr>
        <w:t>באופן שרק בהתקיים התנאים המתאימים המוסדרים ב</w:t>
      </w:r>
      <w:hyperlink r:id="rId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יאושפז לקבלת טיפול רפואי בעל כורחו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חוק טיפול בחולי נפש מגדיר אימתי רשאי הגורם המוסמך</w:t>
      </w:r>
      <w:r>
        <w:rPr>
          <w:rtl w:val="true"/>
        </w:rPr>
        <w:t xml:space="preserve">, </w:t>
      </w:r>
      <w:r>
        <w:rPr>
          <w:rtl w:val="true"/>
        </w:rPr>
        <w:t>ולעיתים אף מצווה</w:t>
      </w:r>
      <w:r>
        <w:rPr>
          <w:rtl w:val="true"/>
        </w:rPr>
        <w:t xml:space="preserve">, </w:t>
      </w:r>
      <w:r>
        <w:rPr>
          <w:rtl w:val="true"/>
        </w:rPr>
        <w:t>להורות על אשפוזו הכפוי של החולה</w:t>
      </w:r>
      <w:r>
        <w:rPr>
          <w:rtl w:val="true"/>
        </w:rPr>
        <w:t xml:space="preserve">. </w:t>
      </w:r>
      <w:r>
        <w:rPr>
          <w:rtl w:val="true"/>
        </w:rPr>
        <w:t>אשפוזו הכפוי של 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 xml:space="preserve">נפש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במסלול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הפלילי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 xml:space="preserve">יכול ויעשה דרך שני אפיקים אפשריים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 xml:space="preserve">עניינו אי כשירות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דיונית</w:t>
      </w:r>
      <w:r>
        <w:rPr>
          <w:rtl w:val="true"/>
        </w:rPr>
        <w:t xml:space="preserve"> של נאשם</w:t>
      </w:r>
      <w:r>
        <w:rPr>
          <w:rtl w:val="true"/>
        </w:rPr>
        <w:t xml:space="preserve">, </w:t>
      </w:r>
      <w:r>
        <w:rPr>
          <w:rtl w:val="true"/>
        </w:rPr>
        <w:t>כך שההליכים נגדו יופסקו</w:t>
      </w:r>
      <w:r>
        <w:rPr>
          <w:rtl w:val="true"/>
        </w:rPr>
        <w:t xml:space="preserve">, </w:t>
      </w:r>
      <w:r>
        <w:rPr>
          <w:rtl w:val="true"/>
        </w:rPr>
        <w:t xml:space="preserve">ובית המשפט רשאי להורות על אשפוזו הכפוי </w:t>
      </w:r>
      <w:r>
        <w:rPr>
          <w:rtl w:val="true"/>
        </w:rPr>
        <w:t>(</w:t>
      </w:r>
      <w:hyperlink r:id="rId5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 xml:space="preserve">עניינו אי כשירות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מהותית</w:t>
      </w:r>
      <w:r>
        <w:rPr>
          <w:rtl w:val="true"/>
        </w:rPr>
        <w:t xml:space="preserve"> של נאשם</w:t>
      </w:r>
      <w:r>
        <w:rPr>
          <w:rtl w:val="true"/>
        </w:rPr>
        <w:t xml:space="preserve">, </w:t>
      </w:r>
      <w:r>
        <w:rPr>
          <w:rtl w:val="true"/>
        </w:rPr>
        <w:t>שנקבע כי ביצע את המעשה המיוחס לו</w:t>
      </w:r>
      <w:r>
        <w:rPr>
          <w:rtl w:val="true"/>
        </w:rPr>
        <w:t xml:space="preserve">, </w:t>
      </w:r>
      <w:r>
        <w:rPr>
          <w:rtl w:val="true"/>
        </w:rPr>
        <w:t xml:space="preserve">אולם הוא אינו אחראי למעשיו בהיותו </w:t>
      </w:r>
      <w:r>
        <w:rPr>
          <w:rtl w:val="true"/>
        </w:rPr>
        <w:t>"</w:t>
      </w:r>
      <w:r>
        <w:rPr>
          <w:rtl w:val="true"/>
        </w:rPr>
        <w:t>חולה</w:t>
      </w:r>
      <w:r>
        <w:rPr>
          <w:rtl w:val="true"/>
        </w:rPr>
        <w:t xml:space="preserve">" </w:t>
      </w:r>
      <w:r>
        <w:rPr>
          <w:rtl w:val="true"/>
        </w:rPr>
        <w:t>בעת ביצועם כך שאינו בר</w:t>
      </w:r>
      <w:r>
        <w:rPr>
          <w:rtl w:val="true"/>
        </w:rPr>
        <w:t>-</w:t>
      </w:r>
      <w:r>
        <w:rPr>
          <w:rtl w:val="true"/>
        </w:rPr>
        <w:t>עונשין</w:t>
      </w:r>
      <w:r>
        <w:rPr>
          <w:rtl w:val="true"/>
        </w:rPr>
        <w:t xml:space="preserve">. </w:t>
      </w:r>
      <w:r>
        <w:rPr>
          <w:rtl w:val="true"/>
        </w:rPr>
        <w:t>נאשם זה מזוכה מאחריות פלילית למעשיו</w:t>
      </w:r>
      <w:r>
        <w:rPr>
          <w:rtl w:val="true"/>
        </w:rPr>
        <w:t xml:space="preserve">, </w:t>
      </w:r>
      <w:r>
        <w:rPr>
          <w:rtl w:val="true"/>
        </w:rPr>
        <w:t xml:space="preserve">ובמידה שהוא עדיין בגדר </w:t>
      </w:r>
      <w:r>
        <w:rPr>
          <w:rtl w:val="true"/>
        </w:rPr>
        <w:t>"</w:t>
      </w:r>
      <w:r>
        <w:rPr>
          <w:rtl w:val="true"/>
        </w:rPr>
        <w:t>חולה</w:t>
      </w:r>
      <w:r>
        <w:rPr>
          <w:rtl w:val="true"/>
        </w:rPr>
        <w:t xml:space="preserve">" </w:t>
      </w:r>
      <w:r>
        <w:rPr>
          <w:rtl w:val="true"/>
        </w:rPr>
        <w:t xml:space="preserve">בית המשפט מצווה להורות על אשפוזו הכפוי </w:t>
      </w:r>
      <w:r>
        <w:rPr>
          <w:rtl w:val="true"/>
        </w:rPr>
        <w:t>(</w:t>
      </w: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האפיקים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ובסמכותה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החולה</w:t>
      </w:r>
      <w:r>
        <w:rPr>
          <w:rtl w:val="true"/>
        </w:rPr>
        <w:t xml:space="preserve">,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האשפוז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הכפוי</w:t>
      </w:r>
      <w:r>
        <w:rPr>
          <w:rtl w:val="true"/>
        </w:rPr>
        <w:t xml:space="preserve">. </w:t>
      </w:r>
      <w:r>
        <w:rPr>
          <w:rtl w:val="true"/>
        </w:rPr>
        <w:t>לאחריו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כורחו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" </w:t>
      </w:r>
      <w:r>
        <w:rPr>
          <w:rtl w:val="true"/>
        </w:rPr>
        <w:t>ונותרת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האזרחי</w:t>
      </w:r>
      <w:r>
        <w:rPr>
          <w:rtl w:val="true"/>
        </w:rPr>
        <w:t>" (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מסלולים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9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2305/00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289</w:t>
      </w:r>
      <w:r>
        <w:rPr>
          <w:rtl w:val="true"/>
        </w:rPr>
        <w:t xml:space="preserve">, </w:t>
      </w:r>
      <w:r>
        <w:rPr/>
        <w:t>312-308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משך תקופת האשפוז המרבית תיקבע כבר במועד מתן צו האשפוז</w:t>
      </w:r>
      <w:r>
        <w:rPr>
          <w:rtl w:val="true"/>
        </w:rPr>
        <w:t xml:space="preserve">, </w:t>
      </w:r>
      <w:r>
        <w:rPr>
          <w:rtl w:val="true"/>
        </w:rPr>
        <w:t>בהתאם לקבוע ב</w:t>
      </w:r>
      <w:hyperlink r:id="rId6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15</w:t>
      </w:r>
      <w:r>
        <w:rPr>
          <w:rtl w:val="true"/>
        </w:rPr>
        <w:t>(</w:t>
      </w:r>
      <w:r>
        <w:rPr>
          <w:rtl w:val="true"/>
        </w:rPr>
        <w:t>ד</w:t>
      </w:r>
      <w:r>
        <w:rPr/>
        <w:t>1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המרפאתי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המרפאתי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-(</w:t>
      </w:r>
      <w:r>
        <w:rPr/>
        <w:t>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>);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המרבית</w:t>
      </w:r>
      <w:r>
        <w:rPr>
          <w:rtl w:val="true"/>
        </w:rPr>
        <w:t>;</w:t>
      </w:r>
      <w:r>
        <w:rPr>
          <w:rtl w:val="true"/>
        </w:rPr>
        <w:t xml:space="preserve"> [...]</w:t>
      </w:r>
    </w:p>
    <w:p>
      <w:pPr>
        <w:pStyle w:val="Ruller5"/>
        <w:ind w:firstLine="516" w:end="1282"/>
        <w:jc w:val="both"/>
        <w:rPr/>
      </w:pPr>
      <w:r>
        <w:rPr>
          <w:rtl w:val="true"/>
        </w:rPr>
      </w:r>
    </w:p>
    <w:p>
      <w:pPr>
        <w:pStyle w:val="Ruller5"/>
        <w:ind w:firstLine="516" w:end="1282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;</w:t>
      </w:r>
      <w:r>
        <w:rPr>
          <w:rtl w:val="true"/>
        </w:rPr>
        <w:t xml:space="preserve"> (</w:t>
      </w:r>
      <w:r>
        <w:rPr>
          <w:rtl w:val="true"/>
        </w:rPr>
        <w:t>ההדגשות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)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"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</w:t>
      </w:r>
      <w:r>
        <w:rPr>
          <w:rtl w:val="true"/>
        </w:rPr>
        <w:t xml:space="preserve">, </w:t>
      </w:r>
      <w:r>
        <w:rPr>
          <w:rtl w:val="true"/>
        </w:rPr>
        <w:t>והיחס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 xml:space="preserve"> 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664/23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</w:t>
      </w:r>
      <w:r>
        <w:rPr/>
        <w:t>6</w:t>
      </w:r>
      <w:r>
        <w:rPr/>
        <w:t>.2023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יש לציין</w:t>
      </w:r>
      <w:r>
        <w:rPr>
          <w:rtl w:val="true"/>
        </w:rPr>
        <w:t xml:space="preserve">, </w:t>
      </w:r>
      <w:r>
        <w:rPr>
          <w:rtl w:val="true"/>
        </w:rPr>
        <w:t>כי קביעת המחוקק שלפיה יש לגדור את תקופת האשפוז הכפוי הוספה רק בשלב מאוחר ובעקבות ביקורת שנשמעה מכיוונים שונים על חסרונה של הגבלה שכזו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 xml:space="preserve">בעניין 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3854/02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הוועדה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הפסיכיאטרית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למבוגרים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נז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900</w:t>
      </w:r>
      <w:r>
        <w:rPr>
          <w:rtl w:val="true"/>
        </w:rPr>
        <w:t xml:space="preserve"> (</w:t>
      </w:r>
      <w:r>
        <w:rPr/>
        <w:t>2003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tl w:val="true"/>
        </w:rPr>
        <w:t xml:space="preserve"> הביע ביקורת על כך שנאשם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 אושפז במצטבר במשך כ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 בגין עבירות תקיפה וגניבה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בעוד שאילו משפטו היה מתנהל כסדרו והוא היה מורשע</w:t>
      </w:r>
      <w:r>
        <w:rPr>
          <w:rtl w:val="true"/>
        </w:rPr>
        <w:t xml:space="preserve">, </w:t>
      </w:r>
      <w:r>
        <w:rPr>
          <w:rtl w:val="true"/>
        </w:rPr>
        <w:t>היה מסיים זה מכבר לרצות את עונשו</w:t>
      </w:r>
      <w:r>
        <w:rPr>
          <w:rtl w:val="true"/>
        </w:rPr>
        <w:t xml:space="preserve">. </w:t>
      </w:r>
      <w:r>
        <w:rPr>
          <w:rtl w:val="true"/>
        </w:rPr>
        <w:t>בעקבות ביקורת זו ובחלוף למעלה מעשור</w:t>
      </w:r>
      <w:r>
        <w:rPr>
          <w:rtl w:val="true"/>
        </w:rPr>
        <w:t xml:space="preserve">, </w:t>
      </w:r>
      <w:r>
        <w:rPr>
          <w:rtl w:val="true"/>
        </w:rPr>
        <w:t>נקבעה לראשונה ב</w:t>
      </w:r>
      <w:hyperlink r:id="rId6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 תקופת </w:t>
      </w:r>
      <w:r>
        <w:rPr>
          <w:rtl w:val="true"/>
        </w:rPr>
        <w:t>"</w:t>
      </w:r>
      <w:r>
        <w:rPr>
          <w:rtl w:val="true"/>
        </w:rPr>
        <w:t>גג</w:t>
      </w:r>
      <w:r>
        <w:rPr>
          <w:rtl w:val="true"/>
        </w:rPr>
        <w:t xml:space="preserve">" </w:t>
      </w:r>
      <w:r>
        <w:rPr>
          <w:rtl w:val="true"/>
        </w:rPr>
        <w:t>מקסימלית למשך האשפוז על מנת למנוע מצב בו הנאשם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 xml:space="preserve">נפש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יישכח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tl w:val="true"/>
        </w:rPr>
        <w:t>" (</w:t>
      </w:r>
      <w:r>
        <w:rPr>
          <w:rtl w:val="true"/>
        </w:rPr>
        <w:t>פרוטוקול</w:t>
      </w:r>
      <w:r>
        <w:rPr>
          <w:rtl w:val="true"/>
        </w:rPr>
        <w:t xml:space="preserve"> </w:t>
      </w:r>
      <w:r>
        <w:rPr>
          <w:rtl w:val="true"/>
        </w:rPr>
        <w:t>ישיבה</w:t>
      </w:r>
      <w:r>
        <w:rPr>
          <w:rtl w:val="true"/>
        </w:rPr>
        <w:t xml:space="preserve"> </w:t>
      </w:r>
      <w:r>
        <w:rPr/>
        <w:t>220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ועדת</w:t>
      </w:r>
      <w:r>
        <w:rPr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, </w:t>
      </w:r>
      <w:r>
        <w:rPr>
          <w:rtl w:val="true"/>
        </w:rPr>
        <w:t>הרווחה</w:t>
      </w:r>
      <w:r>
        <w:rPr>
          <w:rtl w:val="true"/>
        </w:rPr>
        <w:t xml:space="preserve"> </w:t>
      </w:r>
      <w:r>
        <w:rPr>
          <w:rtl w:val="true"/>
        </w:rPr>
        <w:t>והבריאות</w:t>
      </w:r>
      <w:r>
        <w:rPr>
          <w:rtl w:val="true"/>
        </w:rPr>
        <w:t xml:space="preserve">, </w:t>
      </w:r>
      <w:r>
        <w:rPr>
          <w:rtl w:val="true"/>
        </w:rPr>
        <w:t>הכנסת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28.3.2016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szCs w:val="24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תקופת האשפוז המרבית אינה מבטאת אפוא את גזירת עונשו הקונקרטי של הנאשם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 וממילא אינה מתחשבת ברכיבים עונשיים או בזיקה לאשמה ואחריות</w:t>
      </w:r>
      <w:r>
        <w:rPr>
          <w:rtl w:val="true"/>
        </w:rPr>
        <w:t xml:space="preserve">. </w:t>
      </w:r>
      <w:r>
        <w:rPr>
          <w:rtl w:val="true"/>
        </w:rPr>
        <w:t xml:space="preserve">תפקידה להציב </w:t>
      </w:r>
      <w:r>
        <w:rPr>
          <w:rtl w:val="true"/>
        </w:rPr>
        <w:t>"</w:t>
      </w:r>
      <w:r>
        <w:rPr>
          <w:rtl w:val="true"/>
        </w:rPr>
        <w:t>תקרה</w:t>
      </w:r>
      <w:r>
        <w:rPr>
          <w:rtl w:val="true"/>
        </w:rPr>
        <w:t xml:space="preserve">" </w:t>
      </w:r>
      <w:r>
        <w:rPr>
          <w:rtl w:val="true"/>
        </w:rPr>
        <w:t>למשך שהותו באשפוז כפוי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יודגש</w:t>
      </w:r>
      <w:r>
        <w:rPr>
          <w:rtl w:val="true"/>
        </w:rPr>
        <w:t xml:space="preserve">, </w:t>
      </w:r>
      <w:r>
        <w:rPr>
          <w:rtl w:val="true"/>
        </w:rPr>
        <w:t>פעם נוספת</w:t>
      </w:r>
      <w:r>
        <w:rPr>
          <w:rtl w:val="true"/>
        </w:rPr>
        <w:t xml:space="preserve">, </w:t>
      </w:r>
      <w:r>
        <w:rPr>
          <w:rtl w:val="true"/>
        </w:rPr>
        <w:t>כי קביעת תקופת האשפוז המרבית</w:t>
      </w:r>
      <w:r>
        <w:rPr>
          <w:rtl w:val="true"/>
        </w:rPr>
        <w:t xml:space="preserve">, </w:t>
      </w:r>
      <w:r>
        <w:rPr>
          <w:rtl w:val="true"/>
        </w:rPr>
        <w:t xml:space="preserve">כשמה כן היא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מרבית</w:t>
      </w:r>
      <w:r>
        <w:rPr>
          <w:rtl w:val="true"/>
        </w:rPr>
        <w:t xml:space="preserve">. </w:t>
      </w:r>
      <w:r>
        <w:rPr>
          <w:rtl w:val="true"/>
        </w:rPr>
        <w:t>אין הכרח כי הנאשם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 ישהה באשפוז כפוי את מלוא תקופת האשפוז</w:t>
      </w:r>
      <w:r>
        <w:rPr>
          <w:rtl w:val="true"/>
        </w:rPr>
        <w:t xml:space="preserve">, </w:t>
      </w:r>
      <w:r>
        <w:rPr>
          <w:rtl w:val="true"/>
        </w:rPr>
        <w:t xml:space="preserve">כל שנקבע בעת מתן הצו היא התקופה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המקסימלית</w:t>
      </w:r>
      <w:r>
        <w:rPr>
          <w:rtl w:val="true"/>
        </w:rPr>
        <w:t xml:space="preserve"> </w:t>
      </w:r>
      <w:r>
        <w:rPr>
          <w:rtl w:val="true"/>
        </w:rPr>
        <w:t>לאשפוז כפוי במסגרת המסלול הפלילי</w:t>
      </w:r>
      <w:r>
        <w:rPr>
          <w:rtl w:val="true"/>
        </w:rPr>
        <w:t xml:space="preserve">, </w:t>
      </w:r>
      <w:r>
        <w:rPr>
          <w:rtl w:val="true"/>
        </w:rPr>
        <w:t>אשר לאחריה ישתחרר הנאשם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 או יועבר במקרה המתאים לאשפוז כפוי במסלול אזרחי</w:t>
      </w:r>
      <w:r>
        <w:rPr>
          <w:rtl w:val="true"/>
        </w:rPr>
        <w:t xml:space="preserve">. </w:t>
      </w:r>
      <w:r>
        <w:rPr>
          <w:rtl w:val="true"/>
        </w:rPr>
        <w:t>במרביתם של המקרים</w:t>
      </w:r>
      <w:r>
        <w:rPr>
          <w:rtl w:val="true"/>
        </w:rPr>
        <w:t xml:space="preserve">, </w:t>
      </w:r>
      <w:r>
        <w:rPr>
          <w:rtl w:val="true"/>
        </w:rPr>
        <w:t xml:space="preserve">כפי כמתואר בהצעת החוק </w:t>
      </w:r>
      <w:r>
        <w:rPr>
          <w:rtl w:val="true"/>
        </w:rPr>
        <w:t>"</w:t>
      </w:r>
      <w:r>
        <w:rPr>
          <w:rFonts w:cs="Miriam" w:ascii="Century" w:hAnsi="Century"/>
          <w:b/>
          <w:spacing w:val="0"/>
          <w:szCs w:val="24"/>
          <w:rtl w:val="true"/>
        </w:rPr>
        <w:t>[...]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מאושפז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לטיפול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מרפאתי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בפועל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ישוחרר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דברי</w:t>
      </w:r>
      <w:r>
        <w:rPr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 xml:space="preserve"> </w:t>
      </w:r>
      <w:r>
        <w:rPr>
          <w:rtl w:val="true"/>
        </w:rPr>
        <w:t>להצעת</w:t>
      </w:r>
      <w:r>
        <w:rPr>
          <w:rtl w:val="true"/>
        </w:rPr>
        <w:t xml:space="preserve"> </w:t>
      </w:r>
      <w:hyperlink r:id="rId6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>) (</w:t>
      </w:r>
      <w:r>
        <w:rPr>
          <w:rtl w:val="true"/>
        </w:rPr>
        <w:t>תקופת</w:t>
      </w:r>
      <w:r>
        <w:rPr>
          <w:rtl w:val="true"/>
        </w:rPr>
        <w:t xml:space="preserve"> </w:t>
      </w:r>
      <w:r>
        <w:rPr>
          <w:rtl w:val="true"/>
        </w:rPr>
        <w:t>אשפוז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 </w:t>
      </w:r>
      <w:r>
        <w:rPr>
          <w:rtl w:val="true"/>
        </w:rPr>
        <w:t>מרבית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/>
        <w:t>580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להצעת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טיפול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תקופת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האשפוז</w:t>
      </w:r>
      <w:r>
        <w:rPr>
          <w:rtl w:val="true"/>
        </w:rPr>
        <w:t xml:space="preserve"> המרבית נקבעת אפוא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 xml:space="preserve">באופן טכני וגורף </w:t>
      </w:r>
      <w:r>
        <w:rPr>
          <w:rtl w:val="true"/>
        </w:rPr>
        <w:t>–</w:t>
      </w:r>
      <w:r>
        <w:rPr>
          <w:rtl w:val="true"/>
        </w:rPr>
        <w:t xml:space="preserve"> בהתאם לתקופת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המאסר</w:t>
      </w:r>
      <w:r>
        <w:rPr>
          <w:rtl w:val="true"/>
        </w:rPr>
        <w:t xml:space="preserve"> המרבית</w:t>
      </w:r>
      <w:r>
        <w:rPr>
          <w:rtl w:val="true"/>
        </w:rPr>
        <w:t xml:space="preserve">. </w:t>
      </w:r>
      <w:r>
        <w:rPr>
          <w:rtl w:val="true"/>
        </w:rPr>
        <w:t>והנה</w:t>
      </w:r>
      <w:r>
        <w:rPr>
          <w:rtl w:val="true"/>
        </w:rPr>
        <w:t xml:space="preserve">, </w:t>
      </w:r>
      <w:r>
        <w:rPr>
          <w:rtl w:val="true"/>
        </w:rPr>
        <w:t xml:space="preserve">באשר לעבירה שדינה מאסר עולם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 xml:space="preserve">המחוקק חרג מהכלל הנוקשה שצוטט לעיל הקבוע </w:t>
      </w:r>
      <w:hyperlink r:id="rId6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וייחד הסדר ספציפי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לפי הסדר זה</w:t>
      </w:r>
      <w:r>
        <w:rPr>
          <w:rtl w:val="true"/>
        </w:rPr>
        <w:t xml:space="preserve">, </w:t>
      </w:r>
      <w:r>
        <w:rPr>
          <w:rtl w:val="true"/>
        </w:rPr>
        <w:t xml:space="preserve">תקופת האשפוז המרבית לא תהא כתקופת המאסר המרבית </w:t>
      </w:r>
      <w:r>
        <w:rPr>
          <w:rtl w:val="true"/>
        </w:rPr>
        <w:t>–</w:t>
      </w:r>
      <w:r>
        <w:rPr>
          <w:rtl w:val="true"/>
        </w:rPr>
        <w:t xml:space="preserve"> היינו</w:t>
      </w:r>
      <w:r>
        <w:rPr>
          <w:rtl w:val="true"/>
        </w:rPr>
        <w:t xml:space="preserve">,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בהצעת החוק הוצע להגביל את משך תקופת האשפוז המרבית ל</w:t>
      </w:r>
      <w:r>
        <w:rPr>
          <w:rtl w:val="true"/>
        </w:rPr>
        <w:t>-</w:t>
      </w:r>
      <w:r>
        <w:rPr>
          <w:rFonts w:cs="Miriam"/>
          <w:b/>
          <w:spacing w:val="0"/>
          <w:sz w:val="22"/>
          <w:szCs w:val="24"/>
        </w:rPr>
        <w:t>30</w:t>
      </w:r>
      <w:r>
        <w:rPr>
          <w:rFonts w:cs="Miriam"/>
          <w:b/>
          <w:spacing w:val="0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וזאת על רקע ההנחה כי </w:t>
      </w:r>
      <w:r>
        <w:rPr>
          <w:rtl w:val="true"/>
        </w:rPr>
        <w:t>"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המקרה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הטיפוסי</w:t>
      </w:r>
      <w:r>
        <w:rPr>
          <w:rFonts w:cs="Miriam"/>
          <w:b/>
          <w:spacing w:val="0"/>
          <w:sz w:val="22"/>
          <w:szCs w:val="24"/>
          <w:rtl w:val="true"/>
        </w:rPr>
        <w:t xml:space="preserve">.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בדרך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נקצב</w:t>
      </w:r>
      <w:r>
        <w:rPr>
          <w:rFonts w:cs="Miriam"/>
          <w:b/>
          <w:spacing w:val="0"/>
          <w:sz w:val="22"/>
          <w:szCs w:val="24"/>
          <w:rtl w:val="true"/>
        </w:rPr>
        <w:t xml:space="preserve">.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לכן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אמרנו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שנלך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Fonts w:cs="Arial TUR;Arial" w:ascii="Arial TUR;Arial" w:hAnsi="Arial TUR;Arial"/>
          <w:sz w:val="22"/>
          <w:rtl w:val="true"/>
        </w:rPr>
        <w:t>" (</w:t>
      </w:r>
      <w:r>
        <w:rPr>
          <w:rFonts w:ascii="Arial TUR;Arial" w:hAnsi="Arial TUR;Arial" w:cs="Arial TUR;Arial"/>
          <w:sz w:val="22"/>
          <w:sz w:val="22"/>
          <w:rtl w:val="true"/>
        </w:rPr>
        <w:t>פרוטוקול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ישיבה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cs="Arial TUR;Arial" w:ascii="Arial TUR;Arial" w:hAnsi="Arial TUR;Arial"/>
          <w:sz w:val="22"/>
        </w:rPr>
        <w:t>293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של </w:t>
      </w:r>
      <w:r>
        <w:rPr>
          <w:rFonts w:ascii="Arial TUR;Arial" w:hAnsi="Arial TUR;Arial" w:cs="Arial TUR;Arial"/>
          <w:sz w:val="22"/>
          <w:sz w:val="22"/>
          <w:rtl w:val="true"/>
        </w:rPr>
        <w:t>ישיבת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ועדת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העבודה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הרווחה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והבריאות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cs="Arial TUR;Arial" w:ascii="Arial TUR;Arial" w:hAnsi="Arial TUR;Arial"/>
          <w:sz w:val="22"/>
        </w:rPr>
        <w:t>30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cs="Arial TUR;Arial" w:ascii="Arial TUR;Arial" w:hAnsi="Arial TUR;Arial"/>
          <w:sz w:val="22"/>
        </w:rPr>
        <w:t>28.7.2014</w:t>
      </w:r>
      <w:r>
        <w:rPr>
          <w:rFonts w:cs="Arial TUR;Arial" w:ascii="Arial TUR;Arial" w:hAnsi="Arial TUR;Arial"/>
          <w:sz w:val="22"/>
          <w:rtl w:val="true"/>
        </w:rPr>
        <w:t>)</w:t>
      </w:r>
      <w:r>
        <w:rPr>
          <w:rFonts w:cs="Arial TUR;Arial" w:ascii="Arial TUR;Arial" w:hAnsi="Arial TUR;Arial"/>
          <w:sz w:val="22"/>
          <w:rtl w:val="true"/>
        </w:rPr>
        <w:t xml:space="preserve">). </w:t>
      </w:r>
      <w:r>
        <w:rPr>
          <w:rFonts w:ascii="Arial TUR;Arial" w:hAnsi="Arial TUR;Arial" w:cs="Arial TUR;Arial"/>
          <w:sz w:val="22"/>
          <w:sz w:val="22"/>
          <w:rtl w:val="true"/>
        </w:rPr>
        <w:t>לבסוף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לאחר שיג ושיח בוועדת העבודה הרווחה והבריאות סוכם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כמעין פשרה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לנוכח עמדת הסניגוריה הציבורית מן העבר האחד ופרקליטות המדינה מן העבר האחר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כי תקופת האשפוז המרבית תעמוד על </w:t>
      </w:r>
      <w:r>
        <w:rPr>
          <w:rFonts w:cs="Miriam"/>
          <w:b/>
          <w:spacing w:val="0"/>
          <w:sz w:val="22"/>
          <w:szCs w:val="24"/>
        </w:rPr>
        <w:t>25</w:t>
      </w:r>
      <w:r>
        <w:rPr>
          <w:rFonts w:cs="Miriam"/>
          <w:b/>
          <w:spacing w:val="0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שנים</w:t>
      </w:r>
      <w:r>
        <w:rPr>
          <w:rFonts w:cs="Arial TUR;Arial" w:ascii="Arial TUR;Arial" w:hAnsi="Arial TUR;Arial"/>
          <w:sz w:val="22"/>
          <w:rtl w:val="true"/>
        </w:rPr>
        <w:t>.</w:t>
      </w:r>
    </w:p>
    <w:p>
      <w:pPr>
        <w:pStyle w:val="Normal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עד כאן</w:t>
      </w:r>
      <w:r>
        <w:rPr>
          <w:rtl w:val="true"/>
        </w:rPr>
        <w:t xml:space="preserve">, </w:t>
      </w:r>
      <w:r>
        <w:rPr>
          <w:rtl w:val="true"/>
        </w:rPr>
        <w:t>הוראות החוק ברורות ואינן מעוררות מחלוקת בענייננו</w:t>
      </w:r>
      <w:r>
        <w:rPr>
          <w:rtl w:val="true"/>
        </w:rPr>
        <w:t xml:space="preserve">. </w:t>
      </w:r>
      <w:r>
        <w:rPr>
          <w:rtl w:val="true"/>
        </w:rPr>
        <w:t xml:space="preserve">מורכבות הסוגיה הדורשת את הכרעתנו נובעת מתחולתה של הרפורמה בעבירות ההמתה </w:t>
      </w:r>
      <w:r>
        <w:rPr>
          <w:rtl w:val="true"/>
        </w:rPr>
        <w:t>(</w:t>
      </w:r>
      <w:hyperlink r:id="rId6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230</w:t>
      </w:r>
      <w:r>
        <w:rPr>
          <w:rtl w:val="true"/>
        </w:rPr>
        <w:t xml:space="preserve"> (</w:t>
      </w:r>
      <w:r>
        <w:rPr>
          <w:rtl w:val="true"/>
        </w:rPr>
        <w:t>לעיל ו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tl w:val="true"/>
        </w:rPr>
        <w:t>)</w:t>
      </w:r>
      <w:r>
        <w:rPr>
          <w:rtl w:val="true"/>
        </w:rPr>
        <w:t xml:space="preserve">) </w:t>
      </w:r>
      <w:r>
        <w:rPr>
          <w:rtl w:val="true"/>
        </w:rPr>
        <w:t xml:space="preserve">החל משנת </w:t>
      </w:r>
      <w:r>
        <w:rPr/>
        <w:t>2019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עובר לרפורמה</w:t>
      </w:r>
      <w:r>
        <w:rPr>
          <w:rtl w:val="true"/>
        </w:rPr>
        <w:t xml:space="preserve">, </w:t>
      </w:r>
      <w:r>
        <w:rPr>
          <w:rtl w:val="true"/>
        </w:rPr>
        <w:t xml:space="preserve">מנעד העונשים בגין עבירות ההמתה היה מוגדר כך שהעונש בצידה של עבירת הרצח היה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בנוסחו הקודם</w:t>
      </w:r>
      <w:r>
        <w:rPr>
          <w:rtl w:val="true"/>
        </w:rPr>
        <w:t xml:space="preserve">); </w:t>
      </w:r>
      <w:r>
        <w:rPr>
          <w:rtl w:val="true"/>
        </w:rPr>
        <w:t xml:space="preserve">והעונש המקסימלי בצידה של עבירת ההריגה עמד על </w:t>
      </w:r>
      <w:r>
        <w:rPr>
          <w:rFonts w:cs="Miriam" w:ascii="Century" w:hAnsi="Century"/>
          <w:b/>
          <w:spacing w:val="0"/>
          <w:sz w:val="22"/>
          <w:szCs w:val="24"/>
        </w:rPr>
        <w:t>20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7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בנוסחו הקודם</w:t>
      </w:r>
      <w:r>
        <w:rPr>
          <w:rtl w:val="true"/>
        </w:rPr>
        <w:t xml:space="preserve">). </w:t>
      </w:r>
      <w:r>
        <w:rPr>
          <w:rtl w:val="true"/>
        </w:rPr>
        <w:t>אי לכך</w:t>
      </w:r>
      <w:r>
        <w:rPr>
          <w:rtl w:val="true"/>
        </w:rPr>
        <w:t xml:space="preserve">, </w:t>
      </w:r>
      <w:r>
        <w:rPr>
          <w:rtl w:val="true"/>
        </w:rPr>
        <w:t>תקופת האשפוז המרבית עבור 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 xml:space="preserve">נפש עמדה על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שנים בגין עבירת הרצח</w:t>
      </w:r>
      <w:r>
        <w:rPr>
          <w:rtl w:val="true"/>
        </w:rPr>
        <w:t xml:space="preserve">, </w:t>
      </w:r>
      <w:r>
        <w:rPr>
          <w:rtl w:val="true"/>
        </w:rPr>
        <w:t xml:space="preserve">ועל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 בגין עבירת ההריגה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, </w:t>
      </w:r>
      <w:r>
        <w:rPr>
          <w:rtl w:val="true"/>
        </w:rPr>
        <w:t>הכוללת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, </w:t>
      </w:r>
      <w:r>
        <w:rPr>
          <w:rtl w:val="true"/>
        </w:rPr>
        <w:t>והעונש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7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3223/21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2.3.2022</w:t>
      </w:r>
      <w:r>
        <w:rPr>
          <w:rtl w:val="true"/>
        </w:rPr>
        <w:t>))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ייגזר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7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שילוב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hyperlink r:id="rId7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כעונש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>?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הקודמים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נגד המשיב הוגש כתב אישום המייחס לו עבירת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רצח</w:t>
      </w:r>
      <w:r>
        <w:rPr>
          <w:rtl w:val="true"/>
        </w:rPr>
        <w:t xml:space="preserve"> של אחיו</w:t>
      </w:r>
      <w:r>
        <w:rPr>
          <w:rtl w:val="true"/>
        </w:rPr>
        <w:t xml:space="preserve">. </w:t>
      </w:r>
      <w:r>
        <w:rPr>
          <w:rtl w:val="true"/>
        </w:rPr>
        <w:t>לפי המתואר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5.6.2017</w:t>
      </w:r>
      <w:r>
        <w:rPr>
          <w:rtl w:val="true"/>
        </w:rPr>
        <w:t xml:space="preserve"> </w:t>
      </w:r>
      <w:r>
        <w:rPr>
          <w:rtl w:val="true"/>
        </w:rPr>
        <w:t xml:space="preserve">המשיב שהה בבית הוריו יחד עם אחיו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tl w:val="true"/>
        </w:rPr>
        <w:t xml:space="preserve">). </w:t>
      </w:r>
      <w:r>
        <w:rPr>
          <w:rtl w:val="true"/>
        </w:rPr>
        <w:t>על רקע שאינו ידוע</w:t>
      </w:r>
      <w:r>
        <w:rPr>
          <w:rtl w:val="true"/>
        </w:rPr>
        <w:t xml:space="preserve">, </w:t>
      </w:r>
      <w:r>
        <w:rPr>
          <w:rtl w:val="true"/>
        </w:rPr>
        <w:t>גמלה בליבו ההחלטה להמית את המנוח</w:t>
      </w:r>
      <w:r>
        <w:rPr>
          <w:rtl w:val="true"/>
        </w:rPr>
        <w:t xml:space="preserve">. </w:t>
      </w:r>
      <w:r>
        <w:rPr>
          <w:rtl w:val="true"/>
        </w:rPr>
        <w:t>לצורך כך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12:00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המשיב נטל מספריים ודקר את המנוח דקירות רבות בחלק גופו האחורי</w:t>
      </w:r>
      <w:r>
        <w:rPr>
          <w:rtl w:val="true"/>
        </w:rPr>
        <w:t xml:space="preserve">, </w:t>
      </w:r>
      <w:r>
        <w:rPr>
          <w:rtl w:val="true"/>
        </w:rPr>
        <w:t>בגב ובצוואר</w:t>
      </w:r>
      <w:r>
        <w:rPr>
          <w:rtl w:val="true"/>
        </w:rPr>
        <w:t xml:space="preserve">. </w:t>
      </w:r>
      <w:r>
        <w:rPr>
          <w:rtl w:val="true"/>
        </w:rPr>
        <w:t>לאחר כחצי שעה</w:t>
      </w:r>
      <w:r>
        <w:rPr>
          <w:rtl w:val="true"/>
        </w:rPr>
        <w:t xml:space="preserve">, </w:t>
      </w:r>
      <w:r>
        <w:rPr>
          <w:rtl w:val="true"/>
        </w:rPr>
        <w:t>עזב את הבית ונמלט לבית דודו בנתניה</w:t>
      </w:r>
      <w:r>
        <w:rPr>
          <w:rtl w:val="true"/>
        </w:rPr>
        <w:t xml:space="preserve">. </w:t>
      </w:r>
      <w:r>
        <w:rPr>
          <w:rtl w:val="true"/>
        </w:rPr>
        <w:t xml:space="preserve">בשעה </w:t>
      </w:r>
      <w:r>
        <w:rPr/>
        <w:t>13:45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אמו של המנוח הגיעה לבית ומצאה את המנוח שרוע על בטנו ומתבוסס בדמו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נציגי מד</w:t>
      </w:r>
      <w:r>
        <w:rPr>
          <w:rtl w:val="true"/>
        </w:rPr>
        <w:t>"</w:t>
      </w:r>
      <w:r>
        <w:rPr>
          <w:rtl w:val="true"/>
        </w:rPr>
        <w:t>א אשר הוזעקו למקום קבעו את מותו</w:t>
      </w:r>
      <w:r>
        <w:rPr>
          <w:rtl w:val="true"/>
        </w:rPr>
        <w:t xml:space="preserve">. </w:t>
      </w:r>
      <w:r>
        <w:rPr>
          <w:rtl w:val="true"/>
        </w:rPr>
        <w:t>בגין המתואר לעיל</w:t>
      </w:r>
      <w:r>
        <w:rPr>
          <w:rtl w:val="true"/>
        </w:rPr>
        <w:t xml:space="preserve">, </w:t>
      </w:r>
      <w:r>
        <w:rPr>
          <w:rtl w:val="true"/>
        </w:rPr>
        <w:t xml:space="preserve">למשיב יוחסה עבירת רצח לפי </w:t>
      </w:r>
      <w:hyperlink r:id="rId7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כנוסחו קודם הרפורמה בעבירות ההמתה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סמוך לאחר מעצרו של המשיב</w:t>
      </w:r>
      <w:r>
        <w:rPr>
          <w:rtl w:val="true"/>
        </w:rPr>
        <w:t xml:space="preserve">, </w:t>
      </w:r>
      <w:r>
        <w:rPr>
          <w:rtl w:val="true"/>
        </w:rPr>
        <w:t>הוגשה חוות דעת פסיכיאטרית מטעם שירותי בריאות הנפש במב</w:t>
      </w:r>
      <w:r>
        <w:rPr>
          <w:rtl w:val="true"/>
        </w:rPr>
        <w:t>"</w:t>
      </w:r>
      <w:r>
        <w:rPr>
          <w:rtl w:val="true"/>
        </w:rPr>
        <w:t>ן בשלב המעצר והחקירה</w:t>
      </w:r>
      <w:r>
        <w:rPr>
          <w:rtl w:val="true"/>
        </w:rPr>
        <w:t xml:space="preserve">. </w:t>
      </w:r>
      <w:r>
        <w:rPr>
          <w:rtl w:val="true"/>
        </w:rPr>
        <w:t xml:space="preserve">מחוות הדעת עולה כי המשיב מוכר למערכת הפסיכיאטרית כבר משנת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ואובחן כלוקה בסכיזופרניה פרנואידית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נקבע כי היה נתון במצב פסיכוטי פרנואידי במשך תקופה ארוכה קודם ביצוע הרצח המיוחס לו</w:t>
      </w:r>
      <w:r>
        <w:rPr>
          <w:rtl w:val="true"/>
        </w:rPr>
        <w:t xml:space="preserve">, </w:t>
      </w:r>
      <w:r>
        <w:rPr>
          <w:rtl w:val="true"/>
        </w:rPr>
        <w:t>וסבל ממחשבות שווא של יחס ורדיפה כלפי משפחתו</w:t>
      </w:r>
      <w:r>
        <w:rPr>
          <w:rtl w:val="true"/>
        </w:rPr>
        <w:t xml:space="preserve">, </w:t>
      </w:r>
      <w:r>
        <w:rPr>
          <w:rtl w:val="true"/>
        </w:rPr>
        <w:t>ובפרט כלפי אחיו ואביו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 xml:space="preserve">נקבע כי המשיב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למעשיו</w:t>
      </w:r>
      <w:r>
        <w:rPr>
          <w:rtl w:val="true"/>
        </w:rPr>
        <w:t xml:space="preserve"> הואיל ובמועד ביצוע המעשים היה שרוי במצב פסיכוטי פרנואידי</w:t>
      </w:r>
      <w:r>
        <w:rPr>
          <w:rtl w:val="true"/>
        </w:rPr>
        <w:t xml:space="preserve">, </w:t>
      </w:r>
      <w:r>
        <w:rPr>
          <w:rtl w:val="true"/>
        </w:rPr>
        <w:t>פעל בהשפעת מחשבות שווא אותן חווה</w:t>
      </w:r>
      <w:r>
        <w:rPr>
          <w:rtl w:val="true"/>
        </w:rPr>
        <w:t xml:space="preserve">, </w:t>
      </w:r>
      <w:r>
        <w:rPr>
          <w:rtl w:val="true"/>
        </w:rPr>
        <w:t>לא ידע להבחין בין טוב לרע ובין מותר לאסור ולא הבין את הפסול במעשיו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לעמוד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לעקוב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רקע האמור</w:t>
      </w:r>
      <w:r>
        <w:rPr>
          <w:rtl w:val="true"/>
        </w:rPr>
        <w:t xml:space="preserve">, </w:t>
      </w:r>
      <w:r>
        <w:rPr>
          <w:rtl w:val="true"/>
        </w:rPr>
        <w:t>ומאחר שהמשיב כפר בביצוע המעשים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נדרש להכריע האם המשיב </w:t>
      </w:r>
      <w:r>
        <w:rPr>
          <w:rFonts w:ascii="Century" w:hAnsi="Century" w:cs="Century"/>
          <w:sz w:val="22"/>
          <w:sz w:val="22"/>
          <w:rtl w:val="true"/>
        </w:rPr>
        <w:t>ביצע</w:t>
      </w:r>
      <w:r>
        <w:rPr>
          <w:rtl w:val="true"/>
        </w:rPr>
        <w:t xml:space="preserve"> את מעשה הרצח כפי שיוחס לו בכתב האישום אם לאו</w:t>
      </w:r>
      <w:r>
        <w:rPr>
          <w:rtl w:val="true"/>
        </w:rPr>
        <w:t xml:space="preserve">. </w:t>
      </w:r>
      <w:r>
        <w:rPr>
          <w:rtl w:val="true"/>
        </w:rPr>
        <w:t>יצוין כי כבר בשלב זה סוכם בין הצדדים כי היה ויימצא כי המשיב אחראי לביצוע מעשה הרצח</w:t>
      </w:r>
      <w:r>
        <w:rPr>
          <w:rtl w:val="true"/>
        </w:rPr>
        <w:t xml:space="preserve">, </w:t>
      </w:r>
      <w:r>
        <w:rPr>
          <w:rtl w:val="true"/>
        </w:rPr>
        <w:t>אזי הוא יזוכה בשל תחולת הגנת אי</w:t>
      </w:r>
      <w:r>
        <w:rPr>
          <w:rtl w:val="true"/>
        </w:rPr>
        <w:t>-</w:t>
      </w:r>
      <w:r>
        <w:rPr>
          <w:rtl w:val="true"/>
        </w:rPr>
        <w:t xml:space="preserve">שפיות הדעת לפי </w:t>
      </w:r>
      <w:hyperlink r:id="rId7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ח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. </w:t>
      </w:r>
      <w:r>
        <w:rPr>
          <w:rtl w:val="true"/>
        </w:rPr>
        <w:t>לפני בית המשפט המחוזי נפרס מארג רחב של ראיות נסיבתיות</w:t>
      </w:r>
      <w:r>
        <w:rPr>
          <w:rtl w:val="true"/>
        </w:rPr>
        <w:t xml:space="preserve">, </w:t>
      </w:r>
      <w:r>
        <w:rPr>
          <w:rtl w:val="true"/>
        </w:rPr>
        <w:t>בכללן</w:t>
      </w:r>
      <w:r>
        <w:rPr>
          <w:rtl w:val="true"/>
        </w:rPr>
        <w:t xml:space="preserve">, </w:t>
      </w:r>
      <w:r>
        <w:rPr>
          <w:rtl w:val="true"/>
        </w:rPr>
        <w:t>עדויות בני המשפחה ועדי ראייה</w:t>
      </w:r>
      <w:r>
        <w:rPr>
          <w:rtl w:val="true"/>
        </w:rPr>
        <w:t xml:space="preserve">, </w:t>
      </w:r>
      <w:r>
        <w:rPr>
          <w:rtl w:val="true"/>
        </w:rPr>
        <w:t>תיעוד מצלמות אבטחה מקרבת הבית</w:t>
      </w:r>
      <w:r>
        <w:rPr>
          <w:rtl w:val="true"/>
        </w:rPr>
        <w:t xml:space="preserve">, </w:t>
      </w:r>
      <w:r>
        <w:rPr>
          <w:rtl w:val="true"/>
        </w:rPr>
        <w:t xml:space="preserve">וכן ראיות </w:t>
      </w:r>
      <w:r>
        <w:rPr/>
        <w:t>DNA</w:t>
      </w:r>
      <w:r>
        <w:rPr>
          <w:rtl w:val="true"/>
        </w:rPr>
        <w:t xml:space="preserve"> </w:t>
      </w:r>
      <w:r>
        <w:rPr>
          <w:rtl w:val="true"/>
        </w:rPr>
        <w:t>שהופקו מכתם על כפכף שנעל המשיב ומדגימה שנלקחה מתחת לציפורני המנוח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בית המשפט המחוזי נתן דעתו לגרסת המשיב כפי שמסר בחקירותיו במשטרה שלפיה הכחיש את מעורבותו במות המנוח</w:t>
      </w:r>
      <w:r>
        <w:rPr>
          <w:rtl w:val="true"/>
        </w:rPr>
        <w:t xml:space="preserve">. </w:t>
      </w:r>
      <w:r>
        <w:rPr>
          <w:rtl w:val="true"/>
        </w:rPr>
        <w:t>בצד זאת</w:t>
      </w:r>
      <w:r>
        <w:rPr>
          <w:rtl w:val="true"/>
        </w:rPr>
        <w:t xml:space="preserve">, </w:t>
      </w:r>
      <w:r>
        <w:rPr>
          <w:rtl w:val="true"/>
        </w:rPr>
        <w:t>לחובתו נזקפה העובדה כי נמנע מלהעיד במשפט</w:t>
      </w:r>
      <w:r>
        <w:rPr>
          <w:rtl w:val="true"/>
        </w:rPr>
        <w:t xml:space="preserve">, </w:t>
      </w:r>
      <w:r>
        <w:rPr>
          <w:rtl w:val="true"/>
        </w:rPr>
        <w:t>אף שחוות הדעת הפסיכיאטרית קבעה כאמור כי אין לכך כל מניעה רפואית או נפשית מצדו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בשקלול הראיות</w:t>
      </w:r>
      <w:r>
        <w:rPr>
          <w:rtl w:val="true"/>
        </w:rPr>
        <w:t xml:space="preserve">, </w:t>
      </w:r>
      <w:r>
        <w:rPr>
          <w:rtl w:val="true"/>
        </w:rPr>
        <w:t>בית המשפט המחוזי קבע כי הוכח מעבר לספק סביר כי המשיב הוא שגרם למותו של המנוח</w:t>
      </w:r>
      <w:r>
        <w:rPr>
          <w:rtl w:val="true"/>
        </w:rPr>
        <w:t xml:space="preserve">, </w:t>
      </w:r>
      <w:r>
        <w:rPr>
          <w:rtl w:val="true"/>
        </w:rPr>
        <w:t>תוך שהובהר כי מאחר שלא היה אחראי למעשיו</w:t>
      </w:r>
      <w:r>
        <w:rPr>
          <w:rtl w:val="true"/>
        </w:rPr>
        <w:t xml:space="preserve">, </w:t>
      </w:r>
      <w:r>
        <w:rPr>
          <w:rtl w:val="true"/>
        </w:rPr>
        <w:t>הוא נעדר יכולת לגבש מחשבה פלילית</w:t>
      </w:r>
      <w:r>
        <w:rPr>
          <w:rtl w:val="true"/>
        </w:rPr>
        <w:t xml:space="preserve">. </w:t>
      </w:r>
      <w:r>
        <w:rPr>
          <w:rtl w:val="true"/>
        </w:rPr>
        <w:t>בכל זאת</w:t>
      </w:r>
      <w:r>
        <w:rPr>
          <w:rtl w:val="true"/>
        </w:rPr>
        <w:t xml:space="preserve">, </w:t>
      </w:r>
      <w:r>
        <w:rPr>
          <w:rtl w:val="true"/>
        </w:rPr>
        <w:t xml:space="preserve">על סמך מספרן הרב של הדקירות ומיקומן באיברים חיוניים נקבע כי העבירה שבוצעה היא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רצח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על רקע הסכמת באי</w:t>
      </w:r>
      <w:r>
        <w:rPr>
          <w:rtl w:val="true"/>
        </w:rPr>
        <w:t>-</w:t>
      </w:r>
      <w:r>
        <w:rPr>
          <w:rtl w:val="true"/>
        </w:rPr>
        <w:t>כוח הצדדים כי הרפורמה מהווה דין מקל בעניינו של המשיב</w:t>
      </w:r>
      <w:r>
        <w:rPr>
          <w:rtl w:val="true"/>
        </w:rPr>
        <w:t xml:space="preserve">, </w:t>
      </w:r>
      <w:r>
        <w:rPr>
          <w:rtl w:val="true"/>
        </w:rPr>
        <w:t xml:space="preserve">נקבע כי הוכח מעבר לספק סביר כי המשיב ביצע את עבירת הרצח הבסיסית לפי </w:t>
      </w:r>
      <w:hyperlink r:id="rId7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>לאחר זאת</w:t>
      </w:r>
      <w:r>
        <w:rPr>
          <w:rtl w:val="true"/>
        </w:rPr>
        <w:t xml:space="preserve">, </w:t>
      </w:r>
      <w:r>
        <w:rPr>
          <w:rtl w:val="true"/>
        </w:rPr>
        <w:t>לנוכח חוות דעת פסיכיאטרי</w:t>
      </w:r>
      <w:r>
        <w:rPr>
          <w:rtl w:val="true"/>
        </w:rPr>
        <w:t>ת</w:t>
      </w:r>
      <w:r>
        <w:rPr>
          <w:rtl w:val="true"/>
        </w:rPr>
        <w:t xml:space="preserve"> מעודכנת</w:t>
      </w:r>
      <w:r>
        <w:rPr>
          <w:rtl w:val="true"/>
        </w:rPr>
        <w:t xml:space="preserve">, </w:t>
      </w:r>
      <w:r>
        <w:rPr>
          <w:rtl w:val="true"/>
        </w:rPr>
        <w:t>ובשל הסכמת באי</w:t>
      </w:r>
      <w:r>
        <w:rPr>
          <w:rtl w:val="true"/>
        </w:rPr>
        <w:t>-</w:t>
      </w:r>
      <w:r>
        <w:rPr>
          <w:rtl w:val="true"/>
        </w:rPr>
        <w:t>כוח הצדדים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הורה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זיכוי</w:t>
      </w:r>
      <w:r>
        <w:rPr>
          <w:rtl w:val="true"/>
        </w:rPr>
        <w:t xml:space="preserve"> המשיב מכוח הגנת אי</w:t>
      </w:r>
      <w:r>
        <w:rPr>
          <w:rtl w:val="true"/>
        </w:rPr>
        <w:t>-</w:t>
      </w:r>
      <w:r>
        <w:rPr>
          <w:rtl w:val="true"/>
        </w:rPr>
        <w:t xml:space="preserve">השפיות שלפי </w:t>
      </w:r>
      <w:hyperlink r:id="rId7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ח</w:t>
        </w:r>
      </w:hyperlink>
      <w:r>
        <w:rPr>
          <w:rtl w:val="true"/>
        </w:rPr>
        <w:t xml:space="preserve"> לחוק והורה על אשפוזו בבית חולים בהתאם </w:t>
      </w:r>
      <w:hyperlink r:id="rId80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. </w:t>
      </w:r>
      <w:r>
        <w:rPr>
          <w:rtl w:val="true"/>
        </w:rPr>
        <w:t>אשר למשך תקופת האשפוז המרבית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קבע בהחלטה מושא הערעור שלפנינו כי בגין ביצוע עבירת הרצח הבסיסית לפי </w:t>
      </w:r>
      <w:hyperlink r:id="rId8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תקופה זו תעמוד ככלל על </w:t>
      </w:r>
      <w:r>
        <w:rPr>
          <w:rFonts w:cs="Miriam" w:ascii="Century" w:hAnsi="Century"/>
          <w:b/>
          <w:spacing w:val="0"/>
          <w:sz w:val="22"/>
          <w:szCs w:val="24"/>
        </w:rPr>
        <w:t>20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וכך גם בפרט בעניינו של המשיב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בתוך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נדחתה עמדת המדינה אשר דרשה תקופת אשפוז מרבית של </w:t>
      </w:r>
      <w:r>
        <w:rPr>
          <w:rFonts w:cs="Miriam" w:ascii="Century" w:hAnsi="Century"/>
          <w:b/>
          <w:spacing w:val="0"/>
          <w:sz w:val="22"/>
          <w:szCs w:val="24"/>
        </w:rPr>
        <w:t>25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שנים</w:t>
      </w:r>
      <w:r>
        <w:rPr>
          <w:rFonts w:ascii="Century" w:hAnsi="Century" w:cs="Century"/>
          <w:rtl w:val="true"/>
        </w:rPr>
        <w:t xml:space="preserve"> בגין ביצוע עבירת הרצח הבסיסית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ביסוד החלטת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ניצבו שלושה טעמים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הודגש כי ישנה אי בהירות בפרשנות הוראות החוק השונות</w:t>
      </w:r>
      <w:r>
        <w:rPr>
          <w:rtl w:val="true"/>
        </w:rPr>
        <w:t xml:space="preserve">, </w:t>
      </w:r>
      <w:r>
        <w:rPr>
          <w:rtl w:val="true"/>
        </w:rPr>
        <w:t xml:space="preserve">ועל כן יש לבחור </w:t>
      </w:r>
      <w:r>
        <w:rPr>
          <w:rtl w:val="true"/>
        </w:rPr>
        <w:t>"</w:t>
      </w:r>
      <w:r>
        <w:rPr>
          <w:rtl w:val="true"/>
        </w:rPr>
        <w:t>בפרשנות המקלה</w:t>
      </w:r>
      <w:r>
        <w:rPr>
          <w:rtl w:val="true"/>
        </w:rPr>
        <w:t xml:space="preserve">" </w:t>
      </w:r>
      <w:r>
        <w:rPr>
          <w:rtl w:val="true"/>
        </w:rPr>
        <w:t>עם המשיב בהתאם לכלל הנוהג בדין הפלילי</w:t>
      </w:r>
      <w:r>
        <w:rPr>
          <w:rtl w:val="true"/>
        </w:rPr>
        <w:t xml:space="preserve">;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 xml:space="preserve">נומק כי </w:t>
      </w:r>
      <w:r>
        <w:rPr>
          <w:rFonts w:ascii="Century" w:hAnsi="Century" w:cs="Century"/>
          <w:rtl w:val="true"/>
        </w:rPr>
        <w:t>קביעה זו עולה בקנה אחד עם מדרג החומרה שנקבע ברפורמה בעבירות ההמתה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הואיל ואין חולק שתקופת האשפוז המרבית בגין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מחמירות</w:t>
      </w:r>
      <w:r>
        <w:rPr>
          <w:rFonts w:ascii="Century" w:hAnsi="Century" w:cs="Century"/>
          <w:rtl w:val="true"/>
        </w:rPr>
        <w:t xml:space="preserve"> היא </w:t>
      </w:r>
      <w:r>
        <w:rPr>
          <w:rFonts w:cs="Miriam" w:ascii="Century" w:hAnsi="Century"/>
          <w:b/>
          <w:spacing w:val="0"/>
          <w:sz w:val="22"/>
          <w:szCs w:val="24"/>
        </w:rPr>
        <w:t>25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כך נלמד על דרך ההיקש </w:t>
      </w:r>
      <w:hyperlink r:id="rId83">
        <w:r>
          <w:rPr>
            <w:rStyle w:val="Hyperlink"/>
            <w:rFonts w:ascii="Century" w:hAnsi="Century" w:cs="Century"/>
            <w:rtl w:val="true"/>
          </w:rPr>
          <w:t>מסעיף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301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אשר עניינו נאשם הכשיר לעמוד לדין ואחראי על מעשה ההמתה שביצע בשל הפרעה נפשית חמורה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העונש המרבי בצדה הוא </w:t>
      </w:r>
      <w:r>
        <w:rPr>
          <w:rFonts w:cs="Miriam" w:ascii="Century" w:hAnsi="Century"/>
          <w:b/>
          <w:spacing w:val="0"/>
          <w:sz w:val="22"/>
          <w:szCs w:val="24"/>
        </w:rPr>
        <w:t>20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וממילא כך גם תקופת האשפוז המרבית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החלטה זו נסב הערעור שלפנינו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לעמדת המערערת </w:t>
      </w:r>
      <w:r>
        <w:rPr>
          <w:rtl w:val="true"/>
        </w:rPr>
        <w:t>–</w:t>
      </w:r>
      <w:r>
        <w:rPr>
          <w:rtl w:val="true"/>
        </w:rPr>
        <w:t xml:space="preserve"> המדינה</w:t>
      </w:r>
      <w:r>
        <w:rPr>
          <w:rtl w:val="true"/>
        </w:rPr>
        <w:t xml:space="preserve">, </w:t>
      </w:r>
      <w:r>
        <w:rPr>
          <w:rtl w:val="true"/>
        </w:rPr>
        <w:t>יש לפרש את הוראות החוק הרלוונטיות באופן שתקופת האשפוז המרבית בעניין 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 xml:space="preserve">נפש בעבירת הרצח הבסיסית תעמוד על </w:t>
      </w:r>
      <w:r>
        <w:rPr>
          <w:rFonts w:cs="Miriam" w:ascii="Century" w:hAnsi="Century"/>
          <w:b/>
          <w:spacing w:val="0"/>
          <w:sz w:val="22"/>
          <w:szCs w:val="24"/>
        </w:rPr>
        <w:t>25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לשיטת המדינה</w:t>
      </w:r>
      <w:r>
        <w:rPr>
          <w:rtl w:val="true"/>
        </w:rPr>
        <w:t xml:space="preserve">, </w:t>
      </w:r>
      <w:r>
        <w:rPr>
          <w:rtl w:val="true"/>
        </w:rPr>
        <w:t xml:space="preserve">אמנם לפי </w:t>
      </w:r>
      <w:hyperlink r:id="rId8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"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שדינה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שיטיל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תעלה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שנה</w:t>
      </w:r>
      <w:r>
        <w:rPr>
          <w:rtl w:val="true"/>
        </w:rPr>
        <w:t xml:space="preserve">", </w:t>
      </w:r>
      <w:r>
        <w:rPr>
          <w:rtl w:val="true"/>
        </w:rPr>
        <w:t xml:space="preserve">אולם </w:t>
      </w:r>
      <w:hyperlink r:id="rId8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 אשר נחקק במסגרת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 xml:space="preserve">מחריג את עבירת הרצח הבסיסית וקובע כי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הוראות</w:t>
      </w:r>
      <w:r>
        <w:rPr>
          <w:rtl w:val="true"/>
        </w:rPr>
        <w:t xml:space="preserve"> </w:t>
      </w:r>
      <w:hyperlink r:id="rId8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</w:t>
        </w:r>
      </w:hyperlink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r>
        <w:rPr>
          <w:rtl w:val="true"/>
        </w:rPr>
        <w:t>סימן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שדינה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קצובה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תעלה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שנים</w:t>
      </w:r>
      <w:r>
        <w:rPr>
          <w:rtl w:val="true"/>
        </w:rPr>
        <w:t>" (</w:t>
      </w:r>
      <w:r>
        <w:rPr>
          <w:rtl w:val="true"/>
        </w:rPr>
        <w:t xml:space="preserve">ההדגשה הוספה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אף על פי שעל פני הדברים משמעות הוראות אלו היא כי תקופת האשפוז המרבית בגין עבירת הרצח הבסיסית תהא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לטענת המדינה יש לאמץ פרשנות מיטיבה המשווה את תקופת האשפוז המרבית לזו הנקצבת בגין עבירת הרצח בנסיבות מחמירות אשר עומדת על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המוצע</w:t>
      </w:r>
      <w:r>
        <w:rPr>
          <w:rFonts w:eastAsia="Arial TUR;Arial" w:cs="Arial TUR;Arial"/>
          <w:rtl w:val="true"/>
        </w:rPr>
        <w:t xml:space="preserve"> </w:t>
      </w:r>
      <w:hyperlink r:id="rId87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"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הייחודי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לעמדת המשיב</w:t>
      </w:r>
      <w:r>
        <w:rPr>
          <w:rtl w:val="true"/>
        </w:rPr>
        <w:t xml:space="preserve">, </w:t>
      </w:r>
      <w:r>
        <w:rPr>
          <w:rtl w:val="true"/>
        </w:rPr>
        <w:t xml:space="preserve">הפרשנות הנכונה להוראות החוק היא שיש להעמיד את תקופת האשפוז המרבית על </w:t>
      </w:r>
      <w:r>
        <w:rPr>
          <w:rFonts w:cs="Miriam" w:ascii="Century" w:hAnsi="Century"/>
          <w:b/>
          <w:spacing w:val="0"/>
          <w:sz w:val="22"/>
          <w:szCs w:val="24"/>
        </w:rPr>
        <w:t>20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המשיב מאמץ את נימוקי בית המשפט המחוזי ומוסיף כי פרשנות זו מתאימה מבחינה לשונית</w:t>
      </w:r>
      <w:r>
        <w:rPr>
          <w:rtl w:val="true"/>
        </w:rPr>
        <w:t xml:space="preserve">, </w:t>
      </w:r>
      <w:r>
        <w:rPr>
          <w:rtl w:val="true"/>
        </w:rPr>
        <w:t>מבחינה תכליתית ואף לנוכח כלל הפרשנות המקלה בפלילים</w:t>
      </w:r>
      <w:r>
        <w:rPr>
          <w:rtl w:val="true"/>
        </w:rPr>
        <w:t xml:space="preserve">. </w:t>
      </w:r>
      <w:r>
        <w:rPr>
          <w:rtl w:val="true"/>
        </w:rPr>
        <w:t>כן נטען</w:t>
      </w:r>
      <w:r>
        <w:rPr>
          <w:rtl w:val="true"/>
        </w:rPr>
        <w:t xml:space="preserve">, </w:t>
      </w:r>
      <w:r>
        <w:rPr>
          <w:rtl w:val="true"/>
        </w:rPr>
        <w:t xml:space="preserve">כי לפי </w:t>
      </w:r>
      <w:hyperlink r:id="rId8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רק כאשר מדובר בעונש מאסר עולם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tl w:val="true"/>
        </w:rPr>
        <w:t xml:space="preserve"> אזי תקופת האשפוז המרבית תהא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ומשכך אין להחיל הוראה זו גם ביחס לעבירת הרצח הבסיסית שבה מדובר בעונש מאסר עולם כעונש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מרבי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 </w:t>
      </w:r>
      <w:r>
        <w:rPr>
          <w:rtl w:val="true"/>
        </w:rPr>
        <w:t>כי אמנם תכלית האשפוז היא טיפולית</w:t>
      </w:r>
      <w:r>
        <w:rPr>
          <w:rtl w:val="true"/>
        </w:rPr>
        <w:t xml:space="preserve">, </w:t>
      </w:r>
      <w:r>
        <w:rPr>
          <w:rtl w:val="true"/>
        </w:rPr>
        <w:t xml:space="preserve">אולם צו האשפוז </w:t>
      </w:r>
      <w:r>
        <w:rPr>
          <w:rtl w:val="true"/>
        </w:rPr>
        <w:t>"</w:t>
      </w:r>
      <w:r>
        <w:rPr>
          <w:rtl w:val="true"/>
        </w:rPr>
        <w:t>יונק את חיותו מהאישום הפלילי</w:t>
      </w:r>
      <w:r>
        <w:rPr>
          <w:rtl w:val="true"/>
        </w:rPr>
        <w:t xml:space="preserve">", </w:t>
      </w:r>
      <w:r>
        <w:rPr>
          <w:rtl w:val="true"/>
        </w:rPr>
        <w:t>ועל כן ישנה חשיבות לחומרת העבירה והעונש לצידה בקביעת תקופת האשפוז המרבית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על רקע מדרג החומרה שנקבע ברפורמה בעבירות ההמתה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מתחייב</w:t>
      </w:r>
      <w:r>
        <w:rPr>
          <w:rtl w:val="true"/>
        </w:rPr>
        <w:t xml:space="preserve"> כי תקופת האשפוז המרבית בעבירת הרצח הבסיסית תהיה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קצרה</w:t>
      </w:r>
      <w:r>
        <w:rPr>
          <w:rtl w:val="true"/>
        </w:rPr>
        <w:t xml:space="preserve"> מאשר בעבירת הרצח בנסיבות מחמירות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עוד צוין כי אין בהוראות </w:t>
      </w:r>
      <w:hyperlink r:id="rId9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 כדי לתמוך בעמדת המדינה</w:t>
      </w:r>
      <w:r>
        <w:rPr>
          <w:rtl w:val="true"/>
        </w:rPr>
        <w:t xml:space="preserve">, </w:t>
      </w:r>
      <w:r>
        <w:rPr>
          <w:rtl w:val="true"/>
        </w:rPr>
        <w:t xml:space="preserve">מאחר שסעיף זה חל אך ורק כאשר בית המשפט מבקש להטיל עונש מאסר בפועל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</w:t>
      </w:r>
      <w:r>
        <w:rPr>
          <w:rtl w:val="true"/>
        </w:rPr>
        <w:t xml:space="preserve"> על נאשם ולא כאשר נדרש לקבוע תקופה מרבית לאשפוז</w:t>
      </w:r>
      <w:r>
        <w:rPr>
          <w:rtl w:val="true"/>
        </w:rPr>
        <w:t xml:space="preserve">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 xml:space="preserve">צוין כי פרשנות המדינה </w:t>
      </w:r>
      <w:r>
        <w:rPr>
          <w:rtl w:val="true"/>
        </w:rPr>
        <w:t>"</w:t>
      </w:r>
      <w:r>
        <w:rPr>
          <w:rtl w:val="true"/>
        </w:rPr>
        <w:t>טוענת לדבר והיפוכו</w:t>
      </w:r>
      <w:r>
        <w:rPr>
          <w:rtl w:val="true"/>
        </w:rPr>
        <w:t xml:space="preserve">", </w:t>
      </w:r>
      <w:r>
        <w:rPr>
          <w:rtl w:val="true"/>
        </w:rPr>
        <w:t xml:space="preserve">מאחר שלכאורה לפי </w:t>
      </w:r>
      <w:hyperlink r:id="rId9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9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יש לקבוע תקופה של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 xml:space="preserve">שנה ולא של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שנה כעמדתה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לעמדת המשיב</w:t>
      </w:r>
      <w:r>
        <w:rPr>
          <w:rtl w:val="true"/>
        </w:rPr>
        <w:t xml:space="preserve">, </w:t>
      </w:r>
      <w:r>
        <w:rPr>
          <w:rtl w:val="true"/>
        </w:rPr>
        <w:t xml:space="preserve">בשל </w:t>
      </w:r>
      <w:r>
        <w:rPr>
          <w:rtl w:val="true"/>
        </w:rPr>
        <w:t>"</w:t>
      </w:r>
      <w:r>
        <w:rPr>
          <w:rtl w:val="true"/>
        </w:rPr>
        <w:t>הקרבה המושגית והרעיונית</w:t>
      </w:r>
      <w:r>
        <w:rPr>
          <w:rtl w:val="true"/>
        </w:rPr>
        <w:t xml:space="preserve">" </w:t>
      </w:r>
      <w:r>
        <w:rPr>
          <w:rtl w:val="true"/>
        </w:rPr>
        <w:t xml:space="preserve">בין ענייננו לבין </w:t>
      </w:r>
      <w:hyperlink r:id="rId9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שעניינו המתה בנסיבות של אחריות מופחתת בשל הפרעה נפשית חמורה</w:t>
      </w:r>
      <w:r>
        <w:rPr>
          <w:rtl w:val="true"/>
        </w:rPr>
        <w:t xml:space="preserve">, </w:t>
      </w:r>
      <w:r>
        <w:rPr>
          <w:rtl w:val="true"/>
        </w:rPr>
        <w:t xml:space="preserve">ניתן להקיש וללמוד כי תקופת האשפוז המרבית לא תעלה על </w:t>
      </w:r>
      <w:r>
        <w:rPr>
          <w:rFonts w:cs="Miriam" w:ascii="Century" w:hAnsi="Century"/>
          <w:b/>
          <w:spacing w:val="0"/>
          <w:szCs w:val="24"/>
        </w:rPr>
        <w:t>20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לטעמי דין הערעור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להתקבל</w:t>
      </w:r>
      <w:r>
        <w:rPr>
          <w:rtl w:val="true"/>
        </w:rPr>
        <w:t xml:space="preserve">, </w:t>
      </w:r>
      <w:r>
        <w:rPr>
          <w:rtl w:val="true"/>
        </w:rPr>
        <w:t>באופן זה שתקופת האשפוז המרבית לנאשם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 xml:space="preserve">נפש בגין עבירת הרצח הבסיסית תהא </w:t>
      </w:r>
      <w:r>
        <w:rPr>
          <w:rFonts w:cs="Miriam" w:ascii="Century" w:hAnsi="Century"/>
          <w:b/>
          <w:spacing w:val="0"/>
          <w:sz w:val="22"/>
          <w:szCs w:val="24"/>
        </w:rPr>
        <w:t>25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וכך אציע לחבריי כי נקבע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עבירת הרצח הבסיסית קובעת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 העונש המרבי בצידה יהא עונש של מאסר עולם</w:t>
      </w:r>
      <w:r>
        <w:rPr>
          <w:rtl w:val="true"/>
        </w:rPr>
        <w:t xml:space="preserve">, </w:t>
      </w:r>
      <w:r>
        <w:rPr>
          <w:rtl w:val="true"/>
        </w:rPr>
        <w:t>כך בלשון הסעיף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300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"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hyperlink r:id="rId94">
        <w:r>
          <w:rPr>
            <w:rStyle w:val="Hyperlink"/>
            <w:rtl w:val="true"/>
          </w:rPr>
          <w:t>בפרק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9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",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" </w:t>
      </w:r>
      <w:r>
        <w:rPr>
          <w:rtl w:val="true"/>
        </w:rPr>
        <w:t>בזו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הלשון</w:t>
      </w:r>
      <w:r>
        <w:rPr>
          <w:rtl w:val="true"/>
        </w:rPr>
        <w:t>:</w:t>
      </w:r>
    </w:p>
    <w:p>
      <w:pPr>
        <w:pStyle w:val="Ruller5"/>
        <w:ind w:end="1282"/>
        <w:jc w:val="both"/>
        <w:rPr>
          <w:rFonts w:ascii="Century" w:hAnsi="Century" w:cs="Century"/>
          <w:b/>
          <w:bCs/>
        </w:rPr>
      </w:pPr>
      <w:r>
        <w:rPr>
          <w:rFonts w:cs="Century" w:ascii="Century" w:hAnsi="Century"/>
          <w:b/>
          <w:bCs/>
          <w:rtl w:val="true"/>
        </w:rPr>
      </w:r>
    </w:p>
    <w:p>
      <w:pPr>
        <w:pStyle w:val="Ruller5"/>
        <w:ind w:end="1282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20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באמת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בלבדיות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הכתוב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שתקופתו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" 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hyperlink r:id="rId96">
        <w:r>
          <w:rPr>
            <w:rStyle w:val="Hyperlink"/>
            <w:color w:val="0000FF"/>
            <w:u w:val="single"/>
            <w:rtl w:val="true"/>
          </w:rPr>
          <w:t>פלר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מאסר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  <w:rtl w:val="true"/>
          </w:rPr>
          <w:t>עולם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חובה</w:t>
        </w:r>
        <w:r>
          <w:rPr>
            <w:rStyle w:val="Hyperlink"/>
            <w:color w:val="0000FF"/>
            <w:u w:val="single"/>
            <w:rtl w:val="true"/>
          </w:rPr>
          <w:t xml:space="preserve">', </w:t>
        </w:r>
        <w:r>
          <w:rPr>
            <w:rStyle w:val="Hyperlink"/>
            <w:color w:val="0000FF"/>
            <w:u w:val="single"/>
            <w:rtl w:val="true"/>
          </w:rPr>
          <w:t>מאסר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עולם</w:t>
      </w:r>
      <w:r>
        <w:rPr>
          <w:rtl w:val="true"/>
        </w:rPr>
        <w:t xml:space="preserve">' </w:t>
      </w:r>
      <w:r>
        <w:rPr>
          <w:rtl w:val="true"/>
        </w:rPr>
        <w:t>ומאסר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'"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/>
        <w:t>507</w:t>
      </w:r>
      <w:r>
        <w:rPr>
          <w:rtl w:val="true"/>
        </w:rPr>
        <w:t xml:space="preserve">, </w:t>
      </w:r>
      <w:r>
        <w:rPr/>
        <w:t>508</w:t>
      </w:r>
      <w:r>
        <w:rPr>
          <w:rtl w:val="true"/>
        </w:rPr>
        <w:t xml:space="preserve"> (</w:t>
      </w:r>
      <w:r>
        <w:rPr/>
        <w:t>1994</w:t>
      </w:r>
      <w:r>
        <w:rPr>
          <w:rtl w:val="true"/>
        </w:rPr>
        <w:t xml:space="preserve">)).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hyperlink r:id="rId97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97</w:t>
        </w:r>
      </w:hyperlink>
      <w:r>
        <w:rPr>
          <w:rtl w:val="true"/>
        </w:rPr>
        <w:t xml:space="preserve">, </w:t>
      </w:r>
      <w:hyperlink r:id="rId98">
        <w:r>
          <w:rPr>
            <w:rStyle w:val="Hyperlink"/>
          </w:rPr>
          <w:t>98</w:t>
        </w:r>
      </w:hyperlink>
      <w:r>
        <w:rPr>
          <w:rtl w:val="true"/>
        </w:rPr>
        <w:t xml:space="preserve">, </w:t>
      </w:r>
      <w:hyperlink r:id="rId99">
        <w:r>
          <w:rPr>
            <w:rStyle w:val="Hyperlink"/>
          </w:rPr>
          <w:t>107</w:t>
        </w:r>
      </w:hyperlink>
      <w:r>
        <w:rPr>
          <w:rtl w:val="true"/>
        </w:rPr>
        <w:t xml:space="preserve">, </w:t>
      </w:r>
      <w:hyperlink r:id="rId100">
        <w:r>
          <w:rPr>
            <w:rStyle w:val="Hyperlink"/>
          </w:rPr>
          <w:t>111</w:t>
        </w:r>
      </w:hyperlink>
      <w:r>
        <w:rPr>
          <w:rtl w:val="true"/>
        </w:rPr>
        <w:t xml:space="preserve">, </w:t>
      </w:r>
      <w:hyperlink r:id="rId101">
        <w:r>
          <w:rPr>
            <w:rStyle w:val="Hyperlink"/>
          </w:rPr>
          <w:t>113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02">
        <w:r>
          <w:rPr>
            <w:rStyle w:val="Hyperlink"/>
          </w:rPr>
          <w:t>121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;Arial" w:cs="Arial TUR;Arial"/>
          <w:rtl w:val="true"/>
        </w:rPr>
        <w:t xml:space="preserve"> </w:t>
      </w:r>
      <w:hyperlink r:id="rId104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311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ספציפית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311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הגומלין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hyperlink r:id="rId10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311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hyperlink r:id="rId10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כבוב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"[...] </w:t>
      </w:r>
      <w:r>
        <w:rPr>
          <w:rtl w:val="true"/>
        </w:rPr>
        <w:t>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, </w:t>
      </w:r>
      <w:r>
        <w:rPr>
          <w:rtl w:val="true"/>
        </w:rPr>
        <w:t>מביאה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300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בפשט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[...], </w:t>
      </w:r>
      <w:r>
        <w:rPr>
          <w:rtl w:val="true"/>
        </w:rPr>
        <w:t>ועלינו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311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tl w:val="true"/>
        </w:rPr>
        <w:t xml:space="preserve">?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התשובה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firstLine="516" w:end="1282"/>
        <w:jc w:val="both"/>
        <w:rPr/>
      </w:pP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מהאמור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עניינו</w:t>
      </w:r>
      <w:r>
        <w:rPr>
          <w:rtl w:val="true"/>
        </w:rPr>
        <w:t xml:space="preserve">, </w:t>
      </w:r>
      <w:r>
        <w:rPr>
          <w:rtl w:val="true"/>
        </w:rPr>
        <w:t>וחלף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311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',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כעמדת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להחיל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34</w:t>
      </w:r>
      <w:r>
        <w:rPr>
          <w:rtl w:val="true"/>
        </w:rPr>
        <w:t>כא</w:t>
      </w:r>
      <w:r>
        <w:rPr>
          <w:rtl w:val="true"/>
        </w:rPr>
        <w:t>" (</w:t>
      </w:r>
      <w:hyperlink r:id="rId10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46-42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30.11.2022</w:t>
      </w:r>
      <w:r>
        <w:rPr>
          <w:rtl w:val="true"/>
        </w:rPr>
        <w:t>)</w:t>
      </w:r>
      <w:r>
        <w:rPr>
          <w:rtl w:val="true"/>
        </w:rPr>
        <w:t>).</w:t>
      </w:r>
      <w:r>
        <w:rPr>
          <w:rtl w:val="true"/>
        </w:rPr>
        <w:t>‏‏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מבחינה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עונשית</w:t>
      </w:r>
      <w:r>
        <w:rPr>
          <w:rtl w:val="true"/>
        </w:rPr>
        <w:t xml:space="preserve">, </w:t>
      </w:r>
      <w:r>
        <w:rPr>
          <w:rtl w:val="true"/>
        </w:rPr>
        <w:t xml:space="preserve">אין עוד חולק כי עבירות ההמתה מוחרגות מתחולת </w:t>
      </w:r>
      <w:hyperlink r:id="rId10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כך שהמשמעות היא כי ביחס לעבירות ההמתה אשר בצידן עונש מאסר עולם שאינו חובה בידי בית המשפט שתי אפשרויות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עונשיות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עונש מרבי של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או קביעת עונש מאסר לתקופה בלתי קצובה אשר עליה יחולו הוראות </w:t>
      </w:r>
      <w:hyperlink r:id="rId10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שחרור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תנאי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ממאסר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 xml:space="preserve">המתייחסות </w:t>
      </w:r>
      <w:r>
        <w:rPr>
          <w:rtl w:val="true"/>
        </w:rPr>
        <w:t>לקציבת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בדרך זו פסע עד כה בית משפט זה</w:t>
      </w:r>
      <w:r>
        <w:rPr>
          <w:rtl w:val="true"/>
        </w:rPr>
        <w:t xml:space="preserve">, </w:t>
      </w:r>
      <w:r>
        <w:rPr>
          <w:rtl w:val="true"/>
        </w:rPr>
        <w:t xml:space="preserve">עת נגזרו בגין עבירת הרצח הבסיסית עונשי מאסר בפועל המגיעים עד לעונש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קצוב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1213/21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</w:t>
      </w:r>
      <w:r>
        <w:rPr/>
        <w:t>8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1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1978/21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עמאש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7.6</w:t>
      </w:r>
      <w:r>
        <w:rPr/>
        <w:t>.2023</w:t>
      </w:r>
      <w:r>
        <w:rPr>
          <w:rtl w:val="true"/>
        </w:rPr>
        <w:t>)).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פני הדברים</w:t>
      </w:r>
      <w:r>
        <w:rPr>
          <w:rtl w:val="true"/>
        </w:rPr>
        <w:t xml:space="preserve">, </w:t>
      </w:r>
      <w:r>
        <w:rPr>
          <w:rtl w:val="true"/>
        </w:rPr>
        <w:t>בשלב זה קצרה הדרך לקבוע כי המסקנה הפרשנית הפשוטה היא שנדרש להשוות את תקופת המאסר המרבית בגין עבירת הרצח הבסיסית לתקופת האשפוז המרבית עבור 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 xml:space="preserve">נפש </w:t>
      </w:r>
      <w:r>
        <w:rPr>
          <w:rtl w:val="true"/>
        </w:rPr>
        <w:t>–</w:t>
      </w:r>
      <w:r>
        <w:rPr>
          <w:rtl w:val="true"/>
        </w:rPr>
        <w:t xml:space="preserve"> היינו</w:t>
      </w:r>
      <w:r>
        <w:rPr>
          <w:rtl w:val="true"/>
        </w:rPr>
        <w:t xml:space="preserve">, </w:t>
      </w:r>
      <w:r>
        <w:rPr>
          <w:rtl w:val="true"/>
        </w:rPr>
        <w:t xml:space="preserve">לכל הפחות </w:t>
      </w:r>
      <w:r>
        <w:rPr>
          <w:rFonts w:cs="Century" w:ascii="Century" w:hAnsi="Century"/>
          <w:sz w:val="22"/>
        </w:rPr>
        <w:t>30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מסקנה זו מוקשית </w:t>
      </w:r>
      <w:r>
        <w:rPr>
          <w:rtl w:val="true"/>
        </w:rPr>
        <w:t>–</w:t>
      </w:r>
      <w:r>
        <w:rPr>
          <w:rtl w:val="true"/>
        </w:rPr>
        <w:t xml:space="preserve"> הן לעמדת המשיב אשר סבור כי יש לקבוע את תקופת האשפוז המרבית על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הן לעמדת המדינה שלפיה תקופה זו תהא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  <w:r>
        <w:rPr>
          <w:rtl w:val="true"/>
        </w:rPr>
        <w:tab/>
        <w:tab/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שתי העמדות </w:t>
      </w:r>
      <w:r>
        <w:rPr>
          <w:rtl w:val="true"/>
        </w:rPr>
        <w:t>–</w:t>
      </w:r>
      <w:r>
        <w:rPr>
          <w:rtl w:val="true"/>
        </w:rPr>
        <w:t xml:space="preserve"> של המדינה ושל המשיב </w:t>
      </w:r>
      <w:r>
        <w:rPr>
          <w:rtl w:val="true"/>
        </w:rPr>
        <w:t>–</w:t>
      </w:r>
      <w:r>
        <w:rPr>
          <w:rtl w:val="true"/>
        </w:rPr>
        <w:t xml:space="preserve"> מתמודדות עם קושי פרשני לשוני בסעיפי החוק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 xml:space="preserve">כל אחת מבין הצעות אלו מתמודדת עם קושי אחר </w:t>
      </w:r>
      <w:r>
        <w:rPr>
          <w:rtl w:val="true"/>
        </w:rPr>
        <w:t>–</w:t>
      </w:r>
      <w:r>
        <w:rPr>
          <w:rtl w:val="true"/>
        </w:rPr>
        <w:t xml:space="preserve"> עמדת המשיב אינה מתיישבת עם תחולת </w:t>
      </w:r>
      <w:hyperlink r:id="rId1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; </w:t>
      </w:r>
      <w:r>
        <w:rPr>
          <w:rtl w:val="true"/>
        </w:rPr>
        <w:t xml:space="preserve">ואילו עמדת המדינה מוקשית לנוכח הוראת </w:t>
      </w:r>
      <w:hyperlink r:id="rId11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. </w:t>
      </w:r>
      <w:r>
        <w:rPr>
          <w:rtl w:val="true"/>
        </w:rPr>
        <w:t>ארחיב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עמדת המשיב שלפיה </w:t>
      </w:r>
      <w:r>
        <w:rPr>
          <w:rFonts w:ascii="Century" w:hAnsi="Century" w:cs="Century"/>
          <w:b/>
          <w:b/>
          <w:sz w:val="22"/>
          <w:sz w:val="22"/>
          <w:rtl w:val="true"/>
        </w:rPr>
        <w:t xml:space="preserve">תקופת האשפוז המרבית תהא למשך </w:t>
      </w:r>
      <w:r>
        <w:rPr>
          <w:rFonts w:cs="Century" w:ascii="Century" w:hAnsi="Century"/>
          <w:b/>
          <w:sz w:val="22"/>
        </w:rPr>
        <w:t>20</w:t>
      </w:r>
      <w:r>
        <w:rPr>
          <w:rFonts w:cs="Century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Century"/>
          <w:b/>
          <w:b/>
          <w:sz w:val="22"/>
          <w:sz w:val="22"/>
          <w:rtl w:val="true"/>
        </w:rPr>
        <w:t>שנים</w:t>
      </w:r>
      <w:r>
        <w:rPr>
          <w:rFonts w:ascii="Century" w:hAnsi="Century" w:cs="Century"/>
          <w:sz w:val="22"/>
          <w:sz w:val="22"/>
          <w:rtl w:val="true"/>
        </w:rPr>
        <w:t xml:space="preserve"> נתקלת בקושי משמעותי שמציב </w:t>
      </w:r>
      <w:hyperlink r:id="rId115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311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לחוק המאפשר לבתי המשפט לגזור עונש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מאסר עולם לתקופה בלתי קצובה או מאסר לתקופה שלא תעלה על שלושים שנים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 xml:space="preserve">בגין עבירות המתה שדינן מאסר עולם שאינו חובה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כעבירת הרצח הבסיסית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ממילא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כמפורט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כך גם יהא משך תקופת האשפוז המרבית ותידחה העמדה שלפיה תקופה זו תהא </w:t>
      </w:r>
      <w:r>
        <w:rPr>
          <w:rFonts w:cs="Century" w:ascii="Century" w:hAnsi="Century"/>
          <w:sz w:val="22"/>
        </w:rPr>
        <w:t>20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על מנת להתמודד עם קושי זה נטען כי </w:t>
      </w:r>
      <w:hyperlink r:id="rId1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 חל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tl w:val="true"/>
        </w:rPr>
        <w:t xml:space="preserve"> בפועל ואילו לעניין קביעת תקופת האשפוז המרבית יש להחיל את </w:t>
      </w:r>
      <w:hyperlink r:id="rId1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שלפיו עונש מאסר עולם שאינו חובה יהא כעונש מרבי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 xml:space="preserve">כי את עבירת הרצח הבסיסית </w:t>
      </w:r>
      <w:hyperlink r:id="rId118">
        <w:r>
          <w:rPr>
            <w:rStyle w:val="Hyperlink"/>
            <w:rtl w:val="true"/>
          </w:rPr>
          <w:t>שבסעיף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יש לקרוא בשילוב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התמורה</w:t>
      </w:r>
      <w:r>
        <w:rPr>
          <w:rtl w:val="true"/>
        </w:rPr>
        <w:t xml:space="preserve"> של </w:t>
      </w:r>
      <w:hyperlink r:id="rId1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משל נוסח הסעיף היה</w:t>
      </w:r>
      <w:r>
        <w:rPr>
          <w:rtl w:val="true"/>
        </w:rPr>
        <w:t>: "</w:t>
      </w:r>
      <w:r>
        <w:rPr>
          <w:rtl w:val="true"/>
        </w:rPr>
        <w:t>הגורם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באדישות</w:t>
      </w:r>
      <w:r>
        <w:rPr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tl w:val="true"/>
        </w:rPr>
        <w:t xml:space="preserve"> –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שנה</w:t>
      </w:r>
      <w:r>
        <w:rPr>
          <w:rtl w:val="true"/>
        </w:rPr>
        <w:t xml:space="preserve">".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 xml:space="preserve">נטען כי את הוראת </w:t>
      </w:r>
      <w:hyperlink r:id="rId1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 יש לקרוא ככזו המאפשרת לבית המשפט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לגזור</w:t>
      </w:r>
      <w:r>
        <w:rPr>
          <w:rtl w:val="true"/>
        </w:rPr>
        <w:t xml:space="preserve"> עונש מרבי של </w:t>
      </w:r>
      <w:r>
        <w:rPr>
          <w:rtl w:val="true"/>
        </w:rPr>
        <w:t>"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קצובה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תעלה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שלושים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". </w:t>
      </w:r>
      <w:r>
        <w:rPr>
          <w:rtl w:val="true"/>
        </w:rPr>
        <w:t>משמע</w:t>
      </w:r>
      <w:r>
        <w:rPr>
          <w:rtl w:val="true"/>
        </w:rPr>
        <w:t xml:space="preserve">, </w:t>
      </w:r>
      <w:r>
        <w:rPr>
          <w:rtl w:val="true"/>
        </w:rPr>
        <w:t>שיש לראות הוראה זו</w:t>
      </w:r>
      <w:r>
        <w:rPr>
          <w:rtl w:val="true"/>
        </w:rPr>
        <w:t xml:space="preserve">, </w:t>
      </w:r>
      <w:r>
        <w:rPr>
          <w:rtl w:val="true"/>
        </w:rPr>
        <w:t>בהקשר הנדון</w:t>
      </w:r>
      <w:r>
        <w:rPr>
          <w:rtl w:val="true"/>
        </w:rPr>
        <w:t xml:space="preserve">, </w:t>
      </w:r>
      <w:r>
        <w:rPr>
          <w:rtl w:val="true"/>
        </w:rPr>
        <w:t xml:space="preserve">כהוראה עונשית בלבד </w:t>
      </w:r>
      <w:r>
        <w:rPr>
          <w:rtl w:val="true"/>
        </w:rPr>
        <w:t>–</w:t>
      </w:r>
      <w:r>
        <w:rPr>
          <w:rtl w:val="true"/>
        </w:rPr>
        <w:t xml:space="preserve"> אשר אין לה תחולה מקום בו אין הרשעה ואין הליך של גזירת העונש</w:t>
      </w:r>
      <w:r>
        <w:rPr>
          <w:rtl w:val="true"/>
        </w:rPr>
        <w:t xml:space="preserve">. </w:t>
      </w:r>
      <w:r>
        <w:rPr>
          <w:rtl w:val="true"/>
        </w:rPr>
        <w:t>לפי פרשנות זו</w:t>
      </w:r>
      <w:r>
        <w:rPr>
          <w:rtl w:val="true"/>
        </w:rPr>
        <w:t xml:space="preserve">, </w:t>
      </w:r>
      <w:r>
        <w:rPr>
          <w:rtl w:val="true"/>
        </w:rPr>
        <w:t>הואיל ובעניינו של 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 בית המשפט לא נדרש לגזור את דינו</w:t>
      </w:r>
      <w:r>
        <w:rPr>
          <w:rtl w:val="true"/>
        </w:rPr>
        <w:t xml:space="preserve">, </w:t>
      </w:r>
      <w:r>
        <w:rPr>
          <w:rtl w:val="true"/>
        </w:rPr>
        <w:t xml:space="preserve">תקופת האשפוז המרבית תהא כתקופת המאסר המרבית הרלוונטית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לשון סעיפי החוק ואופן יישומם </w:t>
      </w:r>
      <w:r>
        <w:rPr>
          <w:rFonts w:ascii="Century" w:hAnsi="Century" w:cs="Century"/>
          <w:rtl w:val="true"/>
        </w:rPr>
        <w:t>סותמים את הגולל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לטעמי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פרשנות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כבר בפתח </w:t>
      </w:r>
      <w:hyperlink r:id="rId12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311</w:t>
        </w:r>
        <w:r>
          <w:rPr>
            <w:rStyle w:val="Hyperlink"/>
            <w:rFonts w:ascii="Century" w:hAnsi="Century" w:cs="Century"/>
            <w:rtl w:val="true"/>
          </w:rPr>
          <w:t>א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המחוקק הדגיש כי תחולתו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41</w:t>
      </w:r>
      <w:r>
        <w:rPr>
          <w:rFonts w:cs="Century" w:ascii="Century" w:hAnsi="Century"/>
          <w:rtl w:val="true"/>
        </w:rPr>
        <w:t xml:space="preserve">"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ללמדך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hyperlink r:id="rId12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311</w:t>
        </w:r>
        <w:r>
          <w:rPr>
            <w:rStyle w:val="Hyperlink"/>
            <w:rFonts w:ascii="Century" w:hAnsi="Century" w:cs="Century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לחוק בא בנעלי </w:t>
      </w:r>
      <w:hyperlink r:id="rId12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באופן מלא ביחס לעבירות ההמתה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המשמעות היא כי בדומה לדרך פעולתו של </w:t>
      </w:r>
      <w:hyperlink r:id="rId12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כתמורה</w:t>
      </w:r>
      <w:r>
        <w:rPr>
          <w:rFonts w:ascii="Century" w:hAnsi="Century" w:cs="Century"/>
          <w:rtl w:val="true"/>
        </w:rPr>
        <w:t xml:space="preserve"> בלשון החוק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כך גם פועל </w:t>
      </w:r>
      <w:hyperlink r:id="rId12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311</w:t>
        </w:r>
        <w:r>
          <w:rPr>
            <w:rStyle w:val="Hyperlink"/>
            <w:rFonts w:ascii="Century" w:hAnsi="Century" w:cs="Century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לחוק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</w:t>
      </w:r>
      <w:r>
        <w:rPr>
          <w:rtl w:val="true"/>
        </w:rPr>
        <w:t xml:space="preserve"> </w:t>
      </w:r>
      <w:hyperlink r:id="rId1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יש לקרוא בשילוב התמורה של </w:t>
      </w:r>
      <w:hyperlink r:id="rId12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>משל לשון הסעיף הייתה</w:t>
      </w:r>
      <w:r>
        <w:rPr>
          <w:rtl w:val="true"/>
        </w:rPr>
        <w:t>: "</w:t>
      </w:r>
      <w:r>
        <w:rPr>
          <w:rtl w:val="true"/>
        </w:rPr>
        <w:t>הגורם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דינו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תעלה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שנים</w:t>
      </w:r>
      <w:r>
        <w:rPr>
          <w:rFonts w:cs="Century" w:ascii="Century" w:hAnsi="Century"/>
          <w:rtl w:val="true"/>
        </w:rPr>
        <w:t xml:space="preserve">". </w:t>
      </w:r>
      <w:r>
        <w:rPr>
          <w:rtl w:val="true"/>
        </w:rPr>
        <w:t>המשמעות של כך</w:t>
      </w:r>
      <w:r>
        <w:rPr>
          <w:rtl w:val="true"/>
        </w:rPr>
        <w:t xml:space="preserve">,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 xml:space="preserve">היא כי </w:t>
      </w:r>
      <w:hyperlink r:id="rId1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 </w:t>
      </w:r>
      <w:r>
        <w:rPr>
          <w:rtl w:val="true"/>
        </w:rPr>
        <w:t xml:space="preserve">אינו מבטא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עונשית</w:t>
      </w:r>
      <w:r>
        <w:rPr>
          <w:rtl w:val="true"/>
        </w:rPr>
        <w:t xml:space="preserve"> אלא מדובר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בתחליף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מהותי</w:t>
      </w:r>
      <w:r>
        <w:rPr>
          <w:rtl w:val="true"/>
        </w:rPr>
        <w:t xml:space="preserve"> בלשון החוק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מנגד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גם עמדת המדינה כי תקופת האשפוז המרבית תהא למשך </w:t>
      </w:r>
      <w:r>
        <w:rPr>
          <w:rFonts w:cs="Century" w:ascii="Century" w:hAnsi="Century"/>
          <w:sz w:val="22"/>
        </w:rPr>
        <w:t>25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 מעוררת קושי לשוני מסוים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קושי זה נעוץ כאמור </w:t>
      </w:r>
      <w:hyperlink r:id="rId129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שקובע כי תקופת האשפוז המרבית תהא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 xml:space="preserve">שנים תחול בהתייחס לעבירות אשר דינן מאסר עולם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 xml:space="preserve">עבירות שדינן מאסר עולם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וביניהן עבירת הרצח הבסיסית</w:t>
      </w:r>
      <w:r>
        <w:rPr>
          <w:rtl w:val="true"/>
        </w:rPr>
        <w:t xml:space="preserve">, </w:t>
      </w:r>
      <w:r>
        <w:rPr>
          <w:rtl w:val="true"/>
        </w:rPr>
        <w:t>אינן חוסות לכאורה בגדרי סעיף זה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יש להידרש אפוא לתכלית הדברים</w:t>
      </w:r>
      <w:r>
        <w:rPr>
          <w:rtl w:val="true"/>
        </w:rPr>
        <w:t xml:space="preserve">. </w:t>
      </w:r>
      <w:r>
        <w:rPr>
          <w:rtl w:val="true"/>
        </w:rPr>
        <w:t>הכלל שעיצב המחוקק הוא שתקופת האשפוז המרבית תהא כתקופת המאסר המרבית</w:t>
      </w:r>
      <w:r>
        <w:rPr>
          <w:rtl w:val="true"/>
        </w:rPr>
        <w:t xml:space="preserve">. </w:t>
      </w:r>
      <w:r>
        <w:rPr>
          <w:rtl w:val="true"/>
        </w:rPr>
        <w:t>לעניין זה</w:t>
      </w:r>
      <w:r>
        <w:rPr>
          <w:rtl w:val="true"/>
        </w:rPr>
        <w:t xml:space="preserve">, </w:t>
      </w:r>
      <w:r>
        <w:rPr>
          <w:rtl w:val="true"/>
        </w:rPr>
        <w:t>לא אמורה להיות הבחנה בין עונש מאסר עולם שאינו חובה</w:t>
      </w:r>
      <w:r>
        <w:rPr>
          <w:rtl w:val="true"/>
        </w:rPr>
        <w:t xml:space="preserve">, </w:t>
      </w:r>
      <w:r>
        <w:rPr>
          <w:rtl w:val="true"/>
        </w:rPr>
        <w:t>לבין עונש מאסר עולם חובה</w:t>
      </w:r>
      <w:r>
        <w:rPr>
          <w:rtl w:val="true"/>
        </w:rPr>
        <w:t xml:space="preserve">. </w:t>
      </w:r>
      <w:r>
        <w:rPr>
          <w:rtl w:val="true"/>
        </w:rPr>
        <w:t xml:space="preserve">האחד מתחייב מהחוק </w:t>
      </w:r>
      <w:r>
        <w:rPr>
          <w:rtl w:val="true"/>
        </w:rPr>
        <w:t>–</w:t>
      </w:r>
      <w:r>
        <w:rPr>
          <w:rtl w:val="true"/>
        </w:rPr>
        <w:t xml:space="preserve"> והשני כפוף לשיקול דעתו של בית המשפט</w:t>
      </w:r>
      <w:r>
        <w:rPr>
          <w:rtl w:val="true"/>
        </w:rPr>
        <w:t xml:space="preserve">. </w:t>
      </w:r>
      <w:r>
        <w:rPr>
          <w:rtl w:val="true"/>
        </w:rPr>
        <w:t>בין כך ובין כך</w:t>
      </w:r>
      <w:r>
        <w:rPr>
          <w:rtl w:val="true"/>
        </w:rPr>
        <w:t xml:space="preserve">, </w:t>
      </w:r>
      <w:r>
        <w:rPr>
          <w:rtl w:val="true"/>
        </w:rPr>
        <w:t>תקופת המאסר המרבית זהה</w:t>
      </w:r>
      <w:r>
        <w:rPr>
          <w:rtl w:val="true"/>
        </w:rPr>
        <w:t xml:space="preserve">, </w:t>
      </w:r>
      <w:r>
        <w:rPr>
          <w:rtl w:val="true"/>
        </w:rPr>
        <w:t xml:space="preserve">ומאחר שזהו הפרמטר המנחה את קביעת תקופת האשפוז המרבית אזי בהקשר נקודתי זה אין בין עבירת הרצח הבסיסית לעבירת הרצח בנסיבות מחמירות </w:t>
      </w:r>
      <w:r>
        <w:rPr>
          <w:rtl w:val="true"/>
        </w:rPr>
        <w:t>–</w:t>
      </w:r>
      <w:r>
        <w:rPr>
          <w:rtl w:val="true"/>
        </w:rPr>
        <w:t xml:space="preserve"> כהוא זה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יתרה מזו</w:t>
      </w:r>
      <w:r>
        <w:rPr>
          <w:rtl w:val="true"/>
        </w:rPr>
        <w:t xml:space="preserve">, </w:t>
      </w:r>
      <w:hyperlink r:id="rId13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 קובע את תקופת האשפוז המרבית בגין עבירה אשר העונש בצידה הוא מאסר עולם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נתחמת תקופת האשפוז המרבית</w:t>
      </w:r>
      <w:r>
        <w:rPr>
          <w:rtl w:val="true"/>
        </w:rPr>
        <w:t xml:space="preserve">, </w:t>
      </w:r>
      <w:r>
        <w:rPr>
          <w:rtl w:val="true"/>
        </w:rPr>
        <w:t>למשל עבור עבירת הרצח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כך שזו תעמוד על </w:t>
      </w:r>
      <w:r>
        <w:rPr>
          <w:rFonts w:cs="Miriam" w:ascii="Century" w:hAnsi="Century"/>
          <w:b/>
          <w:spacing w:val="0"/>
          <w:szCs w:val="24"/>
        </w:rPr>
        <w:t>25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 xml:space="preserve">יש לראות בקביעה זו גילוי דעתו של המחוקק כי ישנו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עליון</w:t>
      </w:r>
      <w:r>
        <w:rPr>
          <w:rtl w:val="true"/>
        </w:rPr>
        <w:t xml:space="preserve"> לאשפוז הכפוי במסגרת המסלול הפלילי</w:t>
      </w:r>
      <w:r>
        <w:rPr>
          <w:rtl w:val="true"/>
        </w:rPr>
        <w:t xml:space="preserve">, </w:t>
      </w:r>
      <w:r>
        <w:rPr>
          <w:rtl w:val="true"/>
        </w:rPr>
        <w:t xml:space="preserve">וגבול זה נקבע על </w:t>
      </w:r>
      <w:r>
        <w:rPr>
          <w:rFonts w:cs="Miriam" w:ascii="Century" w:hAnsi="Century"/>
          <w:b/>
          <w:spacing w:val="0"/>
          <w:szCs w:val="24"/>
        </w:rPr>
        <w:t>25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משמע</w:t>
      </w:r>
      <w:r>
        <w:rPr>
          <w:rtl w:val="true"/>
        </w:rPr>
        <w:t xml:space="preserve">, </w:t>
      </w:r>
      <w:r>
        <w:rPr>
          <w:rtl w:val="true"/>
        </w:rPr>
        <w:t>גם בגין העבירות החמורות ביותר ב</w:t>
      </w:r>
      <w:hyperlink r:id="rId1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הנושאות בצידן את העונש המשמעותי ביותר של מאסר עולם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לא ניתן להורות על אשפוז כפוי מעבר ל</w:t>
      </w:r>
      <w:r>
        <w:rPr>
          <w:rtl w:val="true"/>
        </w:rPr>
        <w:t>-</w:t>
      </w:r>
      <w:r>
        <w:rPr>
          <w:rFonts w:cs="Miriam" w:ascii="Century" w:hAnsi="Century"/>
          <w:b/>
          <w:spacing w:val="0"/>
          <w:szCs w:val="24"/>
        </w:rPr>
        <w:t>25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והטכני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 xml:space="preserve">.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המנוי</w:t>
      </w:r>
      <w:r>
        <w:rPr>
          <w:rFonts w:eastAsia="Arial TUR;Arial" w:cs="Arial TUR;Arial"/>
          <w:rtl w:val="true"/>
        </w:rPr>
        <w:t xml:space="preserve"> </w:t>
      </w:r>
      <w:hyperlink r:id="rId134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;Arial" w:cs="Arial TUR;Arial"/>
          <w:rtl w:val="true"/>
        </w:rPr>
        <w:t xml:space="preserve"> </w:t>
      </w:r>
      <w:hyperlink r:id="rId13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: "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מוצע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נקצב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hyperlink r:id="rId137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שחרור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תנאי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ממאסר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2001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המינימלית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30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שנים</w:t>
      </w:r>
      <w:r>
        <w:rPr>
          <w:rtl w:val="true"/>
        </w:rPr>
        <w:t>" (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;Arial" w:cs="Arial TUR;Arial"/>
          <w:rtl w:val="true"/>
        </w:rPr>
        <w:t xml:space="preserve"> </w:t>
      </w:r>
      <w:hyperlink r:id="rId1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668</w:t>
      </w:r>
      <w:r>
        <w:rPr>
          <w:rtl w:val="true"/>
        </w:rPr>
        <w:t xml:space="preserve">, </w:t>
      </w:r>
      <w:r>
        <w:rPr/>
        <w:t>669</w:t>
      </w:r>
      <w:r>
        <w:rPr>
          <w:rtl w:val="true"/>
        </w:rPr>
        <w:t xml:space="preserve">; 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).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בדרכו</w:t>
      </w:r>
      <w:r>
        <w:rPr>
          <w:rtl w:val="true"/>
        </w:rPr>
        <w:t xml:space="preserve">,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, </w:t>
      </w:r>
      <w:r>
        <w:rPr>
          <w:rtl w:val="true"/>
        </w:rPr>
        <w:t>הרווחה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והבריאות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25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משמעות הדברים היא כי כאשר בית המשפט ניגש לקבוע את תקופת האשפוז המרבית</w:t>
      </w:r>
      <w:r>
        <w:rPr>
          <w:rtl w:val="true"/>
        </w:rPr>
        <w:t xml:space="preserve">, </w:t>
      </w:r>
      <w:r>
        <w:rPr>
          <w:rtl w:val="true"/>
        </w:rPr>
        <w:t>מסוככת הגבלה נוספת מעל הכלל הגורף המשווה תקופה זו לתקופת המאסר המרבית</w:t>
      </w:r>
      <w:r>
        <w:rPr>
          <w:rtl w:val="true"/>
        </w:rPr>
        <w:t xml:space="preserve">, </w:t>
      </w:r>
      <w:r>
        <w:rPr>
          <w:rtl w:val="true"/>
        </w:rPr>
        <w:t>הגבלה אשר מורה כי תקופת האשפוז המרבית לא תחרוג מ</w:t>
      </w:r>
      <w:r>
        <w:rPr>
          <w:rtl w:val="true"/>
        </w:rPr>
        <w:t>-</w:t>
      </w:r>
      <w:r>
        <w:rPr>
          <w:rFonts w:cs="Miriam" w:ascii="Century" w:hAnsi="Century"/>
          <w:b/>
          <w:spacing w:val="0"/>
          <w:szCs w:val="24"/>
        </w:rPr>
        <w:t>25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ויהי מה</w:t>
      </w:r>
      <w:r>
        <w:rPr>
          <w:rtl w:val="true"/>
        </w:rPr>
        <w:t xml:space="preserve">. </w:t>
      </w:r>
      <w:r>
        <w:rPr>
          <w:rtl w:val="true"/>
        </w:rPr>
        <w:t>הגבלה זו יש להחיל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גם על עבירת הרצח הבסיסית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hyperlink r:id="rId140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ההגבלה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המשתמעת</w:t>
      </w:r>
      <w:r>
        <w:rPr>
          <w:rFonts w:eastAsia="Arial TUR;Arial" w:cs="Arial TUR;Arial"/>
          <w:rtl w:val="true"/>
        </w:rPr>
        <w:t xml:space="preserve"> </w:t>
      </w:r>
      <w:hyperlink r:id="rId142">
        <w:r>
          <w:rPr>
            <w:rStyle w:val="Hyperlink"/>
            <w:rtl w:val="true"/>
          </w:rPr>
          <w:t>מסעיף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25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שנים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האשמה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לתקופת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האשפוז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המרבית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במוקד הטענות בזכות קביעת תקופת אשפוז מרבית על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 בלבד</w:t>
      </w:r>
      <w:r>
        <w:rPr>
          <w:rtl w:val="true"/>
        </w:rPr>
        <w:t xml:space="preserve">, </w:t>
      </w:r>
      <w:r>
        <w:rPr>
          <w:rtl w:val="true"/>
        </w:rPr>
        <w:t xml:space="preserve">ניצבת הסברה כי על קביעת תקופת האשפוז המרבית לבטא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האשמה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והחומרה</w:t>
      </w:r>
      <w:r>
        <w:rPr>
          <w:rtl w:val="true"/>
        </w:rPr>
        <w:t xml:space="preserve"> שנקבע במסגרת הרפורמה בעבירות ההמתה</w:t>
      </w:r>
      <w:r>
        <w:rPr>
          <w:rtl w:val="true"/>
        </w:rPr>
        <w:t xml:space="preserve">. </w:t>
      </w:r>
      <w:r>
        <w:rPr>
          <w:rtl w:val="true"/>
        </w:rPr>
        <w:t>באופן זה</w:t>
      </w:r>
      <w:r>
        <w:rPr>
          <w:rtl w:val="true"/>
        </w:rPr>
        <w:t xml:space="preserve">, </w:t>
      </w:r>
      <w:r>
        <w:rPr>
          <w:rtl w:val="true"/>
        </w:rPr>
        <w:t xml:space="preserve">מאחר שעבירת הרצח בנסיבות מחמירות נושאת עונש מאסר עולם חובה המתורגם לתקופת אשפוז מרבית של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אזי על תקופת האשפוז המרבית בגין עבירת הרצח הבסיסית להיות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קצרה</w:t>
      </w:r>
      <w:r>
        <w:rPr>
          <w:rtl w:val="true"/>
        </w:rPr>
        <w:t xml:space="preserve"> הימנה לנוכח הפער בחומרתן של העבירות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לגישתי</w:t>
      </w:r>
      <w:r>
        <w:rPr>
          <w:rtl w:val="true"/>
        </w:rPr>
        <w:t xml:space="preserve">, </w:t>
      </w:r>
      <w:r>
        <w:rPr>
          <w:rtl w:val="true"/>
        </w:rPr>
        <w:t>בטעות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. </w:t>
      </w:r>
      <w:r>
        <w:rPr>
          <w:rtl w:val="true"/>
        </w:rPr>
        <w:t>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להתחשב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במדרג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האשמה</w:t>
      </w:r>
      <w:r>
        <w:rPr>
          <w:rFonts w:ascii="Century" w:hAnsi="Century" w:cs="Century"/>
          <w:rtl w:val="true"/>
        </w:rPr>
        <w:t xml:space="preserve"> בקביעת תקופת האשפוז המרבית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במישרין ולא בעקיפין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עבירות ההמתה </w:t>
      </w:r>
      <w:r>
        <w:rPr>
          <w:rtl w:val="true"/>
        </w:rPr>
        <w:t>'</w:t>
      </w:r>
      <w:r>
        <w:rPr>
          <w:rtl w:val="true"/>
        </w:rPr>
        <w:t>החדשות</w:t>
      </w:r>
      <w:r>
        <w:rPr>
          <w:rtl w:val="true"/>
        </w:rPr>
        <w:t xml:space="preserve">' </w:t>
      </w:r>
      <w:r>
        <w:rPr>
          <w:rtl w:val="true"/>
        </w:rPr>
        <w:t xml:space="preserve">עוצבו במסגרת הרפורמה בעבירות ההמתה תוך שהמחוקק משווה לנגד עיניו את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ההכרה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בחשיבות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ועיקרון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האשמה</w:t>
      </w:r>
      <w:r>
        <w:rPr>
          <w:rtl w:val="true"/>
        </w:rPr>
        <w:t xml:space="preserve">. </w:t>
      </w:r>
      <w:r>
        <w:rPr>
          <w:rtl w:val="true"/>
        </w:rPr>
        <w:t>בתמצית יצוין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hyperlink r:id="rId1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מכיל</w:t>
      </w:r>
      <w:r>
        <w:rPr>
          <w:rtl w:val="true"/>
        </w:rPr>
        <w:t xml:space="preserve"> </w:t>
      </w:r>
      <w:r>
        <w:rPr>
          <w:rtl w:val="true"/>
        </w:rPr>
        <w:t xml:space="preserve">כעת </w:t>
      </w:r>
      <w:r>
        <w:rPr>
          <w:rtl w:val="true"/>
        </w:rPr>
        <w:t>חמש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 </w:t>
      </w:r>
      <w:r>
        <w:rPr>
          <w:rtl w:val="true"/>
        </w:rPr>
        <w:t>המשקפות</w:t>
      </w:r>
      <w:r>
        <w:rPr>
          <w:rtl w:val="true"/>
        </w:rPr>
        <w:t xml:space="preserve"> </w:t>
      </w:r>
      <w:r>
        <w:rPr>
          <w:rtl w:val="true"/>
        </w:rPr>
        <w:t>דרגות</w:t>
      </w:r>
      <w:r>
        <w:rPr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ואשמה</w:t>
      </w:r>
      <w:r>
        <w:rPr>
          <w:rtl w:val="true"/>
        </w:rPr>
        <w:t xml:space="preserve">: </w:t>
      </w:r>
      <w:r>
        <w:rPr>
          <w:rtl w:val="true"/>
        </w:rPr>
        <w:t>רצח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4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רצח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4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))</w:t>
        </w:r>
      </w:hyperlink>
      <w:r>
        <w:rPr>
          <w:rtl w:val="true"/>
        </w:rPr>
        <w:t xml:space="preserve">, </w:t>
      </w:r>
      <w:r>
        <w:rPr>
          <w:rtl w:val="true"/>
        </w:rPr>
        <w:t>המתה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4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המתה</w:t>
      </w:r>
      <w:r>
        <w:rPr>
          <w:rtl w:val="true"/>
        </w:rPr>
        <w:t xml:space="preserve"> </w:t>
      </w:r>
      <w:r>
        <w:rPr>
          <w:rtl w:val="true"/>
        </w:rPr>
        <w:t>בקלות</w:t>
      </w:r>
      <w:r>
        <w:rPr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4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וגרימת</w:t>
      </w:r>
      <w:r>
        <w:rPr>
          <w:rtl w:val="true"/>
        </w:rPr>
        <w:t xml:space="preserve"> </w:t>
      </w:r>
      <w:r>
        <w:rPr>
          <w:rtl w:val="true"/>
        </w:rPr>
        <w:t>מוות</w:t>
      </w:r>
      <w:r>
        <w:rPr>
          <w:rtl w:val="true"/>
        </w:rPr>
        <w:t xml:space="preserve"> </w:t>
      </w:r>
      <w:r>
        <w:rPr>
          <w:rtl w:val="true"/>
        </w:rPr>
        <w:t>ברשלנות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4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304</w:t>
        </w:r>
        <w:r>
          <w:rPr>
            <w:rStyle w:val="Hyperlink"/>
            <w:rtl w:val="true"/>
          </w:rPr>
          <w:t>).</w:t>
        </w:r>
      </w:hyperlink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עיקרון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האשמה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מוצא</w:t>
      </w:r>
      <w:r>
        <w:rPr>
          <w:rtl w:val="true"/>
        </w:rPr>
        <w:t xml:space="preserve"> ביטוי אף בתפר שבין עבירות הרצח בגדרי החריג המנוי </w:t>
      </w:r>
      <w:hyperlink r:id="rId15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שלפיו גם אילו התקיימו תנאי עבירת הרצח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ניתן להרשיע את הנאשם בעבירת הרצח הבסיסית בלבד וזאת בהתקיים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 </w:t>
      </w:r>
      <w:r>
        <w:rPr>
          <w:rtl w:val="true"/>
        </w:rPr>
        <w:t>שבשלהן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מבטא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דרגת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אשמה</w:t>
      </w:r>
      <w:r>
        <w:rPr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ההדגשה הוספה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בעוד שעיקרון האשמה הוא שמעצב את גדרי עבירות ההמתה החדשות</w:t>
      </w:r>
      <w:r>
        <w:rPr>
          <w:rtl w:val="true"/>
        </w:rPr>
        <w:t xml:space="preserve">, </w:t>
      </w:r>
      <w:r>
        <w:rPr>
          <w:rtl w:val="true"/>
        </w:rPr>
        <w:t>הוא נדחק לאחור בקביעת תקופת האשפוז המרבית וביחס לתכלית האשפוז הכפוי</w:t>
      </w:r>
      <w:r>
        <w:rPr>
          <w:rtl w:val="true"/>
        </w:rPr>
        <w:t xml:space="preserve">. </w:t>
      </w:r>
      <w:hyperlink r:id="rId1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 מגדיר במפורש כי מטרתו העיקרית של האשפוז הכפוי של 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 xml:space="preserve">נפש היא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טיפול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רפואי</w:t>
      </w:r>
      <w:r>
        <w:rPr>
          <w:rtl w:val="true"/>
        </w:rPr>
        <w:t xml:space="preserve">" </w:t>
      </w:r>
      <w:r>
        <w:rPr>
          <w:rtl w:val="true"/>
        </w:rPr>
        <w:t>(</w:t>
      </w:r>
      <w:hyperlink r:id="rId15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 </w:t>
      </w:r>
      <w:r>
        <w:rPr>
          <w:rtl w:val="true"/>
        </w:rPr>
        <w:t>בחולי</w:t>
      </w:r>
      <w:r>
        <w:rPr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וזאת לצד תכלית של הגנה על הציבור מפני מסוכנותו של הנאשם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 xml:space="preserve">נפש </w:t>
      </w:r>
      <w:r>
        <w:rPr>
          <w:rtl w:val="true"/>
        </w:rPr>
        <w:t>(</w:t>
      </w:r>
      <w:hyperlink r:id="rId15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2060/97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וילנצ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הפסיכיאטר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נב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697</w:t>
      </w:r>
      <w:r>
        <w:rPr>
          <w:rtl w:val="true"/>
        </w:rPr>
        <w:t xml:space="preserve">, </w:t>
      </w:r>
      <w:r>
        <w:rPr/>
        <w:t>707</w:t>
      </w:r>
      <w:r>
        <w:rPr>
          <w:rtl w:val="true"/>
        </w:rPr>
        <w:t xml:space="preserve"> (</w:t>
      </w:r>
      <w:r>
        <w:rPr/>
        <w:t>1998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אשוב ואזכיר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האשפוז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הכפוי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חירותו של הנאשם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 אמנם נפגעת ומוגבלת בעל כורחו</w:t>
      </w:r>
      <w:r>
        <w:rPr>
          <w:rtl w:val="true"/>
        </w:rPr>
        <w:t xml:space="preserve">, </w:t>
      </w:r>
      <w:r>
        <w:rPr>
          <w:rtl w:val="true"/>
        </w:rPr>
        <w:t>אולם זאת במטרה להשיב את מסוגלותו להיות אחראי להתנהגותו והתנהלותו בחברה כבן</w:t>
      </w:r>
      <w:r>
        <w:rPr>
          <w:rtl w:val="true"/>
        </w:rPr>
        <w:t>-</w:t>
      </w:r>
      <w:r>
        <w:rPr>
          <w:rtl w:val="true"/>
        </w:rPr>
        <w:t>חורין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תכליות אלו שזורות ב</w:t>
      </w:r>
      <w:hyperlink r:id="rId1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 ועל יסודן נחקקו הסדרים מותאמים ביחס לאשפוז הכפוי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כמובא לעיל</w:t>
      </w:r>
      <w:r>
        <w:rPr>
          <w:rtl w:val="true"/>
        </w:rPr>
        <w:t xml:space="preserve">, </w:t>
      </w:r>
      <w:r>
        <w:rPr>
          <w:rtl w:val="true"/>
        </w:rPr>
        <w:t>חירותו של הנאשם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 נתונה בידי ועדה פסיכיאטרית אשר מוסמכת להורות על שחרורו של הנאשם מאשפוז כפוי</w:t>
      </w:r>
      <w:r>
        <w:rPr>
          <w:rtl w:val="true"/>
        </w:rPr>
        <w:t xml:space="preserve">. </w:t>
      </w:r>
      <w:r>
        <w:rPr>
          <w:rtl w:val="true"/>
        </w:rPr>
        <w:t>לצורך כך</w:t>
      </w:r>
      <w:r>
        <w:rPr>
          <w:rtl w:val="true"/>
        </w:rPr>
        <w:t xml:space="preserve">, </w:t>
      </w:r>
      <w:r>
        <w:rPr>
          <w:rtl w:val="true"/>
        </w:rPr>
        <w:t>שיקול הדעת של הוועדה הפסיכיאטרית מותווה בהתאם לתכליות האשפוז הכפוי</w:t>
      </w:r>
      <w:r>
        <w:rPr>
          <w:rtl w:val="true"/>
        </w:rPr>
        <w:t xml:space="preserve">, </w:t>
      </w:r>
      <w:r>
        <w:rPr>
          <w:rtl w:val="true"/>
        </w:rPr>
        <w:t>כך שעל הוועדה לשקול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את צרכיו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הטיפוליים</w:t>
      </w:r>
      <w:r>
        <w:rPr>
          <w:rtl w:val="true"/>
        </w:rPr>
        <w:t xml:space="preserve"> של הנאשם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 כסיכויי החלמתו והתנאים הדרושים לשיקומו</w:t>
      </w:r>
      <w:r>
        <w:rPr>
          <w:rtl w:val="true"/>
        </w:rPr>
        <w:t xml:space="preserve">, </w:t>
      </w:r>
      <w:r>
        <w:rPr>
          <w:rtl w:val="true"/>
        </w:rPr>
        <w:t xml:space="preserve">לצד התחשבות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במסוכנותו</w:t>
      </w:r>
      <w:r>
        <w:rPr>
          <w:rtl w:val="true"/>
        </w:rPr>
        <w:t xml:space="preserve"> ובנסיבות העבירה שבשלה אושפז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בשונה מאופן קביעת עונש של נאשם</w:t>
      </w:r>
      <w:r>
        <w:rPr>
          <w:rtl w:val="true"/>
        </w:rPr>
        <w:t xml:space="preserve">, </w:t>
      </w:r>
      <w:hyperlink r:id="rId1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 אינו מותיר בידי בית המשפט שיקול דעת והוא מחויב לקצוב את תקופת האשפוז המרבית </w:t>
      </w:r>
      <w:r>
        <w:rPr>
          <w:rtl w:val="true"/>
        </w:rPr>
        <w:t>–</w:t>
      </w:r>
      <w:r>
        <w:rPr>
          <w:rtl w:val="true"/>
        </w:rPr>
        <w:t xml:space="preserve"> לא פחות ולא יותר</w:t>
      </w:r>
      <w:r>
        <w:rPr>
          <w:rtl w:val="true"/>
        </w:rPr>
        <w:t xml:space="preserve">. </w:t>
      </w:r>
      <w:r>
        <w:rPr>
          <w:rtl w:val="true"/>
        </w:rPr>
        <w:t>זאת למעט מקרים נדירים ביותר</w:t>
      </w:r>
      <w:r>
        <w:rPr>
          <w:rtl w:val="true"/>
        </w:rPr>
        <w:t xml:space="preserve">, </w:t>
      </w:r>
      <w:r>
        <w:rPr>
          <w:rtl w:val="true"/>
        </w:rPr>
        <w:t>ביחס לקביעת תקופת האשפוז המרבית</w:t>
      </w:r>
      <w:r>
        <w:rPr>
          <w:rtl w:val="true"/>
        </w:rPr>
        <w:t xml:space="preserve">, </w:t>
      </w:r>
      <w:r>
        <w:rPr>
          <w:rtl w:val="true"/>
        </w:rPr>
        <w:t xml:space="preserve">וזאת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שייתר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התדיינויות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ודאות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לתקופת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האשפוז</w:t>
      </w:r>
      <w:r>
        <w:rPr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דברי</w:t>
      </w:r>
      <w:r>
        <w:rPr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 xml:space="preserve"> </w:t>
      </w:r>
      <w:r>
        <w:rPr>
          <w:rtl w:val="true"/>
        </w:rPr>
        <w:t>להצעת</w:t>
      </w:r>
      <w:r>
        <w:rPr>
          <w:rtl w:val="true"/>
        </w:rPr>
        <w:t xml:space="preserve"> </w:t>
      </w:r>
      <w:hyperlink r:id="rId1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580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כלל זה מונע את שלב הטיעונים לעונש ומרוקן בפועל את מלאכת הענישה בה מורגלת הערכאה הדיונית</w:t>
      </w:r>
      <w:r>
        <w:rPr>
          <w:rtl w:val="true"/>
        </w:rPr>
        <w:t xml:space="preserve">, </w:t>
      </w:r>
      <w:r>
        <w:rPr>
          <w:rtl w:val="true"/>
        </w:rPr>
        <w:t>עת הוצאו אל מעבר לגדר שיקולי ענישה</w:t>
      </w:r>
      <w:r>
        <w:rPr>
          <w:rtl w:val="true"/>
        </w:rPr>
        <w:t xml:space="preserve">, </w:t>
      </w:r>
      <w:r>
        <w:rPr>
          <w:rtl w:val="true"/>
        </w:rPr>
        <w:t>כך שאין משמעות לעונש הקונקרטי אשר יכול והיה נגזר על הנאשם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</w:t>
      </w:r>
      <w:r>
        <w:rPr>
          <w:rtl w:val="true"/>
        </w:rPr>
        <w:t xml:space="preserve">.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 xml:space="preserve">הבהרתי וחידדתי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את משמעות היעדר ההתחשבות בשיקולי הענישה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אשפוז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גמול</w:t>
      </w:r>
      <w:r>
        <w:rPr>
          <w:rtl w:val="true"/>
        </w:rPr>
        <w:t xml:space="preserve">,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. </w:t>
      </w:r>
      <w:r>
        <w:rPr>
          <w:rtl w:val="true"/>
        </w:rPr>
        <w:t>משנקבע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מלהכתים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הענשתו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כמוה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כהענשה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טירופו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שרגש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34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הכלל הגורף קובע את תקופת האשפוז המרבית בהתאם לתקופת המאסר המרבית הקבועה בצדה של העבירה המיוחסת לנאשם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 xml:space="preserve">אולם משמעות קביעת כלל טכני ויישומי חלף שיקול דעתו של בית המשפט ביושבו כערכאה דיונית פלילית היא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בחקיקה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קונוטציה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השוואת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האשפוז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לעונש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הקפדה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27</w:t>
      </w:r>
      <w:r>
        <w:rPr>
          <w:rtl w:val="true"/>
        </w:rPr>
        <w:t xml:space="preserve">). </w:t>
      </w:r>
      <w:r>
        <w:rPr>
          <w:rtl w:val="true"/>
        </w:rPr>
        <w:t>רוצה לומר</w:t>
      </w:r>
      <w:r>
        <w:rPr>
          <w:rtl w:val="true"/>
        </w:rPr>
        <w:t xml:space="preserve">, </w:t>
      </w:r>
      <w:r>
        <w:rPr>
          <w:rtl w:val="true"/>
        </w:rPr>
        <w:t>עת עסקינן בקביעת תקופת האשפוז המרבית החלה בעניינו של 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 במסלול הפלילי</w:t>
      </w:r>
      <w:r>
        <w:rPr>
          <w:rtl w:val="true"/>
        </w:rPr>
        <w:t xml:space="preserve">, </w:t>
      </w:r>
      <w:r>
        <w:rPr>
          <w:rtl w:val="true"/>
        </w:rPr>
        <w:t xml:space="preserve">שומה עלינו לזכור </w:t>
      </w:r>
      <w:r>
        <w:rPr>
          <w:rFonts w:ascii="Century" w:hAnsi="Century" w:cs="Century"/>
          <w:rtl w:val="true"/>
        </w:rPr>
        <w:t xml:space="preserve">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לשיקולי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כמידת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אשמה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גמול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הרתעה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ונחלה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למשך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האשפוז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הכפוי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החולה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ובחזרה לענייננו</w:t>
      </w:r>
      <w:r>
        <w:rPr>
          <w:rtl w:val="true"/>
        </w:rPr>
        <w:t xml:space="preserve">. </w:t>
      </w:r>
      <w:r>
        <w:rPr>
          <w:rtl w:val="true"/>
        </w:rPr>
        <w:t xml:space="preserve">שילוב תכלית הרפורמה בעבירות ההמתה יחד עם תכלית האשפוז הכפוי וקביעת תקופת האשפוז המרבית מוביל למסקנה ברורה </w:t>
      </w:r>
      <w:r>
        <w:rPr>
          <w:rtl w:val="true"/>
        </w:rPr>
        <w:t>–</w:t>
      </w:r>
      <w:r>
        <w:rPr>
          <w:rtl w:val="true"/>
        </w:rPr>
        <w:t xml:space="preserve"> בעוד שההבדל שבין עבירת הרצח הבסיסית לעבירת הרצח בנסיבות מחמירות נעוץ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במדרג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האשמה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ביחס שבין עבירות אלו</w:t>
      </w:r>
      <w:r>
        <w:rPr>
          <w:rtl w:val="true"/>
        </w:rPr>
        <w:t xml:space="preserve">, </w:t>
      </w:r>
      <w:r>
        <w:rPr>
          <w:rtl w:val="true"/>
        </w:rPr>
        <w:t xml:space="preserve">המחוקק קבע בצידן עונש מרבי זהה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מאסר עולם לתקופה בלתי קצובה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והנה</w:t>
      </w:r>
      <w:r>
        <w:rPr>
          <w:rtl w:val="true"/>
        </w:rPr>
        <w:t xml:space="preserve">, </w:t>
      </w:r>
      <w:r>
        <w:rPr>
          <w:rtl w:val="true"/>
        </w:rPr>
        <w:t>עת בית המשפט נדרש לקבוע את תקופת האשפוז המרבית</w:t>
      </w:r>
      <w:r>
        <w:rPr>
          <w:rtl w:val="true"/>
        </w:rPr>
        <w:t xml:space="preserve">, </w:t>
      </w:r>
      <w:r>
        <w:rPr>
          <w:rtl w:val="true"/>
        </w:rPr>
        <w:t xml:space="preserve">מדרג האשמה שבין עבירות הרצח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מתאיין</w:t>
      </w:r>
      <w:r>
        <w:rPr>
          <w:rtl w:val="true"/>
        </w:rPr>
        <w:t xml:space="preserve"> מאחר שקביעת תקופה זו נעשית באופן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טכני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ויישומי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גרידא</w:t>
      </w:r>
      <w:r>
        <w:rPr>
          <w:rtl w:val="true"/>
        </w:rPr>
        <w:t xml:space="preserve"> בהתאם לתקופת המאסר המרבית</w:t>
      </w:r>
      <w:r>
        <w:rPr>
          <w:rtl w:val="true"/>
        </w:rPr>
        <w:t xml:space="preserve">. </w:t>
      </w:r>
      <w:r>
        <w:rPr>
          <w:rtl w:val="true"/>
        </w:rPr>
        <w:t>אמנם ניתן להבין את הדחף העונשי האינטואיטיבי לאימוץ העמדה שלפיה תקופת האשפוז המרבית צריכה לשקף את הפער במדרג האשמה שבין עבירות הרצח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 המחוקק מורה כי יש לכבוש דחף זה באופן שתיקבע תקופת אשפוז מרבית באופן </w:t>
      </w:r>
      <w:r>
        <w:rPr>
          <w:rtl w:val="true"/>
        </w:rPr>
        <w:t>"</w:t>
      </w:r>
      <w:r>
        <w:rPr>
          <w:rtl w:val="true"/>
        </w:rPr>
        <w:t>עיוור</w:t>
      </w:r>
      <w:r>
        <w:rPr>
          <w:rtl w:val="true"/>
        </w:rPr>
        <w:t xml:space="preserve">" </w:t>
      </w:r>
      <w:r>
        <w:rPr>
          <w:rtl w:val="true"/>
        </w:rPr>
        <w:t>בהתאם לתקופת המאסר המרבית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 xml:space="preserve">שאין במדרג האשמה שבין העבירות כדי לתמוך בעמדה שלפיה תקופת האשפוז המרבית בגין עבירת הרצח הבסיסית צריכה להיות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קצרה</w:t>
      </w:r>
      <w:r>
        <w:rPr>
          <w:rtl w:val="true"/>
        </w:rPr>
        <w:t xml:space="preserve"> מאשר בעבירת הרצח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ובפרט כי תקופה זו תהא </w:t>
      </w:r>
      <w:r>
        <w:rPr>
          <w:rFonts w:ascii="Century" w:hAnsi="Century" w:cs="Century"/>
          <w:sz w:val="22"/>
          <w:sz w:val="22"/>
          <w:rtl w:val="true"/>
        </w:rPr>
        <w:t xml:space="preserve">בהתאם </w:t>
      </w:r>
      <w:r>
        <w:rPr>
          <w:rFonts w:cs="Century" w:ascii="Century" w:hAnsi="Century"/>
          <w:sz w:val="22"/>
        </w:rPr>
        <w:t>20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לא רק שאין מקום לקבוע תקופת אשפוז מרבית קצרה יותר בעבירת הרצח הבסיסית כאמור</w:t>
      </w:r>
      <w:r>
        <w:rPr>
          <w:rtl w:val="true"/>
        </w:rPr>
        <w:t xml:space="preserve">, </w:t>
      </w:r>
      <w:r>
        <w:rPr>
          <w:rtl w:val="true"/>
        </w:rPr>
        <w:t xml:space="preserve">אלא משעה שתקופת המאסר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המרבית</w:t>
      </w:r>
      <w:r>
        <w:rPr>
          <w:rtl w:val="true"/>
        </w:rPr>
        <w:t xml:space="preserve"> בצידן של שתי עבירות הרצח זהה</w:t>
      </w:r>
      <w:r>
        <w:rPr>
          <w:rtl w:val="true"/>
        </w:rPr>
        <w:t xml:space="preserve">, </w:t>
      </w:r>
      <w:r>
        <w:rPr>
          <w:rtl w:val="true"/>
        </w:rPr>
        <w:t xml:space="preserve">אזי יש לקבוע כי כך גם ראוי שתהיה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זהות</w:t>
      </w:r>
      <w:r>
        <w:rPr>
          <w:rtl w:val="true"/>
        </w:rPr>
        <w:t xml:space="preserve"> בין תקופת האשפוז המרבית בגין שתי עבירות אלו</w:t>
      </w:r>
      <w:r>
        <w:rPr>
          <w:rtl w:val="true"/>
        </w:rPr>
        <w:t xml:space="preserve">, </w:t>
      </w:r>
      <w:r>
        <w:rPr>
          <w:rtl w:val="true"/>
        </w:rPr>
        <w:t>וזאת בהתאם לכלל הטכני כי תקופת המאסר המרבית תהיה בהתאם לתקופת האשפוז המרבית</w:t>
      </w:r>
      <w:r>
        <w:rPr>
          <w:rtl w:val="true"/>
        </w:rPr>
        <w:t xml:space="preserve">, </w:t>
      </w:r>
      <w:r>
        <w:rPr>
          <w:rtl w:val="true"/>
        </w:rPr>
        <w:t>המגלם את תכלית האשפוז הכפוי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מתבקש כי תקופת האשפוז המרבית אף ביחס לעבירת הרצח הבסיסית תהא </w:t>
      </w:r>
      <w:r>
        <w:rPr>
          <w:rFonts w:cs="Miriam" w:ascii="Century" w:hAnsi="Century"/>
          <w:b/>
          <w:spacing w:val="0"/>
          <w:szCs w:val="24"/>
        </w:rPr>
        <w:t>25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הפרשנות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בפלילים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רלוונטי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?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tl w:val="true"/>
        </w:rPr>
        <w:t xml:space="preserve"> </w:t>
      </w:r>
      <w:r>
        <w:rPr>
          <w:rtl w:val="true"/>
        </w:rPr>
        <w:t>היסוד</w:t>
      </w:r>
      <w:r>
        <w:rPr>
          <w:rtl w:val="true"/>
        </w:rPr>
        <w:t xml:space="preserve"> </w:t>
      </w:r>
      <w:r>
        <w:rPr>
          <w:rtl w:val="true"/>
        </w:rPr>
        <w:t>בדיני</w:t>
      </w:r>
      <w:r>
        <w:rPr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עיקרון</w:t>
      </w:r>
      <w:r>
        <w:rPr>
          <w:rtl w:val="true"/>
        </w:rPr>
        <w:t xml:space="preserve"> </w:t>
      </w:r>
      <w:r>
        <w:rPr>
          <w:rtl w:val="true"/>
        </w:rPr>
        <w:t>החוקיות</w:t>
      </w:r>
      <w:r>
        <w:rPr>
          <w:rtl w:val="true"/>
        </w:rPr>
        <w:t xml:space="preserve">, </w:t>
      </w:r>
      <w:r>
        <w:rPr>
          <w:rtl w:val="true"/>
        </w:rPr>
        <w:t>מכוחו נגזרו עקרונות משנה באשר לתחולת הדין הפלילי</w:t>
      </w:r>
      <w:r>
        <w:rPr>
          <w:rtl w:val="true"/>
        </w:rPr>
        <w:t xml:space="preserve">, </w:t>
      </w:r>
      <w:r>
        <w:rPr>
          <w:rtl w:val="true"/>
        </w:rPr>
        <w:t>ובכללם גם הכלל בדבר הפרשנות המצמצמת או המקלה בפלילים</w:t>
      </w:r>
      <w:r>
        <w:rPr>
          <w:rtl w:val="true"/>
        </w:rPr>
        <w:t xml:space="preserve">. </w:t>
      </w:r>
      <w:r>
        <w:rPr>
          <w:rtl w:val="true"/>
        </w:rPr>
        <w:t>כלל זה</w:t>
      </w:r>
      <w:r>
        <w:rPr>
          <w:rtl w:val="true"/>
        </w:rPr>
        <w:t xml:space="preserve">, </w:t>
      </w:r>
      <w:r>
        <w:rPr>
          <w:rtl w:val="true"/>
        </w:rPr>
        <w:t xml:space="preserve">מתיישב עם היבטי יסוד בפלילים החל מחירות הפעולה של היחיד </w:t>
      </w:r>
      <w:r>
        <w:rPr>
          <w:rtl w:val="true"/>
        </w:rPr>
        <w:t>המבוססת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 xml:space="preserve">ידיעת </w:t>
      </w:r>
      <w:r>
        <w:rPr>
          <w:rtl w:val="true"/>
        </w:rPr>
        <w:t>התחום</w:t>
      </w:r>
      <w:r>
        <w:rPr>
          <w:rtl w:val="true"/>
        </w:rPr>
        <w:t xml:space="preserve"> </w:t>
      </w:r>
      <w:r>
        <w:rPr>
          <w:rtl w:val="true"/>
        </w:rPr>
        <w:t>האסור</w:t>
      </w:r>
      <w:r>
        <w:rPr>
          <w:rtl w:val="true"/>
        </w:rPr>
        <w:t xml:space="preserve">, </w:t>
      </w:r>
      <w:r>
        <w:rPr>
          <w:rtl w:val="true"/>
        </w:rPr>
        <w:t xml:space="preserve">דרך תפיסת דיני העונשין כמכוויני התנהגות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 עונשין אלא אם כן מזהירין</w:t>
      </w:r>
      <w:r>
        <w:rPr>
          <w:rtl w:val="true"/>
        </w:rPr>
        <w:t xml:space="preserve">", </w:t>
      </w:r>
      <w:r>
        <w:rPr>
          <w:rtl w:val="true"/>
        </w:rPr>
        <w:t xml:space="preserve">וכלה בצמצום פערי הכוחות שבין המדינה לבין הפרט בהליך הפלילי על דרך פרשנות האיסורים </w:t>
      </w:r>
      <w:r>
        <w:rPr>
          <w:rtl w:val="true"/>
        </w:rPr>
        <w:t>(</w:t>
      </w:r>
      <w:hyperlink r:id="rId158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1558/03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אסד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547</w:t>
      </w:r>
      <w:r>
        <w:rPr>
          <w:rtl w:val="true"/>
        </w:rPr>
        <w:t xml:space="preserve">, </w:t>
      </w:r>
      <w:r>
        <w:rPr/>
        <w:t>563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)). </w:t>
      </w:r>
      <w:r>
        <w:rPr>
          <w:rtl w:val="true"/>
        </w:rPr>
        <w:t>על מהות הפרשנות המקלה בפלילים</w:t>
      </w:r>
      <w:r>
        <w:rPr>
          <w:rtl w:val="true"/>
        </w:rPr>
        <w:t xml:space="preserve">, </w:t>
      </w:r>
      <w:r>
        <w:rPr>
          <w:rtl w:val="true"/>
        </w:rPr>
        <w:t>עמד פרופ</w:t>
      </w:r>
      <w:r>
        <w:rPr>
          <w:rtl w:val="true"/>
        </w:rPr>
        <w:t xml:space="preserve">'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ז פלר בספרו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נשמעת</w:t>
      </w:r>
      <w:r>
        <w:rPr>
          <w:rtl w:val="true"/>
        </w:rPr>
        <w:t xml:space="preserve">, </w:t>
      </w:r>
      <w:r>
        <w:rPr>
          <w:rtl w:val="true"/>
        </w:rPr>
        <w:t>באורח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לכמה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הצימצום</w:t>
      </w:r>
      <w:r>
        <w:rPr>
          <w:rtl w:val="true"/>
        </w:rPr>
        <w:t xml:space="preserve">, </w:t>
      </w:r>
      <w:r>
        <w:rPr>
          <w:rtl w:val="true"/>
        </w:rPr>
        <w:t>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דווקני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 w:ascii="Times New Roman" w:hAnsi="Times New Roman"/>
        </w:rPr>
        <w:t>Poenalia restringenda sunt</w:t>
      </w:r>
      <w:r>
        <w:rPr>
          <w:rtl w:val="true"/>
        </w:rPr>
        <w:t xml:space="preserve">. </w:t>
      </w:r>
      <w:r>
        <w:rPr>
          <w:rtl w:val="true"/>
        </w:rPr>
        <w:t>נקיטת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החוקיות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ומטרותיו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tl w:val="true"/>
        </w:rPr>
        <w:t>-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ההזהרה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אובייקטיבי</w:t>
      </w:r>
      <w:r>
        <w:rPr>
          <w:rtl w:val="true"/>
        </w:rPr>
        <w:t xml:space="preserve">, </w:t>
      </w:r>
      <w:r>
        <w:rPr>
          <w:rtl w:val="true"/>
        </w:rPr>
        <w:t>למערכת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ואופייני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כשהערובה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כמסננת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הנורמה</w:t>
      </w:r>
      <w:r>
        <w:rPr>
          <w:rtl w:val="true"/>
        </w:rPr>
        <w:t>" 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פלר</w:t>
      </w:r>
      <w:r>
        <w:rPr>
          <w:rFonts w:eastAsia="Arial TUR;Arial" w:cs="Arial TUR;Arial"/>
          <w:rtl w:val="true"/>
        </w:rPr>
        <w:t xml:space="preserve"> </w:t>
      </w:r>
      <w:hyperlink r:id="rId15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יסודות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בדיני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/>
        <w:t>177-176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1984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ימימה</w:t>
      </w:r>
      <w:r>
        <w:rPr>
          <w:rtl w:val="true"/>
        </w:rPr>
        <w:t xml:space="preserve">, </w:t>
      </w:r>
      <w:r>
        <w:rPr>
          <w:rtl w:val="true"/>
        </w:rPr>
        <w:t>והוסף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;Arial" w:cs="Arial TUR;Arial"/>
          <w:rtl w:val="true"/>
        </w:rPr>
        <w:t xml:space="preserve"> </w:t>
      </w:r>
      <w:hyperlink r:id="rId160">
        <w:r>
          <w:rPr>
            <w:rStyle w:val="Hyperlink"/>
            <w:rtl w:val="true"/>
          </w:rPr>
          <w:t>כסעיף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כא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6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39</w:t>
      </w:r>
      <w:r>
        <w:rPr>
          <w:rtl w:val="true"/>
        </w:rPr>
        <w:t>) (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מקדמי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), </w:t>
      </w:r>
      <w:r>
        <w:rPr>
          <w:rtl w:val="true"/>
        </w:rPr>
        <w:t>התשנ״ד</w:t>
      </w:r>
      <w:r>
        <w:rPr>
          <w:rtl w:val="true"/>
        </w:rPr>
        <w:t>-</w:t>
      </w:r>
      <w:r>
        <w:rPr/>
        <w:t>1994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1481</w:t>
      </w:r>
      <w:r>
        <w:rPr>
          <w:rtl w:val="true"/>
        </w:rPr>
        <w:t>)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34</w:t>
      </w:r>
      <w:r>
        <w:rPr>
          <w:rtl w:val="true"/>
        </w:rPr>
        <w:t>כא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לפירושים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תכליתו</w:t>
      </w:r>
      <w:r>
        <w:rPr>
          <w:rtl w:val="true"/>
        </w:rPr>
        <w:t xml:space="preserve">, </w:t>
      </w:r>
      <w:r>
        <w:rPr>
          <w:rtl w:val="true"/>
        </w:rPr>
        <w:t>יוכרע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מנוסח</w:t>
      </w:r>
      <w:r>
        <w:rPr>
          <w:rFonts w:eastAsia="Arial TUR;Arial" w:cs="Arial TUR;Arial"/>
          <w:rtl w:val="true"/>
        </w:rPr>
        <w:t xml:space="preserve"> </w:t>
      </w:r>
      <w:hyperlink r:id="rId16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כא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הפירושים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הסבירים</w:t>
      </w:r>
      <w:r>
        <w:rPr>
          <w:rtl w:val="true"/>
        </w:rPr>
        <w:t xml:space="preserve">"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פרשני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האיסורים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כפשוטם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וכהגיונם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ייבחנו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הפירושים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תכליתו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האובייקטיבית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והסובייקטיבית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2149/20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מרזן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15-14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</w:t>
      </w:r>
      <w:r>
        <w:rPr/>
        <w:t>7</w:t>
      </w:r>
      <w:r>
        <w:rPr/>
        <w:t>.2021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רבין</w:t>
      </w:r>
      <w:r>
        <w:rPr>
          <w:rFonts w:eastAsia="Arial TUR;Arial" w:cs="Arial TUR;Arial"/>
          <w:rtl w:val="true"/>
        </w:rPr>
        <w:t xml:space="preserve"> </w:t>
      </w:r>
      <w:hyperlink r:id="rId164"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rtl w:val="true"/>
          </w:rPr>
          <w:t>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/>
        <w:t>115-11</w:t>
      </w:r>
      <w:r>
        <w:rPr/>
        <w:t>0</w:t>
      </w:r>
      <w:r>
        <w:rPr>
          <w:rtl w:val="true"/>
        </w:rPr>
        <w:t xml:space="preserve"> (</w:t>
      </w:r>
      <w:r>
        <w:rPr/>
        <w:t>2014</w:t>
      </w:r>
      <w:r>
        <w:rPr>
          <w:rtl w:val="true"/>
        </w:rPr>
        <w:t xml:space="preserve">)). </w:t>
      </w:r>
      <w:r>
        <w:rPr>
          <w:rtl w:val="true"/>
        </w:rPr>
        <w:t>במילים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אפשרות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לשונית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לקרוא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פלילית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פרשני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ודוחף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מצמצמת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מתיישב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תכליתו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האיסור</w:t>
      </w:r>
      <w:r>
        <w:rPr>
          <w:rtl w:val="true"/>
        </w:rPr>
        <w:t>" (</w:t>
      </w:r>
      <w:hyperlink r:id="rId165">
        <w:r>
          <w:rPr>
            <w:rStyle w:val="Hyperlink"/>
            <w:rtl w:val="true"/>
          </w:rPr>
          <w:t>אסף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הרדוף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פרשנות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תכליתית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או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מצמצמת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או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שמא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תכליתית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ומצמצמת</w:t>
        </w:r>
        <w:r>
          <w:rPr>
            <w:rStyle w:val="Hyperlink"/>
            <w:rtl w:val="true"/>
          </w:rPr>
          <w:t xml:space="preserve">? </w:t>
        </w:r>
      </w:hyperlink>
      <w:r>
        <w:rPr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34</w:t>
      </w:r>
      <w:r>
        <w:rPr>
          <w:rtl w:val="true"/>
        </w:rPr>
        <w:t>כא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ועמימותן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הלשון</w:t>
      </w:r>
      <w:r>
        <w:rPr>
          <w:rtl w:val="true"/>
        </w:rPr>
        <w:t xml:space="preserve">, </w:t>
      </w:r>
      <w:r>
        <w:rPr>
          <w:rtl w:val="true"/>
        </w:rPr>
        <w:t>התכלית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והפגיעה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גרוניס</w:t>
      </w:r>
      <w:r>
        <w:rPr>
          <w:rFonts w:eastAsia="Arial TUR;Arial" w:cs="Arial TUR;Arial"/>
          <w:rtl w:val="true"/>
        </w:rPr>
        <w:t xml:space="preserve"> </w:t>
      </w:r>
      <w:r>
        <w:rPr/>
        <w:t>779</w:t>
      </w:r>
      <w:r>
        <w:rPr>
          <w:rtl w:val="true"/>
        </w:rPr>
        <w:t xml:space="preserve">, </w:t>
      </w:r>
      <w:r>
        <w:rPr/>
        <w:t>792</w:t>
      </w:r>
      <w:r>
        <w:rPr>
          <w:rtl w:val="true"/>
        </w:rPr>
        <w:t xml:space="preserve"> (</w:t>
      </w:r>
      <w:r>
        <w:rPr>
          <w:rtl w:val="true"/>
        </w:rPr>
        <w:t>קרן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אזולאי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' </w:t>
      </w:r>
      <w:r>
        <w:rPr>
          <w:rtl w:val="true"/>
        </w:rPr>
        <w:t>עורכים</w:t>
      </w:r>
      <w:r>
        <w:rPr>
          <w:rFonts w:eastAsia="Arial TUR;Arial" w:cs="Arial TUR;Arial"/>
          <w:rtl w:val="true"/>
        </w:rPr>
        <w:t xml:space="preserve"> </w:t>
      </w:r>
      <w:r>
        <w:rPr/>
        <w:t>2022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ספק אם כלל הפרשנות המקלה בפלילים חל על העניין שלפנינו</w:t>
      </w:r>
      <w:r>
        <w:rPr>
          <w:rtl w:val="true"/>
        </w:rPr>
        <w:t xml:space="preserve">. </w:t>
      </w:r>
      <w:r>
        <w:rPr>
          <w:rtl w:val="true"/>
        </w:rPr>
        <w:t>כמובא לעיל</w:t>
      </w:r>
      <w:r>
        <w:rPr>
          <w:rtl w:val="true"/>
        </w:rPr>
        <w:t xml:space="preserve">, </w:t>
      </w:r>
      <w:r>
        <w:rPr>
          <w:rtl w:val="true"/>
        </w:rPr>
        <w:t>ביסוד כלל זה ניצבים עיקרון החוקיות והתכלית בדבר אזהרה הוגנת לאזרח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כלל הפרשנות המקלה מתייחס להגדרת העבירה עצמה</w:t>
      </w:r>
      <w:r>
        <w:rPr>
          <w:rtl w:val="true"/>
        </w:rPr>
        <w:t xml:space="preserve">, </w:t>
      </w:r>
      <w:r>
        <w:rPr>
          <w:rtl w:val="true"/>
        </w:rPr>
        <w:t xml:space="preserve">על מנת שהפרט בחברה לא </w:t>
      </w:r>
      <w:r>
        <w:rPr>
          <w:rtl w:val="true"/>
        </w:rPr>
        <w:t>"</w:t>
      </w:r>
      <w:r>
        <w:rPr>
          <w:rtl w:val="true"/>
        </w:rPr>
        <w:t>יופתע</w:t>
      </w:r>
      <w:r>
        <w:rPr>
          <w:rtl w:val="true"/>
        </w:rPr>
        <w:t xml:space="preserve">" </w:t>
      </w:r>
      <w:r>
        <w:rPr>
          <w:rtl w:val="true"/>
        </w:rPr>
        <w:t>בשל הטלת אחריות בגין מעשה אשר אינו נכלל בפרשנות הפשוטה של האיסור הפלילי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היו שהציעו להבחין בין תחולתו של כלל הפרשנות המקלה על הוראות חוק פליליות שעניינן איסורים אשר מתווים את גבולות האסור והמותר</w:t>
      </w:r>
      <w:r>
        <w:rPr>
          <w:rtl w:val="true"/>
        </w:rPr>
        <w:t xml:space="preserve">, </w:t>
      </w:r>
      <w:r>
        <w:rPr>
          <w:rtl w:val="true"/>
        </w:rPr>
        <w:t>לבין תחולתו ביחס להוראות פליליות מסוג אחר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 xml:space="preserve">נקבע בעבר כי כלל זה אינו חל במלוא עוזו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כללים</w:t>
      </w:r>
      <w:r>
        <w:rPr>
          <w:rtl w:val="true"/>
        </w:rPr>
        <w:t xml:space="preserve"> </w:t>
      </w:r>
      <w:r>
        <w:rPr>
          <w:rtl w:val="true"/>
        </w:rPr>
        <w:t>שעניינם</w:t>
      </w:r>
      <w:r>
        <w:rPr>
          <w:rtl w:val="true"/>
        </w:rPr>
        <w:t xml:space="preserve"> </w:t>
      </w:r>
      <w:r>
        <w:rPr>
          <w:rtl w:val="true"/>
        </w:rPr>
        <w:t>פרוצדורה</w:t>
      </w:r>
      <w:r>
        <w:rPr>
          <w:rtl w:val="true"/>
        </w:rPr>
        <w:t xml:space="preserve"> </w:t>
      </w:r>
      <w:r>
        <w:rPr>
          <w:rtl w:val="true"/>
        </w:rPr>
        <w:t>ואכיפת</w:t>
      </w:r>
      <w:r>
        <w:rPr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למשל כ</w:t>
      </w:r>
      <w:r>
        <w:rPr>
          <w:rtl w:val="true"/>
        </w:rPr>
        <w:t>הוראות</w:t>
      </w:r>
      <w:r>
        <w:rPr>
          <w:rtl w:val="true"/>
        </w:rPr>
        <w:t xml:space="preserve"> </w:t>
      </w:r>
      <w:r>
        <w:rPr>
          <w:rtl w:val="true"/>
        </w:rPr>
        <w:t xml:space="preserve">שעניינן </w:t>
      </w:r>
      <w:r>
        <w:rPr>
          <w:rtl w:val="true"/>
        </w:rPr>
        <w:t>קבילות</w:t>
      </w:r>
      <w:r>
        <w:rPr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6414/18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עייש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36-35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17.11.2019</w:t>
      </w:r>
      <w:r>
        <w:rPr>
          <w:rtl w:val="true"/>
        </w:rPr>
        <w:t>)‏</w:t>
      </w:r>
      <w:r>
        <w:rPr>
          <w:rtl w:val="true"/>
        </w:rPr>
        <w:t xml:space="preserve">). </w:t>
      </w:r>
      <w:r>
        <w:rPr>
          <w:rtl w:val="true"/>
        </w:rPr>
        <w:t xml:space="preserve">עוד הוצע מכוח ההבחנה האמורה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המצמצמת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הנורמות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מכוונות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ההתנהגות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האזרח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בהכרח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והצדקה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להחלתו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הנורמות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המחוקק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האזרח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שיפוט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>)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בועז סנג</w:t>
      </w:r>
      <w:r>
        <w:rPr>
          <w:rtl w:val="true"/>
        </w:rPr>
        <w:t>'</w:t>
      </w:r>
      <w:r>
        <w:rPr>
          <w:rtl w:val="true"/>
        </w:rPr>
        <w:t xml:space="preserve">רו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ביקורת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הישראליים</w:t>
      </w:r>
      <w:r>
        <w:rPr>
          <w:rtl w:val="true"/>
        </w:rPr>
        <w:t xml:space="preserve"> </w:t>
      </w:r>
      <w:r>
        <w:rPr/>
        <w:t>86</w:t>
      </w:r>
      <w:r>
        <w:rPr>
          <w:rtl w:val="true"/>
        </w:rPr>
        <w:t xml:space="preserve"> (</w:t>
      </w:r>
      <w:r>
        <w:rPr/>
        <w:t>2020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כלל הפרשנות המקלה בפלילים נועד להעניק לפרט חופש פעולה ובחירה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ומונע את הכשלתו מלעבור עבירה המוגדרת באופן המותיר ספק באשר להיקף תחולתה ומשמעותה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בשונה</w:t>
      </w:r>
      <w:r>
        <w:rPr>
          <w:rFonts w:cs="Century" w:ascii="Century" w:hAnsi="Century"/>
          <w:rtl w:val="true"/>
        </w:rPr>
        <w:t xml:space="preserve">, </w:t>
      </w:r>
      <w:hyperlink r:id="rId16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6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טיפול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בחולי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נפש</w:t>
        </w:r>
      </w:hyperlink>
      <w:r>
        <w:rPr>
          <w:rFonts w:ascii="Century" w:hAnsi="Century" w:cs="Century"/>
          <w:rtl w:val="true"/>
        </w:rPr>
        <w:t xml:space="preserve"> אינו מגביל באופן עצמאי את הפרט מלפעול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ההכוונה המנויה בסעיף זה מופנית דווקא אל בית המשפט לצורך קביעת תקופת האשפוז המרבית עבור נאשם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חולה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נפש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והשוו</w:t>
      </w:r>
      <w:r>
        <w:rPr>
          <w:rFonts w:cs="Century" w:ascii="Century" w:hAnsi="Century"/>
          <w:rtl w:val="true"/>
        </w:rPr>
        <w:t xml:space="preserve">: </w:t>
      </w:r>
      <w:hyperlink r:id="rId1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4654/03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סא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567</w:t>
      </w:r>
      <w:r>
        <w:rPr>
          <w:rtl w:val="true"/>
        </w:rPr>
        <w:t xml:space="preserve">, </w:t>
      </w:r>
      <w:r>
        <w:rPr/>
        <w:t>597-596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2006</w:t>
      </w:r>
      <w:r>
        <w:rPr>
          <w:rtl w:val="true"/>
        </w:rPr>
        <w:t>)‏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ספק אם ניתן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כל שכן נדרש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להפעיל את כלל הפרשנות המקלה בפלילים על אופן קביעת תקופת האשפוז המרבית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מובן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בהיעדר תחולת כלל הפרשנות בפלילים 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מקום להכריע בין האפשרויות הפרשניות לתקופת האשפוז המרבית בגין עבירת הרצח הבסיסית מתוך פרספקטיבה מצמצמת או מקלה בהכרח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משמע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לבכר באופן אוטומטי פרשנות של תקופה מרבית למשך של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שנים על פני </w:t>
      </w: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אף לו היה מיושם כלל הפרשנות המקלה בפלילים</w:t>
      </w:r>
      <w:r>
        <w:rPr>
          <w:rtl w:val="true"/>
        </w:rPr>
        <w:t xml:space="preserve">, </w:t>
      </w:r>
      <w:r>
        <w:rPr>
          <w:rtl w:val="true"/>
        </w:rPr>
        <w:t xml:space="preserve">ממילא כלל זה אינו מוביל לקביעת תקופת האשפוז המרבית למשך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מאחר שבהתאם לנדרש לפי </w:t>
      </w:r>
      <w:hyperlink r:id="rId17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כא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 xml:space="preserve">כלל הפרשנות המקלה חל אך ורק בבחירה שבין מספר פירושים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סבירים</w:t>
      </w:r>
      <w:r>
        <w:rPr>
          <w:rtl w:val="true"/>
        </w:rPr>
        <w:t xml:space="preserve"> של הדין בהתאם ללשונו ואשר אף עולים בקנה אחד עם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תכלית</w:t>
      </w:r>
      <w:r>
        <w:rPr>
          <w:rtl w:val="true"/>
        </w:rPr>
        <w:t xml:space="preserve"> הדין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העמדה הפרשנית שלפיה תקופת האשפוז המרבית תהא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שנים אינה צולחת את שני השלבים הראשונים של </w:t>
      </w:r>
      <w:hyperlink r:id="rId17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כא</w:t>
        </w:r>
      </w:hyperlink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בהתאם למפורט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ביכולתה</w:t>
      </w:r>
      <w:r>
        <w:rPr>
          <w:rtl w:val="true"/>
        </w:rPr>
        <w:t xml:space="preserve"> של עמדה זו כדי להתגבר על המכשול הלשוני של </w:t>
      </w:r>
      <w:hyperlink r:id="rId17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 xml:space="preserve">כך שהעמדה כי תקופת האשפוז המרבית תהא </w:t>
      </w:r>
      <w:r>
        <w:rPr/>
        <w:t>2</w:t>
      </w:r>
      <w:r>
        <w:rPr>
          <w:rFonts w:cs="Century" w:ascii="Century" w:hAnsi="Century"/>
          <w:sz w:val="22"/>
        </w:rPr>
        <w:t>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שנים אינה מתיישבת עם לשון החוק וממילא לא מהווה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פירוש סביר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>בנוסף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עמדה פרשנית זו אף אינה עולה בקנה אחד עם תכליות הדין הרלוונטי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הואיל ותכלית האשפוז הכפוי מלמדת על כך שאין להתחשב במדרג האשמה של הרפורמה בעבירות ההמתה לצורך קביעת תקופת האשפוז המרבית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 xml:space="preserve">מאחר שהעמדה הפרשנית שלפיה תקופת האשפוז המרבית תהא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שנים כלל אינה צולחת את שני השלבים הראשונים של </w:t>
      </w:r>
      <w:hyperlink r:id="rId17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כא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>אזי לא ניתן להתחשב בה לצורך איתור הפרשנות המקלה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היקש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מופחתת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 xml:space="preserve">נטען כי יש להקיש וללמוד על תקופת האשפוז המרבית בעניין שלפנינו מגדרי עבירת ההמתה בנסיבות של אחריות מופחתת המנויה </w:t>
      </w:r>
      <w:hyperlink r:id="rId17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: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301</w:t>
      </w:r>
      <w:r>
        <w:rPr>
          <w:rtl w:val="true"/>
        </w:rPr>
        <w:t>ב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eastAsia="Arial TUR;Arial" w:cs="Arial TUR;Arial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301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ליקוי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השכלי</w:t>
      </w:r>
      <w:r>
        <w:rPr>
          <w:rtl w:val="true"/>
        </w:rPr>
        <w:t xml:space="preserve">, </w:t>
      </w:r>
      <w:r>
        <w:rPr>
          <w:rtl w:val="true"/>
        </w:rPr>
        <w:t>הוגבלה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34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שבמעשהו</w:t>
      </w:r>
      <w:r>
        <w:rPr>
          <w:rtl w:val="true"/>
        </w:rPr>
        <w:t xml:space="preserve">;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שנכנסים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מגלמים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בעושה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דרגת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פחותה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הנלווית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למעשה</w:t>
      </w:r>
      <w:r>
        <w:rPr>
          <w:rtl w:val="true"/>
        </w:rPr>
        <w:t>" (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בעמוד</w:t>
      </w:r>
      <w:r>
        <w:rPr>
          <w:rFonts w:eastAsia="Arial TUR;Arial" w:cs="Arial TUR;Arial"/>
          <w:rtl w:val="true"/>
        </w:rPr>
        <w:t xml:space="preserve"> </w:t>
      </w:r>
      <w:r>
        <w:rPr/>
        <w:t>174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רוצח</w:t>
      </w:r>
      <w:r>
        <w:rPr>
          <w:rtl w:val="true"/>
        </w:rPr>
        <w:t>" (</w:t>
      </w:r>
      <w:hyperlink r:id="rId1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7416/22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דויט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1.6.2023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hyperlink r:id="rId176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ח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נטען כי עבירת ההמתה בנסיבות של אחריות מופחתת במצב של ליקוי נפשי או שכלי קרובה מבחינה </w:t>
      </w:r>
      <w:r>
        <w:rPr>
          <w:rtl w:val="true"/>
        </w:rPr>
        <w:t>"</w:t>
      </w:r>
      <w:r>
        <w:rPr>
          <w:rtl w:val="true"/>
        </w:rPr>
        <w:t>מושגית ורעיונית</w:t>
      </w:r>
      <w:r>
        <w:rPr>
          <w:rtl w:val="true"/>
        </w:rPr>
        <w:t xml:space="preserve">", </w:t>
      </w:r>
      <w:r>
        <w:rPr>
          <w:rtl w:val="true"/>
        </w:rPr>
        <w:t>כלשון בא</w:t>
      </w:r>
      <w:r>
        <w:rPr>
          <w:rtl w:val="true"/>
        </w:rPr>
        <w:t>-</w:t>
      </w:r>
      <w:r>
        <w:rPr>
          <w:rtl w:val="true"/>
        </w:rPr>
        <w:t>כוח המשיב</w:t>
      </w:r>
      <w:r>
        <w:rPr>
          <w:rtl w:val="true"/>
        </w:rPr>
        <w:t xml:space="preserve">, </w:t>
      </w:r>
      <w:r>
        <w:rPr>
          <w:rtl w:val="true"/>
        </w:rPr>
        <w:t>למי שהואשם בעבירת הרצח הבסיסית אך מזוכה בדינו בשל סייג אי</w:t>
      </w:r>
      <w:r>
        <w:rPr>
          <w:rtl w:val="true"/>
        </w:rPr>
        <w:t>-</w:t>
      </w:r>
      <w:r>
        <w:rPr>
          <w:rtl w:val="true"/>
        </w:rPr>
        <w:t>שפיות הדעת</w:t>
      </w:r>
      <w:r>
        <w:rPr>
          <w:rtl w:val="true"/>
        </w:rPr>
        <w:t xml:space="preserve">. </w:t>
      </w:r>
      <w:r>
        <w:rPr>
          <w:rtl w:val="true"/>
        </w:rPr>
        <w:t>על יסוד קרבה זו</w:t>
      </w:r>
      <w:r>
        <w:rPr>
          <w:rtl w:val="true"/>
        </w:rPr>
        <w:t xml:space="preserve">, </w:t>
      </w:r>
      <w:r>
        <w:rPr>
          <w:rtl w:val="true"/>
        </w:rPr>
        <w:t xml:space="preserve">הוצע להקיש מעבירת ההמתה בנסיבות של אחריות מופחתת לצורך קביעת תקופת האשפוז המרבית ביחס לעבירת הרצח הבסיסית כך שתקופה זו תהא </w:t>
      </w:r>
      <w:r>
        <w:rPr>
          <w:rFonts w:cs="Miriam" w:ascii="Century" w:hAnsi="Century"/>
          <w:b/>
          <w:spacing w:val="0"/>
          <w:sz w:val="22"/>
          <w:szCs w:val="24"/>
        </w:rPr>
        <w:t>20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היקש זה איני מוצא לאמץ</w:t>
      </w:r>
      <w:r>
        <w:rPr>
          <w:rtl w:val="true"/>
        </w:rPr>
        <w:t xml:space="preserve">. </w:t>
      </w:r>
      <w:r>
        <w:rPr>
          <w:rtl w:val="true"/>
        </w:rPr>
        <w:t>אמנם במובנים רבים קיימת קרבה בין עבירת המתה בנסיבות של אחריות מופחתת בשל מצבו השכלי או הנפשי של הנאשם לבין עבירת הרצח הבסיסית אשר נעשית תחת סייג אי</w:t>
      </w:r>
      <w:r>
        <w:rPr>
          <w:rtl w:val="true"/>
        </w:rPr>
        <w:t>-</w:t>
      </w:r>
      <w:r>
        <w:rPr>
          <w:rtl w:val="true"/>
        </w:rPr>
        <w:t>שפיות הדעת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בעניין קביעת תקופת האשפוז המרבית קיימים הבדלים מהותיים בין שני הסדרים אלו שאינם מאפשרים להקיש האחד ממשנהו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עבירת ההמתה בנסיבות של אחריות מופחתת לא מספקת רק אפשרות להפחתה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בעונש</w:t>
      </w:r>
      <w:r>
        <w:rPr>
          <w:rtl w:val="true"/>
        </w:rPr>
        <w:t xml:space="preserve"> עבור הנאשם</w:t>
      </w:r>
      <w:r>
        <w:rPr>
          <w:rtl w:val="true"/>
        </w:rPr>
        <w:t xml:space="preserve">, </w:t>
      </w:r>
      <w:r>
        <w:rPr>
          <w:rtl w:val="true"/>
        </w:rPr>
        <w:t xml:space="preserve">אלא מהווה הסדר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מופחתת</w:t>
      </w:r>
      <w:r>
        <w:rPr>
          <w:rtl w:val="true"/>
        </w:rPr>
        <w:t xml:space="preserve">. </w:t>
      </w:r>
      <w:r>
        <w:rPr>
          <w:rtl w:val="true"/>
        </w:rPr>
        <w:t>עבירה זו עוסקת אפוא במי שליקויו הנפשי או השכלי אינו מגיע עד כדי סייג אי</w:t>
      </w:r>
      <w:r>
        <w:rPr>
          <w:rtl w:val="true"/>
        </w:rPr>
        <w:t>-</w:t>
      </w:r>
      <w:r>
        <w:rPr>
          <w:rtl w:val="true"/>
        </w:rPr>
        <w:t>השפיות</w:t>
      </w:r>
      <w:r>
        <w:rPr>
          <w:rtl w:val="true"/>
        </w:rPr>
        <w:t xml:space="preserve">, </w:t>
      </w:r>
      <w:r>
        <w:rPr>
          <w:rtl w:val="true"/>
        </w:rPr>
        <w:t xml:space="preserve">ובכך מתקבל הסדר ביניים </w:t>
      </w:r>
      <w:r>
        <w:rPr>
          <w:rtl w:val="true"/>
        </w:rPr>
        <w:t>–</w:t>
      </w:r>
      <w:r>
        <w:rPr>
          <w:rtl w:val="true"/>
        </w:rPr>
        <w:t xml:space="preserve"> בין אחריות מוחלטת והרשעה לבין פטור מאחריות וזיכוי</w:t>
      </w:r>
      <w:r>
        <w:rPr>
          <w:rtl w:val="true"/>
        </w:rPr>
        <w:t xml:space="preserve">. </w:t>
      </w:r>
      <w:r>
        <w:rPr>
          <w:rtl w:val="true"/>
        </w:rPr>
        <w:t>במובן זה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 xml:space="preserve">פטור מאחריות ואחריות מופחתת ממוקמות שתיהן על </w:t>
      </w:r>
      <w:r>
        <w:rPr>
          <w:rtl w:val="true"/>
        </w:rPr>
        <w:t>'</w:t>
      </w:r>
      <w:r>
        <w:rPr>
          <w:rtl w:val="true"/>
        </w:rPr>
        <w:t>ציר האחריות</w:t>
      </w:r>
      <w:r>
        <w:rPr>
          <w:rtl w:val="true"/>
        </w:rPr>
        <w:t xml:space="preserve">', </w:t>
      </w:r>
      <w:r>
        <w:rPr>
          <w:rtl w:val="true"/>
        </w:rPr>
        <w:t>אולם המרחק ביניהן</w:t>
      </w:r>
      <w:r>
        <w:rPr>
          <w:rtl w:val="true"/>
        </w:rPr>
        <w:t xml:space="preserve">, </w:t>
      </w:r>
      <w:r>
        <w:rPr>
          <w:rtl w:val="true"/>
        </w:rPr>
        <w:t>קצר ככל שיהיה</w:t>
      </w:r>
      <w:r>
        <w:rPr>
          <w:rtl w:val="true"/>
        </w:rPr>
        <w:t xml:space="preserve">, </w:t>
      </w:r>
      <w:r>
        <w:rPr>
          <w:rtl w:val="true"/>
        </w:rPr>
        <w:t>בעל משמעות של ממש 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מאחר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מהותי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Century"/>
          <w:rtl w:val="true"/>
        </w:rPr>
        <w:t>כזכור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האשפוז הכפוי אינו 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ואחריות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hyperlink r:id="rId17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אחריותו</w:t>
      </w:r>
      <w:r>
        <w:rPr>
          <w:rtl w:val="true"/>
        </w:rPr>
        <w:t xml:space="preserve">.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בינארי</w:t>
      </w:r>
      <w:r>
        <w:rPr>
          <w:rtl w:val="true"/>
        </w:rPr>
        <w:t xml:space="preserve">'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ציר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>' (</w:t>
      </w:r>
      <w:hyperlink r:id="rId1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5300/20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9.7.2023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.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בחקיקה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ומאחר שקביעת תקופת האשפוז המרבית נעשית בלי התחשבות בשיקולי ענישה ואחריות</w:t>
      </w:r>
      <w:r>
        <w:rPr>
          <w:rtl w:val="true"/>
        </w:rPr>
        <w:t xml:space="preserve">, </w:t>
      </w:r>
      <w:r>
        <w:rPr>
          <w:rtl w:val="true"/>
        </w:rPr>
        <w:t>אזי אין מקום להקיש או להשוות בין עבירת ההמתה בנסיבות של אחריות מופחתת אשר בה נמצא כי הנאשם אחראי למעשיו אך במידה פחותה</w:t>
      </w:r>
      <w:r>
        <w:rPr>
          <w:rtl w:val="true"/>
        </w:rPr>
        <w:t xml:space="preserve">, </w:t>
      </w:r>
      <w:r>
        <w:rPr>
          <w:rtl w:val="true"/>
        </w:rPr>
        <w:t>לבין עבירת רצח בסיסית שבה נקבע כי הנאשם אינו אחראי למעשיו או אינו כשיר לעמוד לדין ולבירור מידת אחריותו למעשים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בצדק טענה המדינה כי סייג אי</w:t>
      </w:r>
      <w:r>
        <w:rPr>
          <w:rtl w:val="true"/>
        </w:rPr>
        <w:t>-</w:t>
      </w:r>
      <w:r>
        <w:rPr>
          <w:rtl w:val="true"/>
        </w:rPr>
        <w:t xml:space="preserve">השפיות לפי </w:t>
      </w:r>
      <w:hyperlink r:id="rId18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ח</w:t>
        </w:r>
      </w:hyperlink>
      <w:r>
        <w:rPr>
          <w:rtl w:val="true"/>
        </w:rPr>
        <w:t xml:space="preserve"> לחוק ועבירת ההמתה בנסיבות של אחריות מופחתת </w:t>
      </w:r>
      <w:r>
        <w:rPr>
          <w:rtl w:val="true"/>
        </w:rPr>
        <w:t>–</w:t>
      </w:r>
      <w:r>
        <w:rPr>
          <w:rtl w:val="true"/>
        </w:rPr>
        <w:t xml:space="preserve"> אינם יכולים לדור בכפיפה אחת</w:t>
      </w:r>
      <w:r>
        <w:rPr>
          <w:rtl w:val="true"/>
        </w:rPr>
        <w:t xml:space="preserve">, </w:t>
      </w:r>
      <w:r>
        <w:rPr>
          <w:rtl w:val="true"/>
        </w:rPr>
        <w:t xml:space="preserve">שהרי בהגדרת העבירה מודגש כי המדובר במי שבשל הפרעה נפשית או שכלית הוגבלה יכולתו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34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tl w:val="true"/>
        </w:rPr>
        <w:t xml:space="preserve">".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לא ניתן להורות על אשפוזו הכפוי של 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 xml:space="preserve">נפש לפי </w:t>
      </w:r>
      <w:hyperlink r:id="rId18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 שעניינו אי כשירות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מהותית</w:t>
      </w:r>
      <w:r>
        <w:rPr>
          <w:rtl w:val="true"/>
        </w:rPr>
        <w:t xml:space="preserve"> בגין עבירת המתה בנסיבות של אחריות מופחתת לפי </w:t>
      </w:r>
      <w:hyperlink r:id="rId18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 xml:space="preserve">המשמעות היא כי תקופת המאסר המרבית שנקבעה בצידה של עבירה זו משמשת </w:t>
      </w:r>
      <w:r>
        <w:rPr>
          <w:rtl w:val="true"/>
        </w:rPr>
        <w:t>–</w:t>
      </w:r>
      <w:r>
        <w:rPr>
          <w:rtl w:val="true"/>
        </w:rPr>
        <w:t xml:space="preserve"> הלכה למעשה </w:t>
      </w:r>
      <w:r>
        <w:rPr>
          <w:rtl w:val="true"/>
        </w:rPr>
        <w:t>–</w:t>
      </w:r>
      <w:r>
        <w:rPr>
          <w:rtl w:val="true"/>
        </w:rPr>
        <w:t xml:space="preserve"> אך ורק לצורך קביעת עונש מאסר</w:t>
      </w:r>
      <w:r>
        <w:rPr>
          <w:rtl w:val="true"/>
        </w:rPr>
        <w:t xml:space="preserve">, </w:t>
      </w:r>
      <w:r>
        <w:rPr>
          <w:rtl w:val="true"/>
        </w:rPr>
        <w:t>ולא לצורך קביעת תקופת אשפוז מרבית במקרה של אי כשירות מהותית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ממילא אין טעם ללמוד מהעונש המרבי בעבירה זו לעניין שלפנינו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הופסקו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כשירות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לסיווג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משהופסקו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8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2531/19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tl w:val="true"/>
        </w:rPr>
        <w:t>אות</w:t>
      </w:r>
      <w:r>
        <w:rPr>
          <w:rFonts w:eastAsia="Arial TUR;Arial" w:cs="Arial TUR;Arial"/>
          <w:rtl w:val="true"/>
        </w:rPr>
        <w:t xml:space="preserve"> </w:t>
      </w:r>
      <w:r>
        <w:rPr/>
        <w:t>13-10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26.5.2021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כאן המקום להוסיף ולחדד כי </w:t>
      </w:r>
      <w:r>
        <w:rPr>
          <w:rFonts w:ascii="Century" w:hAnsi="Century" w:cs="Century"/>
          <w:sz w:val="22"/>
          <w:sz w:val="22"/>
          <w:rtl w:val="true"/>
        </w:rPr>
        <w:t xml:space="preserve">אף אין ללמוד בדרך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וחומר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כהצעת המשיב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</w:t>
      </w:r>
      <w:r>
        <w:rPr>
          <w:rtl w:val="true"/>
        </w:rPr>
        <w:t xml:space="preserve">תקופת האשפוז של נאשם אשר זוכה </w:t>
      </w:r>
      <w:r>
        <w:rPr>
          <w:rtl w:val="true"/>
        </w:rPr>
        <w:t>"</w:t>
      </w:r>
      <w:r>
        <w:rPr>
          <w:rtl w:val="true"/>
        </w:rPr>
        <w:t>להגנה מלאה</w:t>
      </w:r>
      <w:r>
        <w:rPr>
          <w:rtl w:val="true"/>
        </w:rPr>
        <w:t xml:space="preserve">" </w:t>
      </w:r>
      <w:r>
        <w:rPr>
          <w:rtl w:val="true"/>
        </w:rPr>
        <w:t>מפני אחריות פלילית כבענייננו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תהיה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קצרה</w:t>
      </w:r>
      <w:r>
        <w:rPr>
          <w:rtl w:val="true"/>
        </w:rPr>
        <w:t xml:space="preserve"> מאשר עבור נאשם הזוכה </w:t>
      </w:r>
      <w:r>
        <w:rPr>
          <w:rtl w:val="true"/>
        </w:rPr>
        <w:t>"</w:t>
      </w:r>
      <w:r>
        <w:rPr>
          <w:rtl w:val="true"/>
        </w:rPr>
        <w:t>להגנה חלקית</w:t>
      </w:r>
      <w:r>
        <w:rPr>
          <w:rtl w:val="true"/>
        </w:rPr>
        <w:t xml:space="preserve">" </w:t>
      </w:r>
      <w:r>
        <w:rPr>
          <w:rtl w:val="true"/>
        </w:rPr>
        <w:t>כנאשם בעבירת המתה בנסיבות של אחריות מופחתת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 ניתן להשוות בין אדם אשר הורשע ונגזר דינו בהתאם לעבירת המתה בנסיבות של אחריות מופחתת לבין נאשם אשר זוכה בדינו או שהופסקו ההליכים בעניינו ביחס לעבירת הרצח</w:t>
      </w:r>
      <w:r>
        <w:rPr>
          <w:rtl w:val="true"/>
        </w:rPr>
        <w:t xml:space="preserve">, </w:t>
      </w:r>
      <w:r>
        <w:rPr>
          <w:rtl w:val="true"/>
        </w:rPr>
        <w:t>ובית המשפט הורה על אשפוזו הכפוי לצורך קבלת טיפול רפואי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לסיכום</w:t>
      </w:r>
      <w:r>
        <w:rPr>
          <w:rtl w:val="true"/>
        </w:rPr>
        <w:t xml:space="preserve">: </w:t>
      </w:r>
      <w:r>
        <w:rPr>
          <w:rtl w:val="true"/>
        </w:rPr>
        <w:t xml:space="preserve">פרשנות הוראות הדין מלמדת כי עמדת המדינה שלפיה תקופת האשפוז המרבית תהא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שנים מתיישבת עם לשון סעיפי החוק</w:t>
      </w:r>
      <w:r>
        <w:rPr>
          <w:rtl w:val="true"/>
        </w:rPr>
        <w:t xml:space="preserve">, </w:t>
      </w:r>
      <w:r>
        <w:rPr>
          <w:rtl w:val="true"/>
        </w:rPr>
        <w:t>אופן יישומם ועם תכליות הדין</w:t>
      </w:r>
      <w:r>
        <w:rPr>
          <w:rtl w:val="true"/>
        </w:rPr>
        <w:t xml:space="preserve">, </w:t>
      </w:r>
      <w:r>
        <w:rPr>
          <w:rtl w:val="true"/>
        </w:rPr>
        <w:t xml:space="preserve">ואילו עמדת המשיב שלפיה תקופת האשפוז המרבית תהא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 אינה עולה בקנה אחד עם לשון סעיפי החוק ותכליות הדין</w:t>
      </w:r>
      <w:r>
        <w:rPr>
          <w:rtl w:val="true"/>
        </w:rPr>
        <w:t xml:space="preserve">, </w:t>
      </w:r>
      <w:r>
        <w:rPr>
          <w:rtl w:val="true"/>
        </w:rPr>
        <w:t>ואף אינה מוצאת תמיכה בכלל הפרשנות המקלה בפלילים או בהיקש לעבירת ההמתה בנסיבות של אחריות מופחתת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סיום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מורכבות הסוגיות שלפנינו נובעת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מכך שהרפורמה בעבירות ההמתה יצרה יש מאין את עבירת הרצח הבסיסית</w:t>
      </w:r>
      <w:r>
        <w:rPr>
          <w:rtl w:val="true"/>
        </w:rPr>
        <w:t xml:space="preserve">, </w:t>
      </w:r>
      <w:r>
        <w:rPr>
          <w:rtl w:val="true"/>
        </w:rPr>
        <w:t xml:space="preserve">אשר בצידה העונש הייחודי </w:t>
      </w:r>
      <w:r>
        <w:rPr>
          <w:rtl w:val="true"/>
        </w:rPr>
        <w:t>–</w:t>
      </w:r>
      <w:r>
        <w:rPr>
          <w:rtl w:val="true"/>
        </w:rPr>
        <w:t xml:space="preserve"> מאסר עולם לתקופה בלתי קצובה כעונש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מרבי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hyperlink r:id="rId18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 לא היה ערוך ומזומן לעבירה זו</w:t>
      </w:r>
      <w:r>
        <w:rPr>
          <w:rtl w:val="true"/>
        </w:rPr>
        <w:t xml:space="preserve">, </w:t>
      </w:r>
      <w:r>
        <w:rPr>
          <w:rtl w:val="true"/>
        </w:rPr>
        <w:t>ולא נערכו בו התאמות נדרשות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לעת מצוא</w:t>
      </w:r>
      <w:r>
        <w:rPr>
          <w:rtl w:val="true"/>
        </w:rPr>
        <w:t xml:space="preserve">, </w:t>
      </w:r>
      <w:r>
        <w:rPr>
          <w:rtl w:val="true"/>
        </w:rPr>
        <w:t>ראוי כי הסוגיה תלובן ותיקבע כנדרש על ידי המחוקק</w:t>
      </w:r>
      <w:r>
        <w:rPr>
          <w:rtl w:val="true"/>
        </w:rPr>
        <w:t xml:space="preserve">. </w:t>
      </w:r>
      <w:r>
        <w:rPr>
          <w:rtl w:val="true"/>
        </w:rPr>
        <w:t>לעת הזו</w:t>
      </w:r>
      <w:r>
        <w:rPr>
          <w:rtl w:val="true"/>
        </w:rPr>
        <w:t xml:space="preserve">, </w:t>
      </w:r>
      <w:r>
        <w:rPr>
          <w:rtl w:val="true"/>
        </w:rPr>
        <w:t>בתום מסע פרשני</w:t>
      </w:r>
      <w:r>
        <w:rPr>
          <w:rtl w:val="true"/>
        </w:rPr>
        <w:t xml:space="preserve">, </w:t>
      </w:r>
      <w:r>
        <w:rPr>
          <w:rtl w:val="true"/>
        </w:rPr>
        <w:t xml:space="preserve">לגישתי תקופת האשפוז המרבית בגין עבירת הרצח הבסיסית תהא </w:t>
      </w:r>
      <w:r>
        <w:rPr>
          <w:rFonts w:cs="Miriam" w:ascii="Century" w:hAnsi="Century"/>
          <w:b/>
          <w:spacing w:val="0"/>
          <w:sz w:val="22"/>
          <w:szCs w:val="24"/>
        </w:rPr>
        <w:t>25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שנים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כדי להעמיד דברים על מכונם ביחס לתקופת האשפוז המרבית</w:t>
      </w:r>
      <w:r>
        <w:rPr>
          <w:rtl w:val="true"/>
        </w:rPr>
        <w:t xml:space="preserve">, </w:t>
      </w:r>
      <w:r>
        <w:rPr>
          <w:rtl w:val="true"/>
        </w:rPr>
        <w:t xml:space="preserve">אין לי אלא לשוב על שהבהרתי לאחרונה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664/23</w:t>
        </w:r>
      </w:hyperlink>
      <w:r>
        <w:rPr>
          <w:rtl w:val="true"/>
        </w:rPr>
        <w:t>):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מרבית</w:t>
      </w:r>
      <w:r>
        <w:rPr>
          <w:rtl w:val="true"/>
        </w:rPr>
        <w:t xml:space="preserve">. </w:t>
      </w:r>
      <w:r>
        <w:rPr>
          <w:rtl w:val="true"/>
        </w:rPr>
        <w:t>במצוות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מסוכנותו</w:t>
      </w:r>
      <w:r>
        <w:rPr>
          <w:rtl w:val="true"/>
        </w:rPr>
        <w:t xml:space="preserve">,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אוסיף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וכבודו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ושילובו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ולזולתו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49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בסיכומו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25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. </w:t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כבוב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פוגלמן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4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בתשרי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18.9.2023</w:t>
      </w:r>
      <w:r>
        <w:rPr>
          <w:rtl w:val="true"/>
        </w:rPr>
        <w:t xml:space="preserve">). </w:t>
      </w:r>
      <w:bookmarkEnd w:id="24"/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0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7"/>
        <w:gridCol w:w="2767"/>
        <w:gridCol w:w="2768"/>
      </w:tblGrid>
      <w:tr>
        <w:trPr/>
        <w:tc>
          <w:tcPr>
            <w:tcW w:w="2767" w:type="dxa"/>
            <w:tcBorders/>
          </w:tcPr>
          <w:p>
            <w:pPr>
              <w:pStyle w:val="Ruller4"/>
              <w:ind w:end="0"/>
              <w:jc w:val="start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6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6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22065380</w:t>
      </w:r>
      <w:r>
        <w:rPr>
          <w:sz w:val="16"/>
          <w:rtl w:val="true"/>
        </w:rPr>
        <w:t>_</w:t>
      </w:r>
      <w:r>
        <w:rPr>
          <w:sz w:val="16"/>
        </w:rPr>
        <w:t>J04.docx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87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54678313-6538/22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8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89"/>
      <w:footerReference w:type="default" r:id="rId19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FrankRuehl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6538/22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eastAsia="Times New Roman" w:cs="FrankRueh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FrankRuehl" w:hAnsi="FrankRuehl" w:eastAsia="Times New Roman" w:cs="FrankRuehl"/>
    </w:rPr>
  </w:style>
  <w:style w:type="character" w:styleId="WW8Num11z6">
    <w:name w:val="WW8Num11z6"/>
    <w:qFormat/>
    <w:rPr>
      <w:rFonts w:ascii="Symbol" w:hAnsi="Symbol" w:cs="Symbol"/>
    </w:rPr>
  </w:style>
  <w:style w:type="character" w:styleId="WW8Num12z0">
    <w:name w:val="WW8Num12z0"/>
    <w:qFormat/>
    <w:rPr>
      <w:lang w:val="en-US"/>
    </w:rPr>
  </w:style>
  <w:style w:type="character" w:styleId="WW8Num13z0">
    <w:name w:val="WW8Num13z0"/>
    <w:qFormat/>
    <w:rPr>
      <w:rFonts w:ascii="FrankRuehl" w:hAnsi="FrankRuehl" w:eastAsia="Times New Roman" w:cs="FrankRueh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FrankRuehl" w:hAnsi="FrankRuehl" w:eastAsia="Times New Roman" w:cs="FrankRueh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eastAsia="Times New Roman" w:cs="FrankRueh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eastAsia="Times New Roman" w:cs="FrankRueh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FrankRuehl" w:hAnsi="FrankRuehl" w:eastAsia="Times New Roman" w:cs="FrankRueh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eastAsia="Times New Roman" w:cs="FrankRueh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eastAsia="Times New Roman" w:cs="FrankRueh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eastAsia="Times New Roman" w:cs="FrankRueh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eastAsia="Times New Roman" w:cs="Miriam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/>
  </w:style>
  <w:style w:type="character" w:styleId="WW8Num23z0">
    <w:name w:val="WW8Num23z0"/>
    <w:qFormat/>
    <w:rPr>
      <w:rFonts w:ascii="Symbol" w:hAnsi="Symbol" w:eastAsia="Times New Roman" w:cs="FrankRueh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FrankRuehl" w:hAnsi="FrankRuehl" w:eastAsia="Times New Roman" w:cs="FrankRueh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FrankRuehl" w:hAnsi="FrankRuehl" w:eastAsia="Times New Roman" w:cs="FrankRueh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ruller51">
    <w:name w:val="ruller5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ListParagraph">
    <w:name w:val="List Paragraph"/>
    <w:basedOn w:val="Normal"/>
    <w:qFormat/>
    <w:pPr>
      <w:spacing w:lineRule="auto" w:line="360" w:before="0" w:after="0"/>
      <w:ind w:hanging="0" w:start="720" w:end="0"/>
      <w:contextualSpacing/>
    </w:pPr>
    <w:rPr>
      <w:rFonts w:ascii="Century" w:hAnsi="Century" w:cs="FrankRuehl"/>
      <w:spacing w:val="10"/>
      <w:szCs w:val="2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769296" TargetMode="External"/><Relationship Id="rId3" Type="http://schemas.openxmlformats.org/officeDocument/2006/relationships/hyperlink" Target="http://www.nevo.co.il/safrut/book/51539" TargetMode="External"/><Relationship Id="rId4" Type="http://schemas.openxmlformats.org/officeDocument/2006/relationships/hyperlink" Target="http://www.nevo.co.il/safrut/book/51539" TargetMode="External"/><Relationship Id="rId5" Type="http://schemas.openxmlformats.org/officeDocument/2006/relationships/hyperlink" Target="http://www.nevo.co.il/safrut/book/4276" TargetMode="External"/><Relationship Id="rId6" Type="http://schemas.openxmlformats.org/officeDocument/2006/relationships/hyperlink" Target="http://www.nevo.co.il/safrut/bookgroup/412" TargetMode="External"/><Relationship Id="rId7" Type="http://schemas.openxmlformats.org/officeDocument/2006/relationships/hyperlink" Target="http://www.nevo.co.il/safrut/bookgroup/41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4h" TargetMode="External"/><Relationship Id="rId10" Type="http://schemas.openxmlformats.org/officeDocument/2006/relationships/hyperlink" Target="http://www.nevo.co.il/law/70301/41" TargetMode="External"/><Relationship Id="rId11" Type="http://schemas.openxmlformats.org/officeDocument/2006/relationships/hyperlink" Target="http://www.nevo.co.il/law/70301/97" TargetMode="External"/><Relationship Id="rId12" Type="http://schemas.openxmlformats.org/officeDocument/2006/relationships/hyperlink" Target="http://www.nevo.co.il/law/70301/98" TargetMode="External"/><Relationship Id="rId13" Type="http://schemas.openxmlformats.org/officeDocument/2006/relationships/hyperlink" Target="http://www.nevo.co.il/law/70301/107" TargetMode="External"/><Relationship Id="rId14" Type="http://schemas.openxmlformats.org/officeDocument/2006/relationships/hyperlink" Target="http://www.nevo.co.il/law/70301/111" TargetMode="External"/><Relationship Id="rId15" Type="http://schemas.openxmlformats.org/officeDocument/2006/relationships/hyperlink" Target="http://www.nevo.co.il/law/70301/113.b" TargetMode="External"/><Relationship Id="rId16" Type="http://schemas.openxmlformats.org/officeDocument/2006/relationships/hyperlink" Target="http://www.nevo.co.il/law/70301/121.b" TargetMode="External"/><Relationship Id="rId17" Type="http://schemas.openxmlformats.org/officeDocument/2006/relationships/hyperlink" Target="http://www.nevo.co.il/law/70301/298" TargetMode="External"/><Relationship Id="rId18" Type="http://schemas.openxmlformats.org/officeDocument/2006/relationships/hyperlink" Target="http://www.nevo.co.il/law/70301/300" TargetMode="External"/><Relationship Id="rId19" Type="http://schemas.openxmlformats.org/officeDocument/2006/relationships/hyperlink" Target="http://www.nevo.co.il/law/70301/300.a" TargetMode="External"/><Relationship Id="rId20" Type="http://schemas.openxmlformats.org/officeDocument/2006/relationships/hyperlink" Target="http://www.nevo.co.il/law/70301/300.a.2" TargetMode="External"/><Relationship Id="rId21" Type="http://schemas.openxmlformats.org/officeDocument/2006/relationships/hyperlink" Target="http://www.nevo.co.il/law/70301/301.a" TargetMode="External"/><Relationship Id="rId22" Type="http://schemas.openxmlformats.org/officeDocument/2006/relationships/hyperlink" Target="http://www.nevo.co.il/law/70301/301a" TargetMode="External"/><Relationship Id="rId23" Type="http://schemas.openxmlformats.org/officeDocument/2006/relationships/hyperlink" Target="http://www.nevo.co.il/law/70301/301a.b" TargetMode="External"/><Relationship Id="rId24" Type="http://schemas.openxmlformats.org/officeDocument/2006/relationships/hyperlink" Target="http://www.nevo.co.il/law/70301/301b" TargetMode="External"/><Relationship Id="rId25" Type="http://schemas.openxmlformats.org/officeDocument/2006/relationships/hyperlink" Target="http://www.nevo.co.il/law/70301/301b.b" TargetMode="External"/><Relationship Id="rId26" Type="http://schemas.openxmlformats.org/officeDocument/2006/relationships/hyperlink" Target="http://www.nevo.co.il/law/70301/301b.b.2" TargetMode="External"/><Relationship Id="rId27" Type="http://schemas.openxmlformats.org/officeDocument/2006/relationships/hyperlink" Target="http://www.nevo.co.il/law/70301/301c" TargetMode="External"/><Relationship Id="rId28" Type="http://schemas.openxmlformats.org/officeDocument/2006/relationships/hyperlink" Target="http://www.nevo.co.il/law/70301/304" TargetMode="External"/><Relationship Id="rId29" Type="http://schemas.openxmlformats.org/officeDocument/2006/relationships/hyperlink" Target="http://www.nevo.co.il/law/70301/311a" TargetMode="External"/><Relationship Id="rId30" Type="http://schemas.openxmlformats.org/officeDocument/2006/relationships/hyperlink" Target="http://www.nevo.co.il/law/70301/34ka" TargetMode="External"/><Relationship Id="rId31" Type="http://schemas.openxmlformats.org/officeDocument/2006/relationships/hyperlink" Target="http://www.nevo.co.il/law/70301/fC" TargetMode="External"/><Relationship Id="rId32" Type="http://schemas.openxmlformats.org/officeDocument/2006/relationships/hyperlink" Target="http://www.nevo.co.il/law/70314" TargetMode="External"/><Relationship Id="rId33" Type="http://schemas.openxmlformats.org/officeDocument/2006/relationships/hyperlink" Target="http://www.nevo.co.il/law/70314/15" TargetMode="External"/><Relationship Id="rId34" Type="http://schemas.openxmlformats.org/officeDocument/2006/relationships/hyperlink" Target="http://www.nevo.co.il/law/70314/15.a" TargetMode="External"/><Relationship Id="rId35" Type="http://schemas.openxmlformats.org/officeDocument/2006/relationships/hyperlink" Target="http://www.nevo.co.il/law/70314/15.b" TargetMode="External"/><Relationship Id="rId36" Type="http://schemas.openxmlformats.org/officeDocument/2006/relationships/hyperlink" Target="http://www.nevo.co.il/law/70314/15.d1.2" TargetMode="External"/><Relationship Id="rId37" Type="http://schemas.openxmlformats.org/officeDocument/2006/relationships/hyperlink" Target="http://www.nevo.co.il/law/70314/15.d1.2.c" TargetMode="External"/><Relationship Id="rId38" Type="http://schemas.openxmlformats.org/officeDocument/2006/relationships/hyperlink" Target="http://www.nevo.co.il/law/70314/15.d1.2a" TargetMode="External"/><Relationship Id="rId39" Type="http://schemas.openxmlformats.org/officeDocument/2006/relationships/hyperlink" Target="http://www.nevo.co.il/law/70314/35.b" TargetMode="External"/><Relationship Id="rId40" Type="http://schemas.openxmlformats.org/officeDocument/2006/relationships/hyperlink" Target="http://www.nevo.co.il/law/75025" TargetMode="External"/><Relationship Id="rId41" Type="http://schemas.openxmlformats.org/officeDocument/2006/relationships/hyperlink" Target="http://www.nevo.co.il/law/75025/29.a" TargetMode="External"/><Relationship Id="rId42" Type="http://schemas.openxmlformats.org/officeDocument/2006/relationships/hyperlink" Target="http://www.nevo.co.il/law/70314" TargetMode="External"/><Relationship Id="rId43" Type="http://schemas.openxmlformats.org/officeDocument/2006/relationships/hyperlink" Target="http://www.nevo.co.il/law/70314" TargetMode="External"/><Relationship Id="rId44" Type="http://schemas.openxmlformats.org/officeDocument/2006/relationships/hyperlink" Target="http://www.nevo.co.il/law/70314" TargetMode="External"/><Relationship Id="rId45" Type="http://schemas.openxmlformats.org/officeDocument/2006/relationships/hyperlink" Target="http://www.nevo.co.il/law/70314" TargetMode="External"/><Relationship Id="rId46" Type="http://schemas.openxmlformats.org/officeDocument/2006/relationships/hyperlink" Target="http://www.nevo.co.il/law/70314" TargetMode="External"/><Relationship Id="rId47" Type="http://schemas.openxmlformats.org/officeDocument/2006/relationships/hyperlink" Target="http://www.nevo.co.il/law/70314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14" TargetMode="External"/><Relationship Id="rId50" Type="http://schemas.openxmlformats.org/officeDocument/2006/relationships/hyperlink" Target="http://www.nevo.co.il/law/70301/300.a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14" TargetMode="External"/><Relationship Id="rId53" Type="http://schemas.openxmlformats.org/officeDocument/2006/relationships/hyperlink" Target="http://www.nevo.co.il/case/22769297" TargetMode="External"/><Relationship Id="rId54" Type="http://schemas.openxmlformats.org/officeDocument/2006/relationships/hyperlink" Target="http://www.nevo.co.il/law/70314" TargetMode="External"/><Relationship Id="rId55" Type="http://schemas.openxmlformats.org/officeDocument/2006/relationships/hyperlink" Target="http://www.nevo.co.il/law/70314/15.a" TargetMode="External"/><Relationship Id="rId56" Type="http://schemas.openxmlformats.org/officeDocument/2006/relationships/hyperlink" Target="http://www.nevo.co.il/law/70314" TargetMode="External"/><Relationship Id="rId57" Type="http://schemas.openxmlformats.org/officeDocument/2006/relationships/hyperlink" Target="http://www.nevo.co.il/law/70314/15.b" TargetMode="External"/><Relationship Id="rId58" Type="http://schemas.openxmlformats.org/officeDocument/2006/relationships/hyperlink" Target="http://www.nevo.co.il/law/70314" TargetMode="External"/><Relationship Id="rId59" Type="http://schemas.openxmlformats.org/officeDocument/2006/relationships/hyperlink" Target="http://www.nevo.co.il/case/5676206" TargetMode="External"/><Relationship Id="rId60" Type="http://schemas.openxmlformats.org/officeDocument/2006/relationships/hyperlink" Target="http://www.nevo.co.il/law/70314" TargetMode="External"/><Relationship Id="rId61" Type="http://schemas.openxmlformats.org/officeDocument/2006/relationships/hyperlink" Target="http://www.nevo.co.il/law/70314/15.d1.2a" TargetMode="External"/><Relationship Id="rId62" Type="http://schemas.openxmlformats.org/officeDocument/2006/relationships/hyperlink" Target="http://www.nevo.co.il/law/70314" TargetMode="External"/><Relationship Id="rId63" Type="http://schemas.openxmlformats.org/officeDocument/2006/relationships/hyperlink" Target="http://www.nevo.co.il/case/29334315" TargetMode="External"/><Relationship Id="rId64" Type="http://schemas.openxmlformats.org/officeDocument/2006/relationships/hyperlink" Target="http://www.nevo.co.il/case/6216461" TargetMode="External"/><Relationship Id="rId65" Type="http://schemas.openxmlformats.org/officeDocument/2006/relationships/hyperlink" Target="http://www.nevo.co.il/law/70314" TargetMode="External"/><Relationship Id="rId66" Type="http://schemas.openxmlformats.org/officeDocument/2006/relationships/hyperlink" Target="http://www.nevo.co.il/law/70314" TargetMode="External"/><Relationship Id="rId67" Type="http://schemas.openxmlformats.org/officeDocument/2006/relationships/hyperlink" Target="http://www.nevo.co.il/law/70314/15.d1.2" TargetMode="External"/><Relationship Id="rId68" Type="http://schemas.openxmlformats.org/officeDocument/2006/relationships/hyperlink" Target="http://www.nevo.co.il/law/70314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law/70301/300" TargetMode="External"/><Relationship Id="rId71" Type="http://schemas.openxmlformats.org/officeDocument/2006/relationships/hyperlink" Target="http://www.nevo.co.il/law/70301/298" TargetMode="External"/><Relationship Id="rId72" Type="http://schemas.openxmlformats.org/officeDocument/2006/relationships/hyperlink" Target="http://www.nevo.co.il/law/70301/300.a" TargetMode="External"/><Relationship Id="rId73" Type="http://schemas.openxmlformats.org/officeDocument/2006/relationships/hyperlink" Target="http://www.nevo.co.il/case/27608320" TargetMode="External"/><Relationship Id="rId74" Type="http://schemas.openxmlformats.org/officeDocument/2006/relationships/hyperlink" Target="http://www.nevo.co.il/law/70301/301.a" TargetMode="External"/><Relationship Id="rId75" Type="http://schemas.openxmlformats.org/officeDocument/2006/relationships/hyperlink" Target="http://www.nevo.co.il/law/70314" TargetMode="External"/><Relationship Id="rId76" Type="http://schemas.openxmlformats.org/officeDocument/2006/relationships/hyperlink" Target="http://www.nevo.co.il/law/70301/300.a.2" TargetMode="External"/><Relationship Id="rId77" Type="http://schemas.openxmlformats.org/officeDocument/2006/relationships/hyperlink" Target="http://www.nevo.co.il/law/70301/34h" TargetMode="External"/><Relationship Id="rId78" Type="http://schemas.openxmlformats.org/officeDocument/2006/relationships/hyperlink" Target="http://www.nevo.co.il/law/70301/300.a" TargetMode="External"/><Relationship Id="rId79" Type="http://schemas.openxmlformats.org/officeDocument/2006/relationships/hyperlink" Target="http://www.nevo.co.il/law/70301/34h" TargetMode="External"/><Relationship Id="rId80" Type="http://schemas.openxmlformats.org/officeDocument/2006/relationships/hyperlink" Target="http://www.nevo.co.il/law/70314/15.b" TargetMode="External"/><Relationship Id="rId81" Type="http://schemas.openxmlformats.org/officeDocument/2006/relationships/hyperlink" Target="http://www.nevo.co.il/law/70314" TargetMode="External"/><Relationship Id="rId82" Type="http://schemas.openxmlformats.org/officeDocument/2006/relationships/hyperlink" Target="http://www.nevo.co.il/law/70301/300.a" TargetMode="External"/><Relationship Id="rId83" Type="http://schemas.openxmlformats.org/officeDocument/2006/relationships/hyperlink" Target="http://www.nevo.co.il/law/70301/301b.b" TargetMode="External"/><Relationship Id="rId84" Type="http://schemas.openxmlformats.org/officeDocument/2006/relationships/hyperlink" Target="http://www.nevo.co.il/law/70301/41" TargetMode="External"/><Relationship Id="rId85" Type="http://schemas.openxmlformats.org/officeDocument/2006/relationships/hyperlink" Target="http://www.nevo.co.il/law/70301/311a" TargetMode="External"/><Relationship Id="rId86" Type="http://schemas.openxmlformats.org/officeDocument/2006/relationships/hyperlink" Target="http://www.nevo.co.il/law/70301/41" TargetMode="External"/><Relationship Id="rId87" Type="http://schemas.openxmlformats.org/officeDocument/2006/relationships/hyperlink" Target="http://www.nevo.co.il/law/70301/301b.b" TargetMode="External"/><Relationship Id="rId88" Type="http://schemas.openxmlformats.org/officeDocument/2006/relationships/hyperlink" Target="http://www.nevo.co.il/law/70314/15.d1.2.c" TargetMode="External"/><Relationship Id="rId89" Type="http://schemas.openxmlformats.org/officeDocument/2006/relationships/hyperlink" Target="http://www.nevo.co.il/law/70314" TargetMode="External"/><Relationship Id="rId90" Type="http://schemas.openxmlformats.org/officeDocument/2006/relationships/hyperlink" Target="http://www.nevo.co.il/law/70301/311a" TargetMode="External"/><Relationship Id="rId91" Type="http://schemas.openxmlformats.org/officeDocument/2006/relationships/hyperlink" Target="http://www.nevo.co.il/law/70301/311a" TargetMode="External"/><Relationship Id="rId92" Type="http://schemas.openxmlformats.org/officeDocument/2006/relationships/hyperlink" Target="http://www.nevo.co.il/law/70301" TargetMode="External"/><Relationship Id="rId93" Type="http://schemas.openxmlformats.org/officeDocument/2006/relationships/hyperlink" Target="http://www.nevo.co.il/law/70301/301b.b" TargetMode="External"/><Relationship Id="rId94" Type="http://schemas.openxmlformats.org/officeDocument/2006/relationships/hyperlink" Target="http://www.nevo.co.il/law/70301/fC" TargetMode="External"/><Relationship Id="rId95" Type="http://schemas.openxmlformats.org/officeDocument/2006/relationships/hyperlink" Target="http://www.nevo.co.il/law/70301" TargetMode="External"/><Relationship Id="rId96" Type="http://schemas.openxmlformats.org/officeDocument/2006/relationships/hyperlink" Target="http://www.nevo.co.il/safrut/book/4276" TargetMode="External"/><Relationship Id="rId97" Type="http://schemas.openxmlformats.org/officeDocument/2006/relationships/hyperlink" Target="http://www.nevo.co.il/law/70301/97" TargetMode="External"/><Relationship Id="rId98" Type="http://schemas.openxmlformats.org/officeDocument/2006/relationships/hyperlink" Target="http://www.nevo.co.il/law/70301/98" TargetMode="External"/><Relationship Id="rId99" Type="http://schemas.openxmlformats.org/officeDocument/2006/relationships/hyperlink" Target="http://www.nevo.co.il/law/70301/107" TargetMode="External"/><Relationship Id="rId100" Type="http://schemas.openxmlformats.org/officeDocument/2006/relationships/hyperlink" Target="http://www.nevo.co.il/law/70301/111" TargetMode="External"/><Relationship Id="rId101" Type="http://schemas.openxmlformats.org/officeDocument/2006/relationships/hyperlink" Target="http://www.nevo.co.il/law/70301/113.b" TargetMode="External"/><Relationship Id="rId102" Type="http://schemas.openxmlformats.org/officeDocument/2006/relationships/hyperlink" Target="http://www.nevo.co.il/law/70301/121.b" TargetMode="External"/><Relationship Id="rId103" Type="http://schemas.openxmlformats.org/officeDocument/2006/relationships/hyperlink" Target="http://www.nevo.co.il/law/70301" TargetMode="External"/><Relationship Id="rId104" Type="http://schemas.openxmlformats.org/officeDocument/2006/relationships/hyperlink" Target="http://www.nevo.co.il/law/70301/311a" TargetMode="External"/><Relationship Id="rId105" Type="http://schemas.openxmlformats.org/officeDocument/2006/relationships/hyperlink" Target="http://www.nevo.co.il/law/70301/311a" TargetMode="External"/><Relationship Id="rId106" Type="http://schemas.openxmlformats.org/officeDocument/2006/relationships/hyperlink" Target="http://www.nevo.co.il/law/70301/41" TargetMode="External"/><Relationship Id="rId107" Type="http://schemas.openxmlformats.org/officeDocument/2006/relationships/hyperlink" Target="http://www.nevo.co.il/case/27397243" TargetMode="External"/><Relationship Id="rId108" Type="http://schemas.openxmlformats.org/officeDocument/2006/relationships/hyperlink" Target="http://www.nevo.co.il/law/70301/41" TargetMode="External"/><Relationship Id="rId109" Type="http://schemas.openxmlformats.org/officeDocument/2006/relationships/hyperlink" Target="http://www.nevo.co.il/law/75025" TargetMode="External"/><Relationship Id="rId110" Type="http://schemas.openxmlformats.org/officeDocument/2006/relationships/hyperlink" Target="http://www.nevo.co.il/case/27418439" TargetMode="External"/><Relationship Id="rId111" Type="http://schemas.openxmlformats.org/officeDocument/2006/relationships/hyperlink" Target="http://www.nevo.co.il/case/27487089" TargetMode="External"/><Relationship Id="rId112" Type="http://schemas.openxmlformats.org/officeDocument/2006/relationships/hyperlink" Target="http://www.nevo.co.il/law/70301/311a" TargetMode="External"/><Relationship Id="rId113" Type="http://schemas.openxmlformats.org/officeDocument/2006/relationships/hyperlink" Target="http://www.nevo.co.il/law/70314/15.d1.2.c" TargetMode="External"/><Relationship Id="rId114" Type="http://schemas.openxmlformats.org/officeDocument/2006/relationships/hyperlink" Target="http://www.nevo.co.il/law/70314" TargetMode="External"/><Relationship Id="rId115" Type="http://schemas.openxmlformats.org/officeDocument/2006/relationships/hyperlink" Target="http://www.nevo.co.il/law/70301/311a" TargetMode="External"/><Relationship Id="rId116" Type="http://schemas.openxmlformats.org/officeDocument/2006/relationships/hyperlink" Target="http://www.nevo.co.il/law/70301/311a" TargetMode="External"/><Relationship Id="rId117" Type="http://schemas.openxmlformats.org/officeDocument/2006/relationships/hyperlink" Target="http://www.nevo.co.il/law/70301/41" TargetMode="External"/><Relationship Id="rId118" Type="http://schemas.openxmlformats.org/officeDocument/2006/relationships/hyperlink" Target="http://www.nevo.co.il/law/70301/300.a" TargetMode="External"/><Relationship Id="rId119" Type="http://schemas.openxmlformats.org/officeDocument/2006/relationships/hyperlink" Target="http://www.nevo.co.il/law/70301/41" TargetMode="External"/><Relationship Id="rId120" Type="http://schemas.openxmlformats.org/officeDocument/2006/relationships/hyperlink" Target="http://www.nevo.co.il/law/70301/311a" TargetMode="External"/><Relationship Id="rId121" Type="http://schemas.openxmlformats.org/officeDocument/2006/relationships/hyperlink" Target="http://www.nevo.co.il/law/70301/311a" TargetMode="External"/><Relationship Id="rId122" Type="http://schemas.openxmlformats.org/officeDocument/2006/relationships/hyperlink" Target="http://www.nevo.co.il/law/70301/311a" TargetMode="External"/><Relationship Id="rId123" Type="http://schemas.openxmlformats.org/officeDocument/2006/relationships/hyperlink" Target="http://www.nevo.co.il/law/70301/41" TargetMode="External"/><Relationship Id="rId124" Type="http://schemas.openxmlformats.org/officeDocument/2006/relationships/hyperlink" Target="http://www.nevo.co.il/law/70301/41" TargetMode="External"/><Relationship Id="rId125" Type="http://schemas.openxmlformats.org/officeDocument/2006/relationships/hyperlink" Target="http://www.nevo.co.il/law/70301/311a" TargetMode="External"/><Relationship Id="rId126" Type="http://schemas.openxmlformats.org/officeDocument/2006/relationships/hyperlink" Target="http://www.nevo.co.il/law/70301/300.a" TargetMode="External"/><Relationship Id="rId127" Type="http://schemas.openxmlformats.org/officeDocument/2006/relationships/hyperlink" Target="http://www.nevo.co.il/law/70301/311a" TargetMode="External"/><Relationship Id="rId128" Type="http://schemas.openxmlformats.org/officeDocument/2006/relationships/hyperlink" Target="http://www.nevo.co.il/law/70301/311a" TargetMode="External"/><Relationship Id="rId129" Type="http://schemas.openxmlformats.org/officeDocument/2006/relationships/hyperlink" Target="http://www.nevo.co.il/law/70314/15.d1.2.c" TargetMode="External"/><Relationship Id="rId130" Type="http://schemas.openxmlformats.org/officeDocument/2006/relationships/hyperlink" Target="http://www.nevo.co.il/law/70314" TargetMode="External"/><Relationship Id="rId131" Type="http://schemas.openxmlformats.org/officeDocument/2006/relationships/hyperlink" Target="http://www.nevo.co.il/law/70314/15.d1.2.c" TargetMode="External"/><Relationship Id="rId132" Type="http://schemas.openxmlformats.org/officeDocument/2006/relationships/hyperlink" Target="http://www.nevo.co.il/law/70314" TargetMode="External"/><Relationship Id="rId133" Type="http://schemas.openxmlformats.org/officeDocument/2006/relationships/hyperlink" Target="http://www.nevo.co.il/law/70301" TargetMode="External"/><Relationship Id="rId134" Type="http://schemas.openxmlformats.org/officeDocument/2006/relationships/hyperlink" Target="http://www.nevo.co.il/law/70314/15.d1.2" TargetMode="External"/><Relationship Id="rId135" Type="http://schemas.openxmlformats.org/officeDocument/2006/relationships/hyperlink" Target="http://www.nevo.co.il/law/70314" TargetMode="External"/><Relationship Id="rId136" Type="http://schemas.openxmlformats.org/officeDocument/2006/relationships/hyperlink" Target="http://www.nevo.co.il/law/70314/15.d1.2.c" TargetMode="External"/><Relationship Id="rId137" Type="http://schemas.openxmlformats.org/officeDocument/2006/relationships/hyperlink" Target="http://www.nevo.co.il/law/75025/29.a" TargetMode="External"/><Relationship Id="rId138" Type="http://schemas.openxmlformats.org/officeDocument/2006/relationships/hyperlink" Target="http://www.nevo.co.il/law/75025" TargetMode="External"/><Relationship Id="rId139" Type="http://schemas.openxmlformats.org/officeDocument/2006/relationships/hyperlink" Target="http://www.nevo.co.il/law/70314" TargetMode="External"/><Relationship Id="rId140" Type="http://schemas.openxmlformats.org/officeDocument/2006/relationships/hyperlink" Target="http://www.nevo.co.il/law/70314/15.d1.2" TargetMode="External"/><Relationship Id="rId141" Type="http://schemas.openxmlformats.org/officeDocument/2006/relationships/hyperlink" Target="http://www.nevo.co.il/law/70314" TargetMode="External"/><Relationship Id="rId142" Type="http://schemas.openxmlformats.org/officeDocument/2006/relationships/hyperlink" Target="http://www.nevo.co.il/law/70314/15.d1.2.c" TargetMode="External"/><Relationship Id="rId143" Type="http://schemas.openxmlformats.org/officeDocument/2006/relationships/hyperlink" Target="http://www.nevo.co.il/law/70314" TargetMode="External"/><Relationship Id="rId144" Type="http://schemas.openxmlformats.org/officeDocument/2006/relationships/hyperlink" Target="http://www.nevo.co.il/law/70301" TargetMode="External"/><Relationship Id="rId145" Type="http://schemas.openxmlformats.org/officeDocument/2006/relationships/hyperlink" Target="http://www.nevo.co.il/law/70301/301a" TargetMode="External"/><Relationship Id="rId146" Type="http://schemas.openxmlformats.org/officeDocument/2006/relationships/hyperlink" Target="http://www.nevo.co.il/law/70301/300.a" TargetMode="External"/><Relationship Id="rId147" Type="http://schemas.openxmlformats.org/officeDocument/2006/relationships/hyperlink" Target="http://www.nevo.co.il/law/70301/301b" TargetMode="External"/><Relationship Id="rId148" Type="http://schemas.openxmlformats.org/officeDocument/2006/relationships/hyperlink" Target="http://www.nevo.co.il/law/70301/301c" TargetMode="External"/><Relationship Id="rId149" Type="http://schemas.openxmlformats.org/officeDocument/2006/relationships/hyperlink" Target="http://www.nevo.co.il/law/70301/304" TargetMode="External"/><Relationship Id="rId150" Type="http://schemas.openxmlformats.org/officeDocument/2006/relationships/hyperlink" Target="http://www.nevo.co.il/law/70301/301a.b" TargetMode="External"/><Relationship Id="rId151" Type="http://schemas.openxmlformats.org/officeDocument/2006/relationships/hyperlink" Target="http://www.nevo.co.il/law/70314" TargetMode="External"/><Relationship Id="rId152" Type="http://schemas.openxmlformats.org/officeDocument/2006/relationships/hyperlink" Target="http://www.nevo.co.il/law/70314/35.b" TargetMode="External"/><Relationship Id="rId153" Type="http://schemas.openxmlformats.org/officeDocument/2006/relationships/hyperlink" Target="http://www.nevo.co.il/case/5799236" TargetMode="External"/><Relationship Id="rId154" Type="http://schemas.openxmlformats.org/officeDocument/2006/relationships/hyperlink" Target="http://www.nevo.co.il/law/70314" TargetMode="External"/><Relationship Id="rId155" Type="http://schemas.openxmlformats.org/officeDocument/2006/relationships/hyperlink" Target="http://www.nevo.co.il/law/70314" TargetMode="External"/><Relationship Id="rId156" Type="http://schemas.openxmlformats.org/officeDocument/2006/relationships/hyperlink" Target="http://www.nevo.co.il/law/70314" TargetMode="External"/><Relationship Id="rId157" Type="http://schemas.openxmlformats.org/officeDocument/2006/relationships/hyperlink" Target="http://www.nevo.co.il/law/70314" TargetMode="External"/><Relationship Id="rId158" Type="http://schemas.openxmlformats.org/officeDocument/2006/relationships/hyperlink" Target="http://www.nevo.co.il/case/5777082" TargetMode="External"/><Relationship Id="rId159" Type="http://schemas.openxmlformats.org/officeDocument/2006/relationships/hyperlink" Target="http://www.nevo.co.il/safrut/bookgroup/412" TargetMode="External"/><Relationship Id="rId160" Type="http://schemas.openxmlformats.org/officeDocument/2006/relationships/hyperlink" Target="http://www.nevo.co.il/law/70301/34ka" TargetMode="External"/><Relationship Id="rId161" Type="http://schemas.openxmlformats.org/officeDocument/2006/relationships/hyperlink" Target="http://www.nevo.co.il/law/70301" TargetMode="External"/><Relationship Id="rId162" Type="http://schemas.openxmlformats.org/officeDocument/2006/relationships/hyperlink" Target="http://www.nevo.co.il/law/70301/34ka" TargetMode="External"/><Relationship Id="rId163" Type="http://schemas.openxmlformats.org/officeDocument/2006/relationships/hyperlink" Target="http://www.nevo.co.il/case/26553171" TargetMode="External"/><Relationship Id="rId164" Type="http://schemas.openxmlformats.org/officeDocument/2006/relationships/hyperlink" Target="http://www.nevo.co.il/safrut/bookgroup/2258" TargetMode="External"/><Relationship Id="rId165" Type="http://schemas.openxmlformats.org/officeDocument/2006/relationships/hyperlink" Target="http://www.nevo.co.il/safrut/book/51539" TargetMode="External"/><Relationship Id="rId166" Type="http://schemas.openxmlformats.org/officeDocument/2006/relationships/hyperlink" Target="http://www.nevo.co.il/case/24975562" TargetMode="External"/><Relationship Id="rId167" Type="http://schemas.openxmlformats.org/officeDocument/2006/relationships/hyperlink" Target="http://www.nevo.co.il/law/70314/15" TargetMode="External"/><Relationship Id="rId168" Type="http://schemas.openxmlformats.org/officeDocument/2006/relationships/hyperlink" Target="http://www.nevo.co.il/law/70314" TargetMode="External"/><Relationship Id="rId169" Type="http://schemas.openxmlformats.org/officeDocument/2006/relationships/hyperlink" Target="http://www.nevo.co.il/case/5701345" TargetMode="External"/><Relationship Id="rId170" Type="http://schemas.openxmlformats.org/officeDocument/2006/relationships/hyperlink" Target="http://www.nevo.co.il/law/70301/34ka" TargetMode="External"/><Relationship Id="rId171" Type="http://schemas.openxmlformats.org/officeDocument/2006/relationships/hyperlink" Target="http://www.nevo.co.il/law/70301/34ka" TargetMode="External"/><Relationship Id="rId172" Type="http://schemas.openxmlformats.org/officeDocument/2006/relationships/hyperlink" Target="http://www.nevo.co.il/law/70301/311a" TargetMode="External"/><Relationship Id="rId173" Type="http://schemas.openxmlformats.org/officeDocument/2006/relationships/hyperlink" Target="http://www.nevo.co.il/law/70301/34ka" TargetMode="External"/><Relationship Id="rId174" Type="http://schemas.openxmlformats.org/officeDocument/2006/relationships/hyperlink" Target="http://www.nevo.co.il/law/70301/301b.b.2" TargetMode="External"/><Relationship Id="rId175" Type="http://schemas.openxmlformats.org/officeDocument/2006/relationships/hyperlink" Target="http://www.nevo.co.il/case/29108730" TargetMode="External"/><Relationship Id="rId176" Type="http://schemas.openxmlformats.org/officeDocument/2006/relationships/hyperlink" Target="http://www.nevo.co.il/law/70301/34h" TargetMode="External"/><Relationship Id="rId177" Type="http://schemas.openxmlformats.org/officeDocument/2006/relationships/hyperlink" Target="http://www.nevo.co.il/law/70314/15" TargetMode="External"/><Relationship Id="rId178" Type="http://schemas.openxmlformats.org/officeDocument/2006/relationships/hyperlink" Target="http://www.nevo.co.il/law/70314" TargetMode="External"/><Relationship Id="rId179" Type="http://schemas.openxmlformats.org/officeDocument/2006/relationships/hyperlink" Target="http://www.nevo.co.il/case/26885926" TargetMode="External"/><Relationship Id="rId180" Type="http://schemas.openxmlformats.org/officeDocument/2006/relationships/hyperlink" Target="http://www.nevo.co.il/law/70301/34h" TargetMode="External"/><Relationship Id="rId181" Type="http://schemas.openxmlformats.org/officeDocument/2006/relationships/hyperlink" Target="http://www.nevo.co.il/law/70314/15.b" TargetMode="External"/><Relationship Id="rId182" Type="http://schemas.openxmlformats.org/officeDocument/2006/relationships/hyperlink" Target="http://www.nevo.co.il/law/70314" TargetMode="External"/><Relationship Id="rId183" Type="http://schemas.openxmlformats.org/officeDocument/2006/relationships/hyperlink" Target="http://www.nevo.co.il/law/70301/301b.b.2" TargetMode="External"/><Relationship Id="rId184" Type="http://schemas.openxmlformats.org/officeDocument/2006/relationships/hyperlink" Target="http://www.nevo.co.il/case/25608107" TargetMode="External"/><Relationship Id="rId185" Type="http://schemas.openxmlformats.org/officeDocument/2006/relationships/hyperlink" Target="http://www.nevo.co.il/law/70314" TargetMode="External"/><Relationship Id="rId186" Type="http://schemas.openxmlformats.org/officeDocument/2006/relationships/hyperlink" Target="http://www.nevo.co.il/case/29334315" TargetMode="External"/><Relationship Id="rId187" Type="http://schemas.openxmlformats.org/officeDocument/2006/relationships/hyperlink" Target="https://supreme.court.gov.il/" TargetMode="External"/><Relationship Id="rId188" Type="http://schemas.openxmlformats.org/officeDocument/2006/relationships/hyperlink" Target="http://www.nevo.co.il/advertisements/nevo-100.doc" TargetMode="External"/><Relationship Id="rId189" Type="http://schemas.openxmlformats.org/officeDocument/2006/relationships/header" Target="header1.xml"/><Relationship Id="rId190" Type="http://schemas.openxmlformats.org/officeDocument/2006/relationships/footer" Target="footer1.xml"/><Relationship Id="rId191" Type="http://schemas.openxmlformats.org/officeDocument/2006/relationships/numbering" Target="numbering.xml"/><Relationship Id="rId192" Type="http://schemas.openxmlformats.org/officeDocument/2006/relationships/fontTable" Target="fontTable.xml"/><Relationship Id="rId193" Type="http://schemas.openxmlformats.org/officeDocument/2006/relationships/settings" Target="settings.xml"/><Relationship Id="rId19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2023-09-20T14:34:00Z</dcterms:created>
  <dc:creator>h4</dc:creator>
  <dc:description/>
  <cp:keywords/>
  <dc:language>en-IL</dc:language>
  <cp:lastModifiedBy>h1</cp:lastModifiedBy>
  <cp:lastPrinted>2023-09-18T07:03:00Z</cp:lastPrinted>
  <dcterms:modified xsi:type="dcterms:W3CDTF">2023-09-20T14:34:00Z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412</vt:lpwstr>
  </property>
  <property fmtid="{D5CDD505-2E9C-101B-9397-08002B2CF9AE}" pid="9" name="BOOKLISTTMP1">
    <vt:lpwstr>51539;4276</vt:lpwstr>
  </property>
  <property fmtid="{D5CDD505-2E9C-101B-9397-08002B2CF9AE}" pid="10" name="CASESLISTTMP1">
    <vt:lpwstr>22769296;22769297;5676206;29334315:2;6216461;27608320;27397243;27418439;27487089;5799236;5777082;26553171;24975562;5701345;29108730;26885926;25608107</vt:lpwstr>
  </property>
  <property fmtid="{D5CDD505-2E9C-101B-9397-08002B2CF9AE}" pid="11" name="CITY">
    <vt:lpwstr/>
  </property>
  <property fmtid="{D5CDD505-2E9C-101B-9397-08002B2CF9AE}" pid="12" name="DATE">
    <vt:lpwstr>20230918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י' אלרון;ח' כבוב;ע' פוגלמן</vt:lpwstr>
  </property>
  <property fmtid="{D5CDD505-2E9C-101B-9397-08002B2CF9AE}" pid="16" name="LAWLISTTMP1">
    <vt:lpwstr>70301/300.a:7;300;298;301.a;300.a.2;034h:4;301b.b:3;041:8;311a:15;fC;097;098;107;111;113.b;121.b;301a;301b;301c;304;301a.b;34ka:5;301b.b.2:2</vt:lpwstr>
  </property>
  <property fmtid="{D5CDD505-2E9C-101B-9397-08002B2CF9AE}" pid="17" name="LAWLISTTMP2">
    <vt:lpwstr>70314/015.a;015.b:3;015.d1.2a;015.d1.2:3;015.d1.2.c:6;035.b;015:2</vt:lpwstr>
  </property>
  <property fmtid="{D5CDD505-2E9C-101B-9397-08002B2CF9AE}" pid="18" name="LAWLISTTMP3">
    <vt:lpwstr>75025/029.a</vt:lpwstr>
  </property>
  <property fmtid="{D5CDD505-2E9C-101B-9397-08002B2CF9AE}" pid="19" name="LAWYER">
    <vt:lpwstr>רן אלון;דורית נחמני אלבק;הילה גורני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נעה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NOBOOKNEVO">
    <vt:lpwstr>2258</vt:lpwstr>
  </property>
  <property fmtid="{D5CDD505-2E9C-101B-9397-08002B2CF9AE}" pid="31" name="NOSE11">
    <vt:lpwstr>דיון פלילי</vt:lpwstr>
  </property>
  <property fmtid="{D5CDD505-2E9C-101B-9397-08002B2CF9AE}" pid="32" name="NOSE110">
    <vt:lpwstr/>
  </property>
  <property fmtid="{D5CDD505-2E9C-101B-9397-08002B2CF9AE}" pid="33" name="NOSE12">
    <vt:lpwstr>פרשנות</vt:lpwstr>
  </property>
  <property fmtid="{D5CDD505-2E9C-101B-9397-08002B2CF9AE}" pid="34" name="NOSE13">
    <vt:lpwstr>פרשנות</vt:lpwstr>
  </property>
  <property fmtid="{D5CDD505-2E9C-101B-9397-08002B2CF9AE}" pid="35" name="NOSE14">
    <vt:lpwstr>עונשין</vt:lpwstr>
  </property>
  <property fmtid="{D5CDD505-2E9C-101B-9397-08002B2CF9AE}" pid="36" name="NOSE15">
    <vt:lpwstr>עונשין</vt:lpwstr>
  </property>
  <property fmtid="{D5CDD505-2E9C-101B-9397-08002B2CF9AE}" pid="37" name="NOSE16">
    <vt:lpwstr>עונשין</vt:lpwstr>
  </property>
  <property fmtid="{D5CDD505-2E9C-101B-9397-08002B2CF9AE}" pid="38" name="NOSE17">
    <vt:lpwstr/>
  </property>
  <property fmtid="{D5CDD505-2E9C-101B-9397-08002B2CF9AE}" pid="39" name="NOSE18">
    <vt:lpwstr/>
  </property>
  <property fmtid="{D5CDD505-2E9C-101B-9397-08002B2CF9AE}" pid="40" name="NOSE19">
    <vt:lpwstr/>
  </property>
  <property fmtid="{D5CDD505-2E9C-101B-9397-08002B2CF9AE}" pid="41" name="NOSE1ID">
    <vt:lpwstr>18;84;84;77;77;77</vt:lpwstr>
  </property>
  <property fmtid="{D5CDD505-2E9C-101B-9397-08002B2CF9AE}" pid="42" name="NOSE21">
    <vt:lpwstr>חולי נפש</vt:lpwstr>
  </property>
  <property fmtid="{D5CDD505-2E9C-101B-9397-08002B2CF9AE}" pid="43" name="NOSE210">
    <vt:lpwstr/>
  </property>
  <property fmtid="{D5CDD505-2E9C-101B-9397-08002B2CF9AE}" pid="44" name="NOSE22">
    <vt:lpwstr>דין</vt:lpwstr>
  </property>
  <property fmtid="{D5CDD505-2E9C-101B-9397-08002B2CF9AE}" pid="45" name="NOSE23">
    <vt:lpwstr>דין</vt:lpwstr>
  </property>
  <property fmtid="{D5CDD505-2E9C-101B-9397-08002B2CF9AE}" pid="46" name="NOSE24">
    <vt:lpwstr>עבירת הרצח</vt:lpwstr>
  </property>
  <property fmtid="{D5CDD505-2E9C-101B-9397-08002B2CF9AE}" pid="47" name="NOSE25">
    <vt:lpwstr>עבירת הרצח</vt:lpwstr>
  </property>
  <property fmtid="{D5CDD505-2E9C-101B-9397-08002B2CF9AE}" pid="48" name="NOSE26">
    <vt:lpwstr>ענישה</vt:lpwstr>
  </property>
  <property fmtid="{D5CDD505-2E9C-101B-9397-08002B2CF9AE}" pid="49" name="NOSE27">
    <vt:lpwstr/>
  </property>
  <property fmtid="{D5CDD505-2E9C-101B-9397-08002B2CF9AE}" pid="50" name="NOSE28">
    <vt:lpwstr/>
  </property>
  <property fmtid="{D5CDD505-2E9C-101B-9397-08002B2CF9AE}" pid="51" name="NOSE29">
    <vt:lpwstr/>
  </property>
  <property fmtid="{D5CDD505-2E9C-101B-9397-08002B2CF9AE}" pid="52" name="NOSE2ID">
    <vt:lpwstr>470;1517;1517;12455;12455;1446</vt:lpwstr>
  </property>
  <property fmtid="{D5CDD505-2E9C-101B-9397-08002B2CF9AE}" pid="53" name="NOSE31">
    <vt:lpwstr>אשפוז כפוי</vt:lpwstr>
  </property>
  <property fmtid="{D5CDD505-2E9C-101B-9397-08002B2CF9AE}" pid="54" name="NOSE310">
    <vt:lpwstr/>
  </property>
  <property fmtid="{D5CDD505-2E9C-101B-9397-08002B2CF9AE}" pid="55" name="NOSE32">
    <vt:lpwstr>חוק טיפול בחולי נפש, התשנ`א-1991‏</vt:lpwstr>
  </property>
  <property fmtid="{D5CDD505-2E9C-101B-9397-08002B2CF9AE}" pid="56" name="NOSE33">
    <vt:lpwstr>חוק העונשין</vt:lpwstr>
  </property>
  <property fmtid="{D5CDD505-2E9C-101B-9397-08002B2CF9AE}" pid="57" name="NOSE34">
    <vt:lpwstr>תיקון 137</vt:lpwstr>
  </property>
  <property fmtid="{D5CDD505-2E9C-101B-9397-08002B2CF9AE}" pid="58" name="NOSE35">
    <vt:lpwstr>עבירת הרצח הבסיסית</vt:lpwstr>
  </property>
  <property fmtid="{D5CDD505-2E9C-101B-9397-08002B2CF9AE}" pid="59" name="NOSE36">
    <vt:lpwstr>תיקון 137</vt:lpwstr>
  </property>
  <property fmtid="{D5CDD505-2E9C-101B-9397-08002B2CF9AE}" pid="60" name="NOSE37">
    <vt:lpwstr/>
  </property>
  <property fmtid="{D5CDD505-2E9C-101B-9397-08002B2CF9AE}" pid="61" name="NOSE38">
    <vt:lpwstr/>
  </property>
  <property fmtid="{D5CDD505-2E9C-101B-9397-08002B2CF9AE}" pid="62" name="NOSE39">
    <vt:lpwstr/>
  </property>
  <property fmtid="{D5CDD505-2E9C-101B-9397-08002B2CF9AE}" pid="63" name="NOSE3ID">
    <vt:lpwstr>3652;14112;9358;18905;;18866</vt:lpwstr>
  </property>
  <property fmtid="{D5CDD505-2E9C-101B-9397-08002B2CF9AE}" pid="64" name="PADIDATE">
    <vt:lpwstr>20230919</vt:lpwstr>
  </property>
  <property fmtid="{D5CDD505-2E9C-101B-9397-08002B2CF9AE}" pid="65" name="PADIMAIL">
    <vt:lpwstr>YES</vt:lpwstr>
  </property>
  <property fmtid="{D5CDD505-2E9C-101B-9397-08002B2CF9AE}" pid="66" name="PAGE">
    <vt:lpwstr/>
  </property>
  <property fmtid="{D5CDD505-2E9C-101B-9397-08002B2CF9AE}" pid="67" name="PART">
    <vt:lpwstr/>
  </property>
  <property fmtid="{D5CDD505-2E9C-101B-9397-08002B2CF9AE}" pid="68" name="PROCESS">
    <vt:lpwstr>עפ</vt:lpwstr>
  </property>
  <property fmtid="{D5CDD505-2E9C-101B-9397-08002B2CF9AE}" pid="69" name="PROCNUM">
    <vt:lpwstr>6538</vt:lpwstr>
  </property>
  <property fmtid="{D5CDD505-2E9C-101B-9397-08002B2CF9AE}" pid="70" name="PROCYEAR">
    <vt:lpwstr>22</vt:lpwstr>
  </property>
  <property fmtid="{D5CDD505-2E9C-101B-9397-08002B2CF9AE}" pid="71" name="PSAKDIN">
    <vt:lpwstr>פסק-דין</vt:lpwstr>
  </property>
  <property fmtid="{D5CDD505-2E9C-101B-9397-08002B2CF9AE}" pid="72" name="TYPE">
    <vt:lpwstr>1</vt:lpwstr>
  </property>
  <property fmtid="{D5CDD505-2E9C-101B-9397-08002B2CF9AE}" pid="73" name="TYPE_ABS_DATE">
    <vt:lpwstr>410120230918</vt:lpwstr>
  </property>
  <property fmtid="{D5CDD505-2E9C-101B-9397-08002B2CF9AE}" pid="74" name="TYPE_N_DATE">
    <vt:lpwstr>41020230918</vt:lpwstr>
  </property>
  <property fmtid="{D5CDD505-2E9C-101B-9397-08002B2CF9AE}" pid="75" name="VOLUME">
    <vt:lpwstr/>
  </property>
  <property fmtid="{D5CDD505-2E9C-101B-9397-08002B2CF9AE}" pid="76" name="WORDNUMPAGES">
    <vt:lpwstr>27</vt:lpwstr>
  </property>
</Properties>
</file>