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6539/17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נסראת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תנהא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19495-12-16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סבאג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12.2.2018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רכאב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החזק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והתלויים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מתרחשות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שומע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סוטים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מהמקובל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הבטחה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יושג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סוטים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מכוערים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ומעוררי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החזק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והתלויים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מתרחשות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שומע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ומוסתרות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מהסביבה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בקונספציה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כרצונו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מסכים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מסכימה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אכזריות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חירותה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בבחירותיה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והתנהגותה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ערעור על גזר הדין של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סבאג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19495-12-16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6.7.2016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שהשית על המערער 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כספי למתלוננת ולאחת מעדות התביעה</w:t>
      </w:r>
      <w:r>
        <w:rPr>
          <w:rtl w:val="true"/>
        </w:rPr>
        <w:t xml:space="preserve">, </w:t>
      </w:r>
      <w:r>
        <w:rPr>
          <w:rtl w:val="true"/>
        </w:rPr>
        <w:t>כמפורט בגזר 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נגד המערער הוגש כתב אישום מתוקן שייחס לו עבירות של חבלה חמורה בנסיבות מחמירות 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עבירה של תקיפת קטין לפי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368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 לחוק</w:t>
      </w:r>
      <w:r>
        <w:rPr>
          <w:rtl w:val="true"/>
        </w:rPr>
        <w:t xml:space="preserve">, </w:t>
      </w:r>
      <w:r>
        <w:rPr>
          <w:rtl w:val="true"/>
        </w:rPr>
        <w:t xml:space="preserve">עבירת תקיפה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ועבירת איומים 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כעולה מכתב האישום המתוקן בין השנים </w:t>
      </w:r>
      <w:r>
        <w:rPr/>
        <w:t>2016-2007</w:t>
      </w:r>
      <w:r>
        <w:rPr>
          <w:rtl w:val="true"/>
        </w:rPr>
        <w:t xml:space="preserve"> </w:t>
      </w:r>
      <w:r>
        <w:rPr>
          <w:rtl w:val="true"/>
        </w:rPr>
        <w:t>במועדים שאינם ידועים במדויק תקף המערער את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בתו ילידת </w:t>
      </w:r>
      <w:r>
        <w:rPr/>
        <w:t>1990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במספר רב של הזדמנויות </w:t>
      </w:r>
      <w:r>
        <w:rPr>
          <w:rtl w:val="true"/>
        </w:rPr>
        <w:t>–</w:t>
      </w:r>
      <w:r>
        <w:rPr>
          <w:rtl w:val="true"/>
        </w:rPr>
        <w:t xml:space="preserve"> בין היתר </w:t>
      </w:r>
      <w:r>
        <w:rPr>
          <w:rtl w:val="true"/>
        </w:rPr>
        <w:t>–</w:t>
      </w:r>
      <w:r>
        <w:rPr>
          <w:rtl w:val="true"/>
        </w:rPr>
        <w:t xml:space="preserve"> באמצעות חגורת עור וצינור מפלסטיק באופן שהותיר חבלות על גופה</w:t>
      </w:r>
      <w:r>
        <w:rPr>
          <w:rtl w:val="true"/>
        </w:rPr>
        <w:t xml:space="preserve">. </w:t>
      </w:r>
      <w:r>
        <w:rPr>
          <w:rtl w:val="true"/>
        </w:rPr>
        <w:t>עוד נטען כי המערער סטר למתלוננת ואסר עליה ללכת לבית הספר לאחר שהורידה את כיסוי ראשה</w:t>
      </w:r>
      <w:r>
        <w:rPr>
          <w:rtl w:val="true"/>
        </w:rPr>
        <w:t xml:space="preserve">. </w:t>
      </w:r>
      <w:r>
        <w:rPr>
          <w:rtl w:val="true"/>
        </w:rPr>
        <w:t>במקרה אחר המתואר בכתב האישום הכה המערער את המתלוננת באמצעות אגרוף בפניה תוך שהוא מחרף ומגדף אותה</w:t>
      </w:r>
      <w:r>
        <w:rPr>
          <w:rtl w:val="true"/>
        </w:rPr>
        <w:t xml:space="preserve">. </w:t>
      </w:r>
      <w:r>
        <w:rPr>
          <w:rtl w:val="true"/>
        </w:rPr>
        <w:t xml:space="preserve">כמו כן נטען כי בשנת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 xml:space="preserve">במהלך ויכוח בינו ובין המתלוננת דחף המערער את ראשה לתוך דלי עם מים רותחים וגרם לה לכוויות ולהתקלפות של העור ומאז שנת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 xml:space="preserve">החל המערער לאיים על המתלוננת באמצעות משלוח הודעות </w:t>
      </w:r>
      <w:r>
        <w:rPr>
          <w:rtl w:val="true"/>
        </w:rPr>
        <w:t>"</w:t>
      </w:r>
      <w:r>
        <w:rPr>
          <w:rtl w:val="true"/>
        </w:rPr>
        <w:t>ווטסאפ</w:t>
      </w:r>
      <w:r>
        <w:rPr>
          <w:rtl w:val="true"/>
        </w:rPr>
        <w:t xml:space="preserve">" </w:t>
      </w:r>
      <w:r>
        <w:rPr>
          <w:rtl w:val="true"/>
        </w:rPr>
        <w:t>על רקע לבושה</w:t>
      </w:r>
      <w:r>
        <w:rPr>
          <w:rtl w:val="true"/>
        </w:rPr>
        <w:t xml:space="preserve">, </w:t>
      </w:r>
      <w:r>
        <w:rPr>
          <w:rtl w:val="true"/>
        </w:rPr>
        <w:t>שנתפס בעיניו כבלתי צנוע דיו</w:t>
      </w:r>
      <w:r>
        <w:rPr>
          <w:rtl w:val="true"/>
        </w:rPr>
        <w:t xml:space="preserve">. </w:t>
      </w:r>
      <w:r>
        <w:rPr>
          <w:rtl w:val="true"/>
        </w:rPr>
        <w:t xml:space="preserve">עוד מתואר כי בין השנים </w:t>
      </w:r>
      <w:r>
        <w:rPr/>
        <w:t>2011-2007</w:t>
      </w:r>
      <w:r>
        <w:rPr>
          <w:rtl w:val="true"/>
        </w:rPr>
        <w:t xml:space="preserve"> </w:t>
      </w:r>
      <w:r>
        <w:rPr>
          <w:rtl w:val="true"/>
        </w:rPr>
        <w:t>נהג המערער לסטור לביתו השנייה ולזרוק עליה חפצים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30.4.2017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סבאג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את המערער במיוחס לו על סמך הודאתו בפרטי 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וביום </w:t>
      </w:r>
      <w:r>
        <w:rPr>
          <w:rFonts w:cs="Century" w:ascii="Century" w:hAnsi="Century"/>
          <w:sz w:val="22"/>
        </w:rPr>
        <w:t>6.7.2017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נגזר דינו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בגזר הדין עמד בית המשפט על הערך החברתי שנפגע כתוצאה מהעבירות שבהן הורשע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נקבע כי חומרת מעשיו של המערער מדברת בעד עצמה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הוטעם כי הגנה על התא המשפחתי ובפרט על קטינים מפני אלימות פיזית היא ערך חברתי שיש להגן עליו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במעשיו פגע המערער בכבודן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בביטחונן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בשלמות גופן ובנפשן של המתלוננת ושל בתו הנוספת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הפגיעה במתלוננת כתוצאה ממעשי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כך נקבע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היא הרבה מעבר לפגיעה הפיזית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זוהי פגיעה נפשית של ממש והיא עלולה להותיר במתלוננת צלקת נפשית לשנים אורכות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tl w:val="true"/>
        </w:rPr>
        <w:t>מכאן נפנה בית המשפט לבחון את מדיניות הענישה הנוהגת בעבירות אלימות ואיומים כלפי קטינים בתוך התא המשפחתי</w:t>
      </w:r>
      <w:r>
        <w:rPr>
          <w:rtl w:val="true"/>
        </w:rPr>
        <w:t xml:space="preserve">, </w:t>
      </w:r>
      <w:r>
        <w:rPr>
          <w:rtl w:val="true"/>
        </w:rPr>
        <w:t>וציין כי מגמת פסיקתו של בית משפט זה בעבירות כגון דא היא מחמירה</w:t>
      </w:r>
      <w:r>
        <w:rPr>
          <w:rtl w:val="true"/>
        </w:rPr>
        <w:t xml:space="preserve">. </w:t>
      </w:r>
      <w:r>
        <w:rPr>
          <w:rtl w:val="true"/>
        </w:rPr>
        <w:t xml:space="preserve">באשר לנסיבות הקשורות בביצוע העבירה נפסק כי אין מדובר במעידה חד פעמית וכי מהעובדות שעל בסיסן הורשע המערער בעבירות המיוחסות לו עולה כי </w:t>
      </w:r>
      <w:r>
        <w:rPr>
          <w:rtl w:val="true"/>
        </w:rPr>
        <w:t>"</w:t>
      </w:r>
      <w:r>
        <w:rPr>
          <w:rtl w:val="true"/>
        </w:rPr>
        <w:t>נהג באלימות קשה ואכזרית כלפי גופה ושלוות נפשה של המתלוננת בתו במשך שנים רבות תוך שהוא גורם לה למכאובים וחבלה חמורה וכן איים עליה</w:t>
      </w:r>
      <w:r>
        <w:rPr>
          <w:rtl w:val="true"/>
        </w:rPr>
        <w:t xml:space="preserve">". </w:t>
      </w:r>
      <w:r>
        <w:rPr>
          <w:rtl w:val="true"/>
        </w:rPr>
        <w:t>צוין כי מעשים אלה עולים כדי התנהגות אלימה</w:t>
      </w:r>
      <w:r>
        <w:rPr>
          <w:rtl w:val="true"/>
        </w:rPr>
        <w:t xml:space="preserve">, </w:t>
      </w:r>
      <w:r>
        <w:rPr>
          <w:rtl w:val="true"/>
        </w:rPr>
        <w:t>משפילה וחסרת רסן</w:t>
      </w:r>
      <w:r>
        <w:rPr>
          <w:rtl w:val="true"/>
        </w:rPr>
        <w:t xml:space="preserve">. </w:t>
      </w:r>
      <w:r>
        <w:rPr>
          <w:rtl w:val="true"/>
        </w:rPr>
        <w:t>על יסוד אלה העמיד בית המשפט את מתחם העונש ההולם בגין העבירות שבהן הורשע המערער על טווח שבין שנתיים לחמש שנות מאסר בפועל</w:t>
      </w:r>
      <w:r>
        <w:rPr>
          <w:rtl w:val="true"/>
        </w:rPr>
        <w:t xml:space="preserve">. </w:t>
      </w:r>
      <w:r>
        <w:rPr>
          <w:rtl w:val="true"/>
        </w:rPr>
        <w:t>בבואו לגזור את דינו של המערער בגדרי המתחם עמד בית המשפט על הנסיבות שאינן קשורות בביצוע העבירות</w:t>
      </w:r>
      <w:r>
        <w:rPr>
          <w:rtl w:val="true"/>
        </w:rPr>
        <w:t xml:space="preserve">. </w:t>
      </w:r>
      <w:r>
        <w:rPr>
          <w:rtl w:val="true"/>
        </w:rPr>
        <w:t>צוין כי המערער נטל אחריות מלאה על מעשיו</w:t>
      </w:r>
      <w:r>
        <w:rPr>
          <w:rtl w:val="true"/>
        </w:rPr>
        <w:t xml:space="preserve">, </w:t>
      </w:r>
      <w:r>
        <w:rPr>
          <w:rtl w:val="true"/>
        </w:rPr>
        <w:t>הודה וחסך שמיעת עדים רבים ובפרט את עדותה של המתלוננת</w:t>
      </w:r>
      <w:r>
        <w:rPr>
          <w:rtl w:val="true"/>
        </w:rPr>
        <w:t xml:space="preserve">; </w:t>
      </w:r>
      <w:r>
        <w:rPr>
          <w:rtl w:val="true"/>
        </w:rPr>
        <w:t>כי אין לחובתו של המערער עבר פלילי</w:t>
      </w:r>
      <w:r>
        <w:rPr>
          <w:rtl w:val="true"/>
        </w:rPr>
        <w:t xml:space="preserve">; </w:t>
      </w:r>
      <w:r>
        <w:rPr>
          <w:rtl w:val="true"/>
        </w:rPr>
        <w:t>וכי מעצרו הסב לו פגיעה קשה וכן פגיעה בעסקיו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עמד בית המשפט על כך שהעונש שייגזר על המערער חייב לשקף את חומרת המעשים שבהם הורשע ואת הסלידה מהם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23.8.2017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את בקשת המערער לעיכוב ביצוע עונש המאסר עד להכרעה בערעור שהגיש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לוז טענותיו של המערער הוא כי בפתח דיון ההוכחות שנקבע בהליך ליום </w:t>
      </w:r>
      <w:r>
        <w:rPr/>
        <w:t>30.4.2017</w:t>
      </w:r>
      <w:r>
        <w:rPr>
          <w:rtl w:val="true"/>
        </w:rPr>
        <w:t xml:space="preserve">, </w:t>
      </w:r>
      <w:r>
        <w:rPr>
          <w:rtl w:val="true"/>
        </w:rPr>
        <w:t>במהלכו צפויה הייתה להישמע עדות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פנה אליו בית המשפט בשפה הערבית וציין כי לדעתו יש להימנע </w:t>
      </w:r>
      <w:r>
        <w:rPr>
          <w:rtl w:val="true"/>
        </w:rPr>
        <w:t>"</w:t>
      </w:r>
      <w:r>
        <w:rPr>
          <w:rtl w:val="true"/>
        </w:rPr>
        <w:t>מכל דבר שעלול לגרום נזק בלתי הפיך ביחסים שבין המערער כאבא לבתו המתלוננת</w:t>
      </w:r>
      <w:r>
        <w:rPr>
          <w:rtl w:val="true"/>
        </w:rPr>
        <w:t xml:space="preserve">", </w:t>
      </w:r>
      <w:r>
        <w:rPr>
          <w:rtl w:val="true"/>
        </w:rPr>
        <w:t xml:space="preserve">ולכן הציע בית המשפט לצדדים </w:t>
      </w:r>
      <w:r>
        <w:rPr>
          <w:rtl w:val="true"/>
        </w:rPr>
        <w:t>–</w:t>
      </w:r>
      <w:r>
        <w:rPr>
          <w:rtl w:val="true"/>
        </w:rPr>
        <w:t xml:space="preserve"> לטענת המערער </w:t>
      </w:r>
      <w:r>
        <w:rPr>
          <w:rtl w:val="true"/>
        </w:rPr>
        <w:t>–</w:t>
      </w:r>
      <w:r>
        <w:rPr>
          <w:rtl w:val="true"/>
        </w:rPr>
        <w:t xml:space="preserve"> לצאת להתייעצות במטרה לגבש הסכמה לסיום ההליך</w:t>
      </w:r>
      <w:r>
        <w:rPr>
          <w:rtl w:val="true"/>
        </w:rPr>
        <w:t xml:space="preserve">.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דברי המותב נשמעו כ</w:t>
      </w:r>
      <w:r>
        <w:rPr>
          <w:rtl w:val="true"/>
        </w:rPr>
        <w:t>"</w:t>
      </w:r>
      <w:r>
        <w:rPr>
          <w:rtl w:val="true"/>
        </w:rPr>
        <w:t>הבטחה שיפוטית</w:t>
      </w:r>
      <w:r>
        <w:rPr>
          <w:rtl w:val="true"/>
        </w:rPr>
        <w:t xml:space="preserve">" </w:t>
      </w:r>
      <w:r>
        <w:rPr>
          <w:rtl w:val="true"/>
        </w:rPr>
        <w:t>שלא יוטל עליו מאסר בפועל</w:t>
      </w:r>
      <w:r>
        <w:rPr>
          <w:rtl w:val="true"/>
        </w:rPr>
        <w:t xml:space="preserve">, </w:t>
      </w:r>
      <w:r>
        <w:rPr>
          <w:rtl w:val="true"/>
        </w:rPr>
        <w:t>שכן כניסתו לכלא עלולה לגרום נזק בלתי הפיך ליחסים שבינו ובין המתלוננת</w:t>
      </w:r>
      <w:r>
        <w:rPr>
          <w:rtl w:val="true"/>
        </w:rPr>
        <w:t xml:space="preserve">. </w:t>
      </w:r>
      <w:r>
        <w:rPr>
          <w:rtl w:val="true"/>
        </w:rPr>
        <w:t>המערער מציין כי על רקע הבטחה שיפוטית זו הסכימה המשיבה לשחרורו ממעצר והעברתו למעצר בפיקוח אלקטרוני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>–</w:t>
      </w:r>
      <w:r>
        <w:rPr>
          <w:rtl w:val="true"/>
        </w:rPr>
        <w:t xml:space="preserve"> כך הטענה </w:t>
      </w:r>
      <w:r>
        <w:rPr>
          <w:rtl w:val="true"/>
        </w:rPr>
        <w:t>–</w:t>
      </w:r>
      <w:r>
        <w:rPr>
          <w:rtl w:val="true"/>
        </w:rPr>
        <w:t xml:space="preserve"> לא הייתה עוד תכלית להורות על המשך מעצרו אם ממילא לא יוטל עליו מאסר בפועל</w:t>
      </w:r>
      <w:r>
        <w:rPr>
          <w:rtl w:val="true"/>
        </w:rPr>
        <w:t xml:space="preserve">. </w:t>
      </w:r>
      <w:r>
        <w:rPr>
          <w:rtl w:val="true"/>
        </w:rPr>
        <w:t>המערער מוסיף כי הוא הסכים להודות בעובדות כתב האישום המתוקן על יסוד הבטחה שיפוטית זו</w:t>
      </w:r>
      <w:r>
        <w:rPr>
          <w:rtl w:val="true"/>
        </w:rPr>
        <w:t xml:space="preserve">, </w:t>
      </w:r>
      <w:r>
        <w:rPr>
          <w:rtl w:val="true"/>
        </w:rPr>
        <w:t>והסכמת המשיבה לדברים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גורס המערער כי העונש שהוטל עליו</w:t>
      </w:r>
      <w:r>
        <w:rPr>
          <w:rtl w:val="true"/>
        </w:rPr>
        <w:t xml:space="preserve">, </w:t>
      </w:r>
      <w:r>
        <w:rPr>
          <w:rtl w:val="true"/>
        </w:rPr>
        <w:t>ובכלל זה מתחם הענישה שנקבע</w:t>
      </w:r>
      <w:r>
        <w:rPr>
          <w:rtl w:val="true"/>
        </w:rPr>
        <w:t xml:space="preserve">, </w:t>
      </w:r>
      <w:r>
        <w:rPr>
          <w:rtl w:val="true"/>
        </w:rPr>
        <w:t>סוטים באופן קיצוני מהמקובל בנסיבות העניין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בדיון שהתקיים בפנינו ביום </w:t>
      </w:r>
      <w:r>
        <w:rPr/>
        <w:t>12.2.2018</w:t>
      </w:r>
      <w:r>
        <w:rPr>
          <w:rtl w:val="true"/>
        </w:rPr>
        <w:t xml:space="preserve">, </w:t>
      </w:r>
      <w:r>
        <w:rPr>
          <w:rtl w:val="true"/>
        </w:rPr>
        <w:t>שב המערער על טענותיו בערעור הכתוב</w:t>
      </w:r>
      <w:r>
        <w:rPr>
          <w:rtl w:val="true"/>
        </w:rPr>
        <w:t xml:space="preserve">. </w:t>
      </w:r>
      <w:r>
        <w:rPr>
          <w:rtl w:val="true"/>
        </w:rPr>
        <w:t>המשיבה מצידה סומכת ידיה על גזר הדין של בית המשפט המחוזי ועותרת לדחיית הערעור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 xml:space="preserve">לא ניתנה למערער כל </w:t>
      </w:r>
      <w:r>
        <w:rPr>
          <w:rtl w:val="true"/>
        </w:rPr>
        <w:t>"</w:t>
      </w:r>
      <w:r>
        <w:rPr>
          <w:rtl w:val="true"/>
        </w:rPr>
        <w:t>הבטחה שיפוטית</w:t>
      </w:r>
      <w:r>
        <w:rPr>
          <w:rtl w:val="true"/>
        </w:rPr>
        <w:t xml:space="preserve">" </w:t>
      </w:r>
      <w:r>
        <w:rPr>
          <w:rtl w:val="true"/>
        </w:rPr>
        <w:t>בעניין העונש שיוטל עליו והיא מדגישה כי עיון בפרוטוקול הדיון הרלוונטי מעלה כי אין לדברים כל עיגון בו</w:t>
      </w:r>
      <w:r>
        <w:rPr>
          <w:rtl w:val="true"/>
        </w:rPr>
        <w:t xml:space="preserve">. </w:t>
      </w:r>
      <w:r>
        <w:rPr>
          <w:rtl w:val="true"/>
        </w:rPr>
        <w:t>לדברי המשיבה</w:t>
      </w:r>
      <w:r>
        <w:rPr>
          <w:rtl w:val="true"/>
        </w:rPr>
        <w:t xml:space="preserve">, </w:t>
      </w:r>
      <w:r>
        <w:rPr>
          <w:rtl w:val="true"/>
        </w:rPr>
        <w:t>בית המשפט הציע כי הצדדים ינסו להגיע להסכמות ביניהם על מנת למנוע את עדות המתלוננת ואת הקושי הנפשי הכרוך בכך מבחינתה</w:t>
      </w:r>
      <w:r>
        <w:rPr>
          <w:rtl w:val="true"/>
        </w:rPr>
        <w:t xml:space="preserve">. </w:t>
      </w:r>
      <w:r>
        <w:rPr>
          <w:rtl w:val="true"/>
        </w:rPr>
        <w:t>המשיבה הוסיפה כי גם אם נוצרה אצל המערער ציפייה כלשהי שלפיה לא ייגזר עליו עונש של מאסר בפועל</w:t>
      </w:r>
      <w:r>
        <w:rPr>
          <w:rtl w:val="true"/>
        </w:rPr>
        <w:t xml:space="preserve">, </w:t>
      </w:r>
      <w:r>
        <w:rPr>
          <w:rtl w:val="true"/>
        </w:rPr>
        <w:t>מדובר בציפייה שאינה סבירה בהינתן העבירות שבהן הורשע</w:t>
      </w:r>
      <w:r>
        <w:rPr>
          <w:rtl w:val="true"/>
        </w:rPr>
        <w:t xml:space="preserve">. </w:t>
      </w:r>
      <w:r>
        <w:rPr>
          <w:rtl w:val="true"/>
        </w:rPr>
        <w:t>עוד נטען כי המערער היה מיוצג על ידי אותו בא כוח הן בהליכים בפני בית משפט קמא</w:t>
      </w:r>
      <w:r>
        <w:rPr>
          <w:rtl w:val="true"/>
        </w:rPr>
        <w:t xml:space="preserve">, </w:t>
      </w:r>
      <w:r>
        <w:rPr>
          <w:rtl w:val="true"/>
        </w:rPr>
        <w:t>הן בהליך דנן</w:t>
      </w:r>
      <w:r>
        <w:rPr>
          <w:rtl w:val="true"/>
        </w:rPr>
        <w:t xml:space="preserve">, </w:t>
      </w:r>
      <w:r>
        <w:rPr>
          <w:rtl w:val="true"/>
        </w:rPr>
        <w:t xml:space="preserve">וכי בשום שלב </w:t>
      </w:r>
      <w:r>
        <w:rPr>
          <w:rtl w:val="true"/>
        </w:rPr>
        <w:t>–</w:t>
      </w:r>
      <w:r>
        <w:rPr>
          <w:rtl w:val="true"/>
        </w:rPr>
        <w:t xml:space="preserve"> גם במסגרת הטיעונים לעונש </w:t>
      </w:r>
      <w:r>
        <w:rPr>
          <w:rtl w:val="true"/>
        </w:rPr>
        <w:t>–</w:t>
      </w:r>
      <w:r>
        <w:rPr>
          <w:rtl w:val="true"/>
        </w:rPr>
        <w:t xml:space="preserve"> לא העלה בא כוחו של המערער את הטענה לקיומה של הבטחה כאמור</w:t>
      </w:r>
      <w:r>
        <w:rPr>
          <w:rtl w:val="true"/>
        </w:rPr>
        <w:t xml:space="preserve">. </w:t>
      </w:r>
      <w:r>
        <w:rPr>
          <w:rtl w:val="true"/>
        </w:rPr>
        <w:t>לעניין טענתו החלופית של המערער ציינה המשיבה כי מדובר באירועים חמורים</w:t>
      </w:r>
      <w:r>
        <w:rPr>
          <w:rtl w:val="true"/>
        </w:rPr>
        <w:t xml:space="preserve">, </w:t>
      </w:r>
      <w:r>
        <w:rPr>
          <w:rtl w:val="true"/>
        </w:rPr>
        <w:t>וכי בית משפט קמא שקל את כל הנסיבות המקלות שעומדות לזכותו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שעיינתי בערעור על נספחיו</w:t>
      </w:r>
      <w:r>
        <w:rPr>
          <w:rtl w:val="true"/>
        </w:rPr>
        <w:t xml:space="preserve">, </w:t>
      </w:r>
      <w:r>
        <w:rPr>
          <w:rtl w:val="true"/>
        </w:rPr>
        <w:t>ובשים לב לטענות הצדדים בדיון</w:t>
      </w:r>
      <w:r>
        <w:rPr>
          <w:rtl w:val="true"/>
        </w:rPr>
        <w:t xml:space="preserve">, </w:t>
      </w:r>
      <w:r>
        <w:rPr>
          <w:rtl w:val="true"/>
        </w:rPr>
        <w:t>באתי לידי מסקנה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 xml:space="preserve">עיון בפרוטוקול הדיון מיום </w:t>
      </w:r>
      <w:r>
        <w:rPr/>
        <w:t>30.4.2017</w:t>
      </w:r>
      <w:r>
        <w:rPr>
          <w:rtl w:val="true"/>
        </w:rPr>
        <w:t xml:space="preserve"> </w:t>
      </w:r>
      <w:r>
        <w:rPr>
          <w:rtl w:val="true"/>
        </w:rPr>
        <w:t>מעלה כי אין בו זכר ל</w:t>
      </w:r>
      <w:r>
        <w:rPr>
          <w:rtl w:val="true"/>
        </w:rPr>
        <w:t>"</w:t>
      </w:r>
      <w:r>
        <w:rPr>
          <w:rtl w:val="true"/>
        </w:rPr>
        <w:t>הבטחה השיפוטית</w:t>
      </w:r>
      <w:r>
        <w:rPr>
          <w:rtl w:val="true"/>
        </w:rPr>
        <w:t xml:space="preserve">" </w:t>
      </w:r>
      <w:r>
        <w:rPr>
          <w:rtl w:val="true"/>
        </w:rPr>
        <w:t>שניתנה למערער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ולפיה אם יושג הסדר טיעון לא יוטל עליו עונש של מאסר בפועל</w:t>
      </w:r>
      <w:r>
        <w:rPr>
          <w:rtl w:val="true"/>
        </w:rPr>
        <w:t xml:space="preserve">. </w:t>
      </w:r>
      <w:r>
        <w:rPr>
          <w:rtl w:val="true"/>
        </w:rPr>
        <w:t>בקשה לתיקון פרוטוקול הדיון האמור</w:t>
      </w:r>
      <w:r>
        <w:rPr>
          <w:rtl w:val="true"/>
        </w:rPr>
        <w:t xml:space="preserve">, </w:t>
      </w:r>
      <w:r>
        <w:rPr>
          <w:rtl w:val="true"/>
        </w:rPr>
        <w:t>לא הוגשה ובניגוד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איני סבורה כי העובדה שהמשיבה הסכימה לשחרורו למעצר בפיקוח אלקטרוני יש בה כדי ללמד על כך שהצדדים הבינו שכך הובטח</w:t>
      </w:r>
      <w:r>
        <w:rPr>
          <w:rtl w:val="true"/>
        </w:rPr>
        <w:t xml:space="preserve">. </w:t>
      </w:r>
      <w:r>
        <w:rPr>
          <w:rtl w:val="true"/>
        </w:rPr>
        <w:t>מקובלת עלי בהקשר זה טענת המשיבה כי ההסכמה לשחרור למעצר בפיקוח אלקטרוני ניתנה לאחר שהמערער הודה והורשע בעובדות כתב האישום המתוקן</w:t>
      </w:r>
      <w:r>
        <w:rPr>
          <w:rtl w:val="true"/>
        </w:rPr>
        <w:t xml:space="preserve">. </w:t>
      </w:r>
      <w:r>
        <w:rPr>
          <w:rtl w:val="true"/>
        </w:rPr>
        <w:t>זאת ותו לא</w:t>
      </w:r>
      <w:r>
        <w:rPr>
          <w:rtl w:val="true"/>
        </w:rPr>
        <w:t xml:space="preserve">.  </w:t>
      </w:r>
      <w:r>
        <w:rPr>
          <w:rtl w:val="true"/>
        </w:rPr>
        <w:t>לכך יש להוסיף את העובדה שהטענה בדבר ההבטחה השיפוטית הנטענת לא עלתה בפני בית משפט קמא בשלב הטיעונים לעונש והיא הועלתה לראשונה רק במסגרת הערעור דנן</w:t>
      </w:r>
      <w:r>
        <w:rPr>
          <w:rtl w:val="true"/>
        </w:rPr>
        <w:t xml:space="preserve">. </w:t>
      </w:r>
      <w:r>
        <w:rPr>
          <w:rtl w:val="true"/>
        </w:rPr>
        <w:t xml:space="preserve">כך עיון בפרוטוקול ישיבת הטיעונים לעונש מיום </w:t>
      </w:r>
      <w:r>
        <w:rPr/>
        <w:t>15.6.2017</w:t>
      </w:r>
      <w:r>
        <w:rPr>
          <w:rtl w:val="true"/>
        </w:rPr>
        <w:t xml:space="preserve"> </w:t>
      </w:r>
      <w:r>
        <w:rPr>
          <w:rtl w:val="true"/>
        </w:rPr>
        <w:t>מעלה כי כל שטען בא כוחו של המערער בהקשר זה הוא שהסכמת המשיבה לשחררו למעצר בפיקוח אלקטרוני</w:t>
      </w:r>
      <w:r>
        <w:rPr>
          <w:rtl w:val="true"/>
        </w:rPr>
        <w:t xml:space="preserve">, </w:t>
      </w:r>
      <w:r>
        <w:rPr>
          <w:rtl w:val="true"/>
        </w:rPr>
        <w:t xml:space="preserve">יצרה אצלו </w:t>
      </w:r>
      <w:r>
        <w:rPr>
          <w:rtl w:val="true"/>
        </w:rPr>
        <w:t>"</w:t>
      </w:r>
      <w:r>
        <w:rPr>
          <w:rtl w:val="true"/>
        </w:rPr>
        <w:t>אינטרס הסתמכות ורשאי היה להניח שהתביעה לא תבקש מאסר בפועל</w:t>
      </w:r>
      <w:r>
        <w:rPr>
          <w:rtl w:val="true"/>
        </w:rPr>
        <w:t>" (</w:t>
      </w:r>
      <w:r>
        <w:rPr>
          <w:rtl w:val="true"/>
        </w:rPr>
        <w:t>פרוטוקול הדיון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ובהמשך אותו הדיון הוסיף</w:t>
      </w:r>
      <w:r>
        <w:rPr>
          <w:rtl w:val="true"/>
        </w:rPr>
        <w:t>: "</w:t>
      </w:r>
      <w:r>
        <w:rPr>
          <w:rtl w:val="true"/>
        </w:rPr>
        <w:t xml:space="preserve">גם בהנחה שיש מקום לבקש מאסר בפועל חובה על התביעה נוכח ההסכמה לשחרור של הנאשם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להימנע מלבקש מאסר בפועל העולה על תקופת המעצר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5-4</w:t>
      </w:r>
      <w:r>
        <w:rPr>
          <w:rtl w:val="true"/>
        </w:rPr>
        <w:t xml:space="preserve">). </w:t>
      </w:r>
      <w:r>
        <w:rPr>
          <w:rtl w:val="true"/>
        </w:rPr>
        <w:t>עינינו הרואות</w:t>
      </w:r>
      <w:r>
        <w:rPr>
          <w:rtl w:val="true"/>
        </w:rPr>
        <w:t xml:space="preserve">, </w:t>
      </w:r>
      <w:r>
        <w:rPr>
          <w:rtl w:val="true"/>
        </w:rPr>
        <w:t xml:space="preserve">בפני בית משפט קמא טען המערער כי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  <w:r>
        <w:rPr>
          <w:rtl w:val="true"/>
        </w:rPr>
        <w:t xml:space="preserve"> בהליך יצרה אצלו ציפייה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התביעה </w:t>
      </w:r>
      <w:r>
        <w:rPr>
          <w:rtl w:val="true"/>
        </w:rPr>
        <w:t>–</w:t>
      </w:r>
      <w:r>
        <w:rPr>
          <w:rtl w:val="true"/>
        </w:rPr>
        <w:t xml:space="preserve"> לא תבקש להטיל עליו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ואילו עתה טוען המערער בפנינו טענה שונה בתכלית </w:t>
      </w:r>
      <w:r>
        <w:rPr>
          <w:rtl w:val="true"/>
        </w:rPr>
        <w:t>–</w:t>
      </w:r>
      <w:r>
        <w:rPr>
          <w:rtl w:val="true"/>
        </w:rPr>
        <w:t xml:space="preserve"> ללא כל ביסוס ראייתי </w:t>
      </w:r>
      <w:r>
        <w:rPr>
          <w:rtl w:val="true"/>
        </w:rPr>
        <w:t>–</w:t>
      </w:r>
      <w:r>
        <w:rPr>
          <w:rtl w:val="true"/>
        </w:rPr>
        <w:t xml:space="preserve"> ולפיה בית משפט קמא הוא זה שהבטיח לו כביכול שלא יוטל עליו מאסר בפועל</w:t>
      </w:r>
      <w:r>
        <w:rPr>
          <w:rtl w:val="true"/>
        </w:rPr>
        <w:t xml:space="preserve">. </w:t>
      </w:r>
      <w:r>
        <w:rPr>
          <w:rtl w:val="true"/>
        </w:rPr>
        <w:t>ככל שסבר המערער כי ניתנה לו הבטחה שיפוטית בעניין העונש שיוטל עליו</w:t>
      </w:r>
      <w:r>
        <w:rPr>
          <w:rtl w:val="true"/>
        </w:rPr>
        <w:t xml:space="preserve">, </w:t>
      </w:r>
      <w:r>
        <w:rPr>
          <w:rtl w:val="true"/>
        </w:rPr>
        <w:t>ניתן היה לצפות כי יעלה זאת בפני בית משפט קמא</w:t>
      </w:r>
      <w:r>
        <w:rPr>
          <w:rtl w:val="true"/>
        </w:rPr>
        <w:t xml:space="preserve">, </w:t>
      </w:r>
      <w:r>
        <w:rPr>
          <w:rtl w:val="true"/>
        </w:rPr>
        <w:t>למצער בשלב הטיעונים לעונש והעובדה שנמנע מלעשות כן אומרת דרשני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שיפוטית</w:t>
      </w:r>
      <w:r>
        <w:rPr>
          <w:rtl w:val="true"/>
        </w:rPr>
        <w:t xml:space="preserve">"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הבטחות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שיפוטיות</w:t>
      </w:r>
      <w:r>
        <w:rPr>
          <w:rtl w:val="true"/>
        </w:rPr>
        <w:t xml:space="preserve">"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הטענה החלופית שהעלה המערער לעניין העונש שנגזר עליו אף היא דינה להידחות</w:t>
      </w:r>
      <w:r>
        <w:rPr>
          <w:rtl w:val="true"/>
        </w:rPr>
        <w:t xml:space="preserve">. </w:t>
      </w:r>
      <w:r>
        <w:rPr>
          <w:rtl w:val="true"/>
        </w:rPr>
        <w:t>כידוע אין זה מדרכה של ערכאת הערעור להתערב בעונש שנקבע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במצבים שבהם נפלה טעות מהותית בגזר הדין או מקום שבו העונש חורג באופן קיצוני ממדיניות הענישה הנוהגת </w:t>
      </w:r>
      <w:r>
        <w:rPr>
          <w:rFonts w:cs="Arial TUR;Arial" w:ascii="Arial TUR;Arial" w:hAnsi="Arial TUR;Arial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 בין רבים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4834/12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26.6.2013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6510/11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20.11.2012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לא שוכנעתי כי עניינו של המערער נמנה עם מקרים חריגים אלה</w:t>
      </w:r>
      <w:r>
        <w:rPr>
          <w:rtl w:val="true"/>
        </w:rPr>
        <w:t xml:space="preserve">. </w:t>
      </w:r>
      <w:r>
        <w:rPr>
          <w:rtl w:val="true"/>
        </w:rPr>
        <w:t>בבואו לקבוע את מתחם העונש ההולם את נסיבות העניין עמד בית המשפט המחוזי על שורה של מקרים דומים</w:t>
      </w:r>
      <w:r>
        <w:rPr>
          <w:rtl w:val="true"/>
        </w:rPr>
        <w:t xml:space="preserve">, </w:t>
      </w:r>
      <w:r>
        <w:rPr>
          <w:rtl w:val="true"/>
        </w:rPr>
        <w:t>ולא מצאתי כי המתחם כמו גם העונש שנקבע בגדרו</w:t>
      </w:r>
      <w:r>
        <w:rPr>
          <w:rtl w:val="true"/>
        </w:rPr>
        <w:t xml:space="preserve">, </w:t>
      </w:r>
      <w:r>
        <w:rPr>
          <w:rtl w:val="true"/>
        </w:rPr>
        <w:t xml:space="preserve">סוטים לחומרה מן הענישה המקובלת בנסיבות דומות עד כי יש להתערב בה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6238/13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והאסמכתאות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8.6.2014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המעשים שבהם הורשע המערער הם קשים</w:t>
      </w:r>
      <w:r>
        <w:rPr>
          <w:rtl w:val="true"/>
        </w:rPr>
        <w:t xml:space="preserve">, </w:t>
      </w:r>
      <w:r>
        <w:rPr>
          <w:rtl w:val="true"/>
        </w:rPr>
        <w:t>מכוערים ומעוררי סלידה</w:t>
      </w:r>
      <w:r>
        <w:rPr>
          <w:rtl w:val="true"/>
        </w:rPr>
        <w:t xml:space="preserve">. </w:t>
      </w:r>
      <w:r>
        <w:rPr>
          <w:rtl w:val="true"/>
        </w:rPr>
        <w:t>הם אף נמשכו לאורך תקופה לא מבוטלת ואין מדובר בתקרית יחידה</w:t>
      </w:r>
      <w:r>
        <w:rPr>
          <w:rtl w:val="true"/>
        </w:rPr>
        <w:t xml:space="preserve">. </w:t>
      </w:r>
      <w:r>
        <w:rPr>
          <w:rtl w:val="true"/>
        </w:rPr>
        <w:t xml:space="preserve">כבר נפסק בהקשר זה כי חומרה יתרה נודעת למעשי אלימות המתבצעים בתוך המשפחה תוך ניצול מעמדו של הגורם </w:t>
      </w:r>
      <w:r>
        <w:rPr>
          <w:rtl w:val="true"/>
        </w:rPr>
        <w:t>"</w:t>
      </w:r>
      <w:r>
        <w:rPr>
          <w:rtl w:val="true"/>
        </w:rPr>
        <w:t>החזק</w:t>
      </w:r>
      <w:r>
        <w:rPr>
          <w:rtl w:val="true"/>
        </w:rPr>
        <w:t xml:space="preserve">" </w:t>
      </w:r>
      <w:r>
        <w:rPr>
          <w:rtl w:val="true"/>
        </w:rPr>
        <w:t>בתא המשפחתי כלפי החלש</w:t>
      </w:r>
      <w:r>
        <w:rPr>
          <w:rFonts w:ascii="Arial TUR;Arial" w:hAnsi="Arial TUR;Arial" w:cs="Arial TUR;Arial"/>
          <w:sz w:val="22"/>
          <w:sz w:val="22"/>
          <w:rtl w:val="true"/>
        </w:rPr>
        <w:t>ים ממנו והתלויים בו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אכן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עבירות אלו</w:t>
      </w:r>
      <w:r>
        <w:rPr>
          <w:rtl w:val="true"/>
        </w:rPr>
        <w:t xml:space="preserve">, </w:t>
      </w:r>
      <w:r>
        <w:rPr>
          <w:rtl w:val="true"/>
        </w:rPr>
        <w:t>מתרחשות על דרך הכלל בבית פנימה</w:t>
      </w:r>
      <w:r>
        <w:rPr>
          <w:rtl w:val="true"/>
        </w:rPr>
        <w:t xml:space="preserve">, </w:t>
      </w:r>
      <w:r>
        <w:rPr>
          <w:rtl w:val="true"/>
        </w:rPr>
        <w:t>באין רואה ובאין שומע</w:t>
      </w:r>
      <w:r>
        <w:rPr>
          <w:rtl w:val="true"/>
        </w:rPr>
        <w:t xml:space="preserve">, </w:t>
      </w:r>
      <w:r>
        <w:rPr>
          <w:rtl w:val="true"/>
        </w:rPr>
        <w:t>ומוסתרות היטב מהסביבה</w:t>
      </w:r>
      <w:r>
        <w:rPr>
          <w:rtl w:val="true"/>
        </w:rPr>
        <w:t xml:space="preserve">. </w:t>
      </w:r>
      <w:r>
        <w:rPr>
          <w:rtl w:val="true"/>
        </w:rPr>
        <w:t>פעמים רבות</w:t>
      </w:r>
      <w:r>
        <w:rPr>
          <w:rtl w:val="true"/>
        </w:rPr>
        <w:t xml:space="preserve">, </w:t>
      </w:r>
      <w:r>
        <w:rPr>
          <w:rtl w:val="true"/>
        </w:rPr>
        <w:t xml:space="preserve">שרוי התוקף </w:t>
      </w:r>
      <w:r>
        <w:rPr>
          <w:rFonts w:ascii="Arial TUR;Arial" w:hAnsi="Arial TUR;Arial" w:cs="Arial TUR;Arial"/>
          <w:sz w:val="22"/>
          <w:sz w:val="22"/>
          <w:rtl w:val="true"/>
        </w:rPr>
        <w:t>בקונספציה שגויה לפיה אין בכוחו של החוק לפרוץ את מפתן ביתו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בו רשאי הוא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לשיטתו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לנהוג במשפחתו כרצונו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כמו הייתה קניינו</w:t>
      </w:r>
      <w:r>
        <w:rPr>
          <w:rFonts w:cs="Arial TUR;Arial" w:ascii="Arial TUR;Arial" w:hAnsi="Arial TUR;Arial"/>
          <w:sz w:val="22"/>
          <w:rtl w:val="true"/>
        </w:rPr>
        <w:t>" (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792/10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14.2.2011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בנסיבות כאלה</w:t>
      </w:r>
      <w:r>
        <w:rPr>
          <w:rtl w:val="true"/>
        </w:rPr>
        <w:t xml:space="preserve">, </w:t>
      </w:r>
      <w:r>
        <w:rPr>
          <w:rtl w:val="true"/>
        </w:rPr>
        <w:t>על בית המשפט מוטל ביתר שאת התפקיד להגן על הנפגע או הנפגעת ולמצות את הדין עם הפוגע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איזן במקרה דנן היטב בין חומרת המעשים ובין הנסיבות לקולה ובהן העובדה שהמערער נטל אחריות על מעשיו ועברו הנקי </w:t>
      </w:r>
      <w:r>
        <w:rPr>
          <w:rtl w:val="true"/>
        </w:rPr>
        <w:t>–</w:t>
      </w:r>
      <w:r>
        <w:rPr>
          <w:rtl w:val="true"/>
        </w:rPr>
        <w:t xml:space="preserve"> ואיני סבורה כי יש מקום להתערב במסקנה שאליה הגיע לעניין גזירת הדין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 xml:space="preserve">ש ו פ ט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ind w:end="0"/>
        <w:jc w:val="end"/>
        <w:rPr>
          <w:rFonts w:ascii="Times New Roman" w:hAnsi="Times New Roman"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 xml:space="preserve">ש ו פ ט ת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הוחלט כאמור בפסק דינה של הנשיאה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כ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ח באדר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15.3.2018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/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17065390</w:t>
      </w:r>
      <w:r>
        <w:rPr>
          <w:sz w:val="16"/>
          <w:rtl w:val="true"/>
        </w:rPr>
        <w:t>_</w:t>
      </w:r>
      <w:r>
        <w:rPr>
          <w:sz w:val="16"/>
        </w:rPr>
        <w:t>V03.doc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54678313-6539/17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6539/17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נסראת אבו תנהא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5337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1" TargetMode="External"/><Relationship Id="rId7" Type="http://schemas.openxmlformats.org/officeDocument/2006/relationships/hyperlink" Target="http://www.nevo.co.il/law/70301/368b.a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case/21753374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68b.a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case/5588158" TargetMode="External"/><Relationship Id="rId17" Type="http://schemas.openxmlformats.org/officeDocument/2006/relationships/hyperlink" Target="http://www.nevo.co.il/case/6247161" TargetMode="External"/><Relationship Id="rId18" Type="http://schemas.openxmlformats.org/officeDocument/2006/relationships/hyperlink" Target="http://www.nevo.co.il/case/13055021" TargetMode="External"/><Relationship Id="rId19" Type="http://schemas.openxmlformats.org/officeDocument/2006/relationships/hyperlink" Target="http://www.nevo.co.il/case/6248129" TargetMode="External"/><Relationship Id="rId20" Type="http://schemas.openxmlformats.org/officeDocument/2006/relationships/hyperlink" Target="http://www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2018-03-18T10:49:00Z</dcterms:created>
  <dc:creator> </dc:creator>
  <dc:description/>
  <cp:keywords/>
  <dc:language>en-IL</dc:language>
  <cp:lastModifiedBy>Hofit</cp:lastModifiedBy>
  <cp:lastPrinted>2018-03-13T12:29:00Z</cp:lastPrinted>
  <dcterms:modified xsi:type="dcterms:W3CDTF">2018-03-18T10:49:00Z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נסראת אבו תנהא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21753374:2;5588158;6247161;13055021;6248129</vt:lpwstr>
  </property>
  <property fmtid="{D5CDD505-2E9C-101B-9397-08002B2CF9AE}" pid="9" name="CITY">
    <vt:lpwstr/>
  </property>
  <property fmtid="{D5CDD505-2E9C-101B-9397-08002B2CF9AE}" pid="10" name="DATE">
    <vt:lpwstr>20180315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ארז;א' חיות</vt:lpwstr>
  </property>
  <property fmtid="{D5CDD505-2E9C-101B-9397-08002B2CF9AE}" pid="14" name="LAWLISTTMP1">
    <vt:lpwstr>70301/333;335.a1;368b.a;379;192</vt:lpwstr>
  </property>
  <property fmtid="{D5CDD505-2E9C-101B-9397-08002B2CF9AE}" pid="15" name="LAWYER">
    <vt:lpwstr>מריה ציבלין;סעיד רכאב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אלימות במשפחה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17039;15628</vt:lpwstr>
  </property>
  <property fmtid="{D5CDD505-2E9C-101B-9397-08002B2CF9AE}" pid="59" name="PADIDATE">
    <vt:lpwstr>20180318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6539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410120180315</vt:lpwstr>
  </property>
  <property fmtid="{D5CDD505-2E9C-101B-9397-08002B2CF9AE}" pid="69" name="TYPE_N_DATE">
    <vt:lpwstr>41020180315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