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38491-12-20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27.3.2023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Start_Write"/>
      <w:bookmarkStart w:id="7" w:name="Links_Kitvei_Start"/>
      <w:bookmarkStart w:id="8" w:name="Start_Write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דרורה נחמני 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סוגיות הנוגעות לתיקונים בחוק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התשנ״א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‏",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גיליון </w:t>
        </w:r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81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מרדכי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מוטי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כיצד ראוי לקבוע משך צו אשפוז פסיכיאטרי במסלול 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מבט בעדשה של תורת המשפט הטיפולי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אליקים רובינשטיין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מרקוביץ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ביטון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אילה פרוקצ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רינת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דורית נחמני אלבק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זכותו היא כזכותו של כל אדם״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על זכויותיהם החוקתיות של הלוקים בנפשם במשפט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מפרשת רוט ועד פרשת ואחנון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שורשים במשפט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דינה זילבר עורכת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283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שמואל וולפמן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טלי שקד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מידתיות האשפוז הכפוי בצו פלילי – הצעה לפתרון שיפוטי בהיעדר תיקון לחוק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48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אוקטובר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inks_Kitvei_End"/>
      <w:bookmarkStart w:id="11" w:name="Links_Kitvei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2" w:name="Links_Start"/>
      <w:bookmarkEnd w:id="12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בזק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משפט ופסיכיאטריה אחריותו המשפטית של הלקוי בנפשו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9">
        <w:r>
          <w:rPr>
            <w:rtl w:val="true"/>
          </w:rPr>
        </w:r>
      </w:hyperlink>
      <w:bookmarkStart w:id="13" w:name="LawTable"/>
      <w:bookmarkStart w:id="14" w:name="Links_End"/>
      <w:bookmarkStart w:id="15" w:name="LawTable"/>
      <w:bookmarkStart w:id="16" w:name="Links_End"/>
      <w:bookmarkEnd w:id="15"/>
      <w:bookmarkEnd w:id="1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170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  <w:sz w:val="24"/>
            <w:u w:val="none"/>
          </w:rPr>
          <w:t>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9" w:name="ABSTRACT_START"/>
      <w:bookmarkEnd w:id="1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דן בסוגיית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תקופת אשפוז מרבית באשפוז כפוי בגדרי המסלול 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המקרים יחול הכלל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הקבוע בסעיף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טיפול בחולי נפש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שלפיו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יקבע באופן גורף וטכני את תקופת האשפוז המרבית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כתקופת המאסר המרבית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רק במיעוט נדיר של מקרים יחול החריג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הקבוע בסעיף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 </w:t>
      </w:r>
      <w:r>
        <w:rPr>
          <w:rFonts w:ascii="Times New Roman" w:hAnsi="Times New Roman" w:cs="Times New Roman"/>
          <w:spacing w:val="0"/>
          <w:szCs w:val="26"/>
          <w:rtl w:val="true"/>
        </w:rPr>
        <w:t>המאפשר לקבוע תקופת אשפוז מרבית קצרה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כאשר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שוכנע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מעשה העבירה בוצע בנסיבות מקילות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דנן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התקיימו התנאים הדרושים ל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Cs w:val="26"/>
          <w:rtl w:val="true"/>
        </w:rPr>
        <w:t>חולת החריג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המאפשר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תקופת אשפוז מרבית קצרה מתקופת המאסר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התשנ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1991</w:t>
      </w:r>
      <w:r>
        <w:rPr>
          <w:rFonts w:cs="FrankRuehl"/>
          <w:sz w:val="24"/>
          <w:szCs w:val="26"/>
          <w:rtl w:val="true"/>
        </w:rPr>
        <w:t>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זוכה מאחריות פלילית לניסיון רצח קרוביו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 כי היה שרוי במצב פסיכוטי חריף בזמן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הורה על אשפוז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לתקופה מרבית של שנה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טיפול בחולי 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נסב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בחינת התקופה המרבית לאשפוזו הכפוי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במסלול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בבסיס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>ניצבת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קביעת תקופת אשפוז מרבית באשפוז כפוי בגדרי המסלול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הכלל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הקבוע בסעיף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טיפול בחולי נפש מור</w:t>
      </w:r>
      <w:r>
        <w:rPr>
          <w:rFonts w:ascii="Times New Roman" w:hAnsi="Times New Roman" w:cs="Times New Roman"/>
          <w:spacing w:val="0"/>
          <w:szCs w:val="26"/>
          <w:rtl w:val="true"/>
        </w:rPr>
        <w:t>ה כי תקופת האשפוז המרבית תהיה כתקופת המאסר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החריג הקבוע בסעיף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 מורה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תקופת המאסר המרבית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ייקבע משך אשפוז מרבי קצר מתקופה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כאשר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שוכנע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מעשה העבירה בוצע בנסיבות מקילות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לשון סעיפי החוק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המתווים את הכלל והחריג לעניין תקופת האשפוז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מנחים כי החריג יחול במקרים מצומצמים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 יחול הכלל שלפיו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יקבע באופן גורף וטכני את תקופת האשפוז המרבית כתקופת המאסר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במיעוט נדיר של מקרים יחול החריג המאפשר לקבוע תקופת אשפוז מרבית קצרה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פרשנות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זו </w:t>
      </w:r>
      <w:r>
        <w:rPr>
          <w:rFonts w:ascii="Times New Roman" w:hAnsi="Times New Roman" w:cs="Times New Roman"/>
          <w:spacing w:val="0"/>
          <w:szCs w:val="26"/>
          <w:rtl w:val="true"/>
        </w:rPr>
        <w:t>ליחס שבין הכלל לחריג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נדונה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פרשנות התיבה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העבירה בוצע בנסיבות מקילות במיוחד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חריגים ומטעמים מיוחדים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פשט לשון החריג וכוונת המחוקק הם כי החריג עשוי לחול ביחס לכל עבירה שהיא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סוג הנסיבות אשר נכללות בגדרי החריג הן נסיבות הכרוכות במעשה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נסיבותיו של עושה 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הודגש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לבחינת מידת האשמה או מידת האחריות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חולה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נפש מקום בבחינת תחולת החריג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האמור נדונה השאלה </w:t>
      </w:r>
      <w:r>
        <w:rPr>
          <w:rFonts w:ascii="Times New Roman" w:hAnsi="Times New Roman" w:cs="Times New Roman"/>
          <w:spacing w:val="0"/>
          <w:szCs w:val="26"/>
          <w:rtl w:val="true"/>
        </w:rPr>
        <w:t>באילו מקרים אכן יהיה 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מקילות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"?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הפרשנות המתיישבת עם לשון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תכליתו וכוונת המחוקק היא שתחולת החריג מיועדת למקרים נדירים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מהרגע הראשון ניכר כי חומרתו של מעשה העבירה אינה מצדיקה אשפוז כאורך תקופת המאסר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כאשר נבחן המעשה כשלעצמו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פרופורציה סבירה בינו לבין תקופת האשפוז המרבית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לחשוב על מקרה שבו בעבירה כגון רצח או ניסיון רצח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קושי זה עלול להתעורר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אין לשלול כל אפשרות כי כך יהיה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שאלה נגזרת היא מהן גבולות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לסוגיה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נפסק כי 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ניתן להציב קו גבול חד וברור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יש להכריע בכל מקרה בהתאם לנסיבותיו ומאפייניו הייחודיים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להחדיר לתוך בחינת נסיבות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התחשבות בשיקולי אחריות ואשם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שגה עת החיל את החריג הקבוע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תקופת אשפוז מרבית קצרה מאשר 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למשך שנה אחת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המשיב קשים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מדובר במקרה שבו אין כל פרופורציה סבירה בין מעשה העבירה לתקופת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מדובר במקרה שבו מהרגע הראשון ניכר כי חומרת מעשה העבירה אינה מצדיקה אשפוז כאורך 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ולא מדובר במקרה שבו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העבירה בוצע בנסיבות מקילות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כדרישת החריג לתקופת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שגה כאשר התחשב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אירועים שהתרחשו עובר למעשי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נסיבות חייו האישיות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חינת תחולת גדרי החריג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להתחשב בשיקולי ענישה ובכללם שיקולי אשמה ואחריות בבחינת תחולת החריג לכלל בדבר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להחיל את הכלל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שלפיו תקופת האשפוז או הטיפול המרבית תהיה כתקופת המאסר המרבית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הואיל ולא התקיימו התנאים הדרושים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חולת החריג המנוי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המאפשר 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לקבוע תקופת אשפוז מרבית קצרה מתקופת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המשיב יובא מעת לעת בפני הוועדה הפסיכיאטרית המיוחדת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שבהתאם למצבו הנפשי והטיפולי ובשים לב למידת מסוכנותו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 להתיר את כבלי האשפוז עוד בטרם מלאו ימי תקופת האשפוז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גם אילו היה מקום לקבוע תקופת אשפוז מרבית הקצרה מתקופת המאסר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אשפוז מרבית של שנה אחת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מתאימה בנסיבות העניין בהתאם למטרות האשפוז הכפוי במסלול 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טיפול רפואי הולם לחולה לצד בחינת מידת מסוכנותו לעצמו ולציבור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20" w:name="ABSTRACT_END"/>
      <w:bookmarkStart w:id="21" w:name="ABSTRACT_END"/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2" w:name="PsakDin"/>
            <w:bookmarkStart w:id="23" w:name="BeginProtocol"/>
            <w:bookmarkStart w:id="24" w:name="secretary"/>
            <w:bookmarkEnd w:id="22"/>
            <w:bookmarkEnd w:id="23"/>
            <w:bookmarkEnd w:id="2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5" w:name="Writer_Name"/>
      <w:bookmarkStart w:id="26" w:name="Writer_Name"/>
      <w:bookmarkEnd w:id="2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החלטת בית המשפט המחוזי בירושלים </w:t>
      </w:r>
      <w:r>
        <w:rPr>
          <w:rtl w:val="true"/>
        </w:rPr>
        <w:t>(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 xml:space="preserve">נ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38491-12-20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14.12.2022</w:t>
      </w:r>
      <w:r>
        <w:rPr>
          <w:rtl w:val="true"/>
        </w:rPr>
        <w:t xml:space="preserve">, </w:t>
      </w:r>
      <w:r>
        <w:rPr>
          <w:rtl w:val="true"/>
        </w:rPr>
        <w:t xml:space="preserve">בגדרה אישר את פסק דינו מיום </w:t>
      </w:r>
      <w:r>
        <w:rPr/>
        <w:t>30.5.2022</w:t>
      </w:r>
      <w:r>
        <w:rPr>
          <w:rtl w:val="true"/>
        </w:rPr>
        <w:t xml:space="preserve"> </w:t>
      </w:r>
      <w:r>
        <w:rPr>
          <w:rtl w:val="true"/>
        </w:rPr>
        <w:t xml:space="preserve">בו הורה על מתן צו אשפוז עבור המשיב </w:t>
      </w:r>
      <w:r>
        <w:rPr>
          <w:rFonts w:ascii="Century" w:hAnsi="Century" w:cs="Century"/>
          <w:sz w:val="22"/>
          <w:sz w:val="22"/>
          <w:rtl w:val="true"/>
        </w:rPr>
        <w:t>לתקופה מרבית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לאשפוזו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במסלול הפלילי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נגד המשיב הוגש כתב אישום שלפיו ביום </w:t>
      </w:r>
      <w:r>
        <w:rPr/>
        <w:t>27.11.2020</w:t>
      </w:r>
      <w:r>
        <w:rPr>
          <w:rtl w:val="true"/>
        </w:rPr>
        <w:t xml:space="preserve"> </w:t>
      </w:r>
      <w:r>
        <w:rPr>
          <w:rtl w:val="true"/>
        </w:rPr>
        <w:t xml:space="preserve">עובר לשעה </w:t>
      </w:r>
      <w:r>
        <w:rPr/>
        <w:t>19:30</w:t>
      </w:r>
      <w:r>
        <w:rPr>
          <w:rtl w:val="true"/>
        </w:rPr>
        <w:t xml:space="preserve">, </w:t>
      </w:r>
      <w:r>
        <w:rPr>
          <w:rtl w:val="true"/>
        </w:rPr>
        <w:t>שלף ממגירת הסכינים בדירת נפגעת העבירה א</w:t>
      </w:r>
      <w:r>
        <w:rPr>
          <w:rtl w:val="true"/>
        </w:rPr>
        <w:t xml:space="preserve">', </w:t>
      </w:r>
      <w:r>
        <w:rPr>
          <w:rtl w:val="true"/>
        </w:rPr>
        <w:t xml:space="preserve">סכין בעלת להב באורך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ניגש במהירות לכיוון נפגע העבירה</w:t>
      </w:r>
      <w:r>
        <w:rPr>
          <w:rtl w:val="true"/>
        </w:rPr>
        <w:t xml:space="preserve">, </w:t>
      </w:r>
      <w:r>
        <w:rPr>
          <w:rtl w:val="true"/>
        </w:rPr>
        <w:t>תוך שהתעלם מקריאות שיעזוב את הסכין</w:t>
      </w:r>
      <w:r>
        <w:rPr>
          <w:rtl w:val="true"/>
        </w:rPr>
        <w:t xml:space="preserve">, </w:t>
      </w:r>
      <w:r>
        <w:rPr>
          <w:rtl w:val="true"/>
        </w:rPr>
        <w:t>הניף את הסכין לעבר נפגע העבירה ושיסף את פניו בעוד שהוא צעק לעברו שיחדל ממעשיו ואף זרק לעברו כיסא בניסיון להדוף 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המשיב דקר את נפגעת העבירה א</w:t>
      </w:r>
      <w:r>
        <w:rPr>
          <w:rtl w:val="true"/>
        </w:rPr>
        <w:t xml:space="preserve">' </w:t>
      </w:r>
      <w:r>
        <w:rPr>
          <w:rtl w:val="true"/>
        </w:rPr>
        <w:t>בידה השמאלית</w:t>
      </w:r>
      <w:r>
        <w:rPr>
          <w:rtl w:val="true"/>
        </w:rPr>
        <w:t xml:space="preserve">, </w:t>
      </w:r>
      <w:r>
        <w:rPr>
          <w:rtl w:val="true"/>
        </w:rPr>
        <w:t>וכן שיסף את צווארה של נפגעת העבירה ב</w:t>
      </w:r>
      <w:r>
        <w:rPr>
          <w:rtl w:val="true"/>
        </w:rPr>
        <w:t xml:space="preserve">' </w:t>
      </w:r>
      <w:r>
        <w:rPr>
          <w:rtl w:val="true"/>
        </w:rPr>
        <w:t>אשר ניסתה להימלט מפניו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המשיב פגע פעם נוספת בגופו של נפגע העבירה בעת שזה האחרון גונן בגופו על בנו התינוק מפני הסכין שבידי המשיב</w:t>
      </w:r>
      <w:r>
        <w:rPr>
          <w:rtl w:val="true"/>
        </w:rPr>
        <w:t xml:space="preserve">. </w:t>
      </w:r>
      <w:r>
        <w:rPr>
          <w:rtl w:val="true"/>
        </w:rPr>
        <w:t>במהלך ההתרחשות</w:t>
      </w:r>
      <w:r>
        <w:rPr>
          <w:rtl w:val="true"/>
        </w:rPr>
        <w:t xml:space="preserve">, </w:t>
      </w:r>
      <w:r>
        <w:rPr>
          <w:rtl w:val="true"/>
        </w:rPr>
        <w:t>התינוק נפל על שטיח הסלון ונחבל בראשו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הסנטר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; </w:t>
      </w:r>
      <w:r>
        <w:rPr>
          <w:rtl w:val="true"/>
        </w:rPr>
        <w:t>ולנפגעת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 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/>
        <w:t>28.11.2020</w:t>
      </w:r>
      <w:r>
        <w:rPr>
          <w:rtl w:val="true"/>
        </w:rPr>
        <w:t xml:space="preserve"> </w:t>
      </w:r>
      <w:r>
        <w:rPr>
          <w:rtl w:val="true"/>
        </w:rPr>
        <w:t>במהלך קליטת המשיב בבית המעצר בירושלים</w:t>
      </w:r>
      <w:r>
        <w:rPr>
          <w:rtl w:val="true"/>
        </w:rPr>
        <w:t xml:space="preserve">, </w:t>
      </w:r>
      <w:r>
        <w:rPr>
          <w:rtl w:val="true"/>
        </w:rPr>
        <w:t>הוא התנגד שיעשה בו חיפוש</w:t>
      </w:r>
      <w:r>
        <w:rPr>
          <w:rtl w:val="true"/>
        </w:rPr>
        <w:t xml:space="preserve">, </w:t>
      </w:r>
      <w:r>
        <w:rPr>
          <w:rtl w:val="true"/>
        </w:rPr>
        <w:t>הניף את ידיו לעבר הסוהרים ואף נשך אחד מהם בכף ידו הימנית</w:t>
      </w:r>
      <w:r>
        <w:rPr>
          <w:rtl w:val="true"/>
        </w:rPr>
        <w:t xml:space="preserve">. </w:t>
      </w: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למשיב יוחסה עבירה של תקיפת עובד ציבור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בהחלטתו מיום </w:t>
      </w:r>
      <w:r>
        <w:rPr/>
        <w:t>3.5.2022</w:t>
      </w:r>
      <w:r>
        <w:rPr>
          <w:rtl w:val="true"/>
        </w:rPr>
        <w:t xml:space="preserve"> </w:t>
      </w:r>
      <w:r>
        <w:rPr>
          <w:rtl w:val="true"/>
        </w:rPr>
        <w:t>נדרש לבחינת מצבו הנפשי של המשיב בעת ביצוע המעשים ואחריותו הפלילית להם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 xml:space="preserve">כי אין חולק שבמועד ביצוע המעשים המשיב היה נתון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חריף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למצב זה היו שלושה גורמים </w:t>
      </w:r>
      <w:r>
        <w:rPr>
          <w:rtl w:val="true"/>
        </w:rPr>
        <w:t>–</w:t>
      </w:r>
      <w:r>
        <w:rPr>
          <w:rtl w:val="true"/>
        </w:rPr>
        <w:t xml:space="preserve"> הגורם הדומיננטי והמשמעותי ביותר הוא פוסט</w:t>
      </w:r>
      <w:r>
        <w:rPr>
          <w:rtl w:val="true"/>
        </w:rPr>
        <w:t>-</w:t>
      </w:r>
      <w:r>
        <w:rPr>
          <w:rtl w:val="true"/>
        </w:rPr>
        <w:t>טראומה ממנה סבל בעקבות התעללות חמורה שעבר בילדותו</w:t>
      </w:r>
      <w:r>
        <w:rPr>
          <w:rtl w:val="true"/>
        </w:rPr>
        <w:t xml:space="preserve">; </w:t>
      </w:r>
      <w:r>
        <w:rPr>
          <w:rtl w:val="true"/>
        </w:rPr>
        <w:t>ושני הגורמים הנוספים</w:t>
      </w:r>
      <w:r>
        <w:rPr>
          <w:rtl w:val="true"/>
        </w:rPr>
        <w:t xml:space="preserve">, </w:t>
      </w:r>
      <w:r>
        <w:rPr>
          <w:rtl w:val="true"/>
        </w:rPr>
        <w:t>שלהם השפעה משנית</w:t>
      </w:r>
      <w:r>
        <w:rPr>
          <w:rtl w:val="true"/>
        </w:rPr>
        <w:t xml:space="preserve">, </w:t>
      </w:r>
      <w:r>
        <w:rPr>
          <w:rtl w:val="true"/>
        </w:rPr>
        <w:t xml:space="preserve">הם שימוש בסם מסוג 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ומעצרו בעקבות החלטת בית הדין הרבני שהתרחשו כשבועיים עובר לאירועי כתב האישום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בהתאם להוראות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המשיב לא היה בר</w:t>
      </w:r>
      <w:r>
        <w:rPr>
          <w:rtl w:val="true"/>
        </w:rPr>
        <w:t>-</w:t>
      </w:r>
      <w:r>
        <w:rPr>
          <w:rtl w:val="true"/>
        </w:rPr>
        <w:t>עונשין בעת ביצוע המעשים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ומשכך הורה בהמשך על זיכויו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בפסק דינו מיום </w:t>
      </w:r>
      <w:r>
        <w:rPr/>
        <w:t>30.5.2022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המחוזי קבע כי המשיב </w:t>
      </w:r>
      <w:r>
        <w:rPr>
          <w:rtl w:val="true"/>
        </w:rPr>
        <w:t>"</w:t>
      </w:r>
      <w:r>
        <w:rPr>
          <w:rtl w:val="true"/>
        </w:rPr>
        <w:t>עדיין חולה</w:t>
      </w:r>
      <w:r>
        <w:rPr>
          <w:rtl w:val="true"/>
        </w:rPr>
        <w:t xml:space="preserve">" </w:t>
      </w:r>
      <w:r>
        <w:rPr>
          <w:rtl w:val="true"/>
        </w:rPr>
        <w:t xml:space="preserve">כהגדרת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כך ששחרורו עלול לסכן את שלומו ואת שלום הציבור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הואיל והמשיב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ובריא</w:t>
      </w:r>
      <w:r>
        <w:rPr>
          <w:rtl w:val="true"/>
        </w:rPr>
        <w:t xml:space="preserve">" </w:t>
      </w:r>
      <w:r>
        <w:rPr>
          <w:rtl w:val="true"/>
        </w:rPr>
        <w:t>בשל העובדה שהוא סובל מפוסט</w:t>
      </w:r>
      <w:r>
        <w:rPr>
          <w:rtl w:val="true"/>
        </w:rPr>
        <w:t>-</w:t>
      </w:r>
      <w:r>
        <w:rPr>
          <w:rtl w:val="true"/>
        </w:rPr>
        <w:t>טראומה מורכבת ונוכח החשש כי יפסיק את הטיפול בו או ישוב וישתמש בסמים מסוכנים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הורה על מתן צו אשפוז למשיב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tl w:val="true"/>
        </w:rPr>
        <w:t xml:space="preserve">"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גם לאחר שהדיון הושב לבית המשפט המחוזי לצורך שמיעת טענות הצדדים ביחס למשך תקופת האשפוז המרבית בעקבות החלטת בית משפט זה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בית המשפט המחוזי שב ואישר בהחלטתו מיום </w:t>
      </w:r>
      <w:r>
        <w:rPr/>
        <w:t>14.12.2022</w:t>
      </w:r>
      <w:r>
        <w:rPr>
          <w:rtl w:val="true"/>
        </w:rPr>
        <w:t xml:space="preserve"> </w:t>
      </w:r>
      <w:r>
        <w:rPr>
          <w:rtl w:val="true"/>
        </w:rPr>
        <w:t xml:space="preserve">את פסק דינו אשר לפיו צו האשפוז שניתן למשיב יעמוד על תקופה מרבית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 בלבד</w:t>
      </w:r>
      <w:r>
        <w:rPr>
          <w:rtl w:val="true"/>
        </w:rPr>
        <w:t xml:space="preserve">. </w:t>
      </w:r>
      <w:r>
        <w:rPr>
          <w:rtl w:val="true"/>
        </w:rPr>
        <w:t>על החלטתו זו נסוב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לטענת המערערת יש לפרש את החריג הקבוע </w:t>
      </w:r>
      <w:hyperlink r:id="rId5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 כעולה מלשון החוק וכן מדיוני ועדת העבודה</w:t>
      </w:r>
      <w:r>
        <w:rPr>
          <w:rtl w:val="true"/>
        </w:rPr>
        <w:t xml:space="preserve">, </w:t>
      </w:r>
      <w:r>
        <w:rPr>
          <w:rtl w:val="true"/>
        </w:rPr>
        <w:t>הרווחה והבריאות שעסקה בניסוח הוראות סעיף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החריג נועד ביסודו לחול רק כאשר קיים פער גדול בין מעשה העבירה לעונש המקסימלי הקבוע בצידה וכאשר מדובר </w:t>
      </w:r>
      <w:r>
        <w:rPr>
          <w:rtl w:val="true"/>
        </w:rPr>
        <w:t>"</w:t>
      </w:r>
      <w:r>
        <w:rPr>
          <w:rtl w:val="true"/>
        </w:rPr>
        <w:t>במעשים קלים</w:t>
      </w:r>
      <w:r>
        <w:rPr>
          <w:rtl w:val="true"/>
        </w:rPr>
        <w:t xml:space="preserve">", </w:t>
      </w:r>
      <w:r>
        <w:rPr>
          <w:rtl w:val="true"/>
        </w:rPr>
        <w:t>כך שלא יהא מצב שבו נאשם יאושפז לשנים ארוכות בגין עבירה פעוטה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ככלל לא ניתן להצביע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כאשר מדובר במעשי ניסיון לרצח</w:t>
      </w:r>
      <w:r>
        <w:rPr>
          <w:rtl w:val="true"/>
        </w:rPr>
        <w:t xml:space="preserve">, </w:t>
      </w:r>
      <w:r>
        <w:rPr>
          <w:rtl w:val="true"/>
        </w:rPr>
        <w:t>ובפרט ביחס למעשי המשיב בהם שיסף את גרון נפגעת העבירה ב</w:t>
      </w:r>
      <w:r>
        <w:rPr>
          <w:rtl w:val="true"/>
        </w:rPr>
        <w:t xml:space="preserve">', </w:t>
      </w:r>
      <w:r>
        <w:rPr>
          <w:rtl w:val="true"/>
        </w:rPr>
        <w:t>חתך את פני נפגע העבירה ואף פצע את נפגעת העבירה א</w:t>
      </w:r>
      <w:r>
        <w:rPr>
          <w:rtl w:val="true"/>
        </w:rPr>
        <w:t xml:space="preserve">'.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המופלגת</w:t>
      </w:r>
      <w:r>
        <w:rPr>
          <w:rtl w:val="true"/>
        </w:rPr>
        <w:t xml:space="preserve">" </w:t>
      </w:r>
      <w:r>
        <w:rPr>
          <w:rtl w:val="true"/>
        </w:rPr>
        <w:t>כלשונה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תחליף</w:t>
      </w:r>
      <w:r>
        <w:rPr>
          <w:rtl w:val="true"/>
        </w:rPr>
        <w:t xml:space="preserve">'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'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לעמדת המשיב בדין החיל בית המשפט המחוזי את החריג הקבוע </w:t>
      </w:r>
      <w:hyperlink r:id="rId5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והורה על תקופת אשפוז מרבית למשך של שנה אחת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הנסיבות המקלות הייחודיות בהן בוצעו מעשי המשיב</w:t>
      </w:r>
      <w:r>
        <w:rPr>
          <w:rtl w:val="true"/>
        </w:rPr>
        <w:t xml:space="preserve">, </w:t>
      </w:r>
      <w:r>
        <w:rPr>
          <w:rtl w:val="true"/>
        </w:rPr>
        <w:t>אשר למרות שעשה כל שביכולתו כדי למנוע סיכון</w:t>
      </w:r>
      <w:r>
        <w:rPr>
          <w:rtl w:val="true"/>
        </w:rPr>
        <w:t xml:space="preserve">, </w:t>
      </w:r>
      <w:r>
        <w:rPr>
          <w:rtl w:val="true"/>
        </w:rPr>
        <w:t>הוצא בניגוד לרצונו מאשפוז בבית החולים 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כורחו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לפסיכוזה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שהתפרצה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מהתלקחות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ניסה 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במוקד הערעור שלפנינו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המרבית</w:t>
      </w:r>
      <w:r>
        <w:rPr>
          <w:rtl w:val="true"/>
        </w:rPr>
        <w:t xml:space="preserve"> אשר בית המשפט יקבע במועד מתן צו האשפוז עבור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 xml:space="preserve">אקדים אחרית לראשית ואבהיר כי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שתקופת האשפוז המרבית בעניינו של המשיב תהיה כתקופת המאסר המרבית בהתאם </w:t>
      </w:r>
      <w:hyperlink r:id="rId5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היינו תקופת אשפוז מרבית של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אפתח ואציג את המסגרת הנורמטיבית הרלוונטית לענייננו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התמודדות החברה עם חולי הנפש בכלל והיחס אליהם במסגרת המשפט הפלילי בפרט</w:t>
      </w:r>
      <w:r>
        <w:rPr>
          <w:rtl w:val="true"/>
        </w:rPr>
        <w:t xml:space="preserve">, </w:t>
      </w:r>
      <w:r>
        <w:rPr>
          <w:rtl w:val="true"/>
        </w:rPr>
        <w:t xml:space="preserve">מעוררת שאלות מורכבות מקדמת דנא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אפרים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>-</w:t>
      </w:r>
      <w:r>
        <w:rPr>
          <w:rtl w:val="true"/>
        </w:rPr>
        <w:t>שטיינר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כורחם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ומצורעים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היהודית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הביניים</w:t>
      </w:r>
      <w:r>
        <w:rPr>
          <w:rtl w:val="true"/>
        </w:rPr>
        <w:t xml:space="preserve"> </w:t>
      </w:r>
      <w:r>
        <w:rPr/>
        <w:t>155-144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)). </w:t>
      </w:r>
      <w:r>
        <w:rPr>
          <w:rtl w:val="true"/>
        </w:rPr>
        <w:t>רק במחצית השנייה של המאה ה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חלה תפנית ביחס לחולי הנפש אשר נתפסו כבעלי זכויות שוות</w:t>
      </w:r>
      <w:r>
        <w:rPr>
          <w:rtl w:val="true"/>
        </w:rPr>
        <w:t xml:space="preserve">, </w:t>
      </w:r>
      <w:r>
        <w:rPr>
          <w:rtl w:val="true"/>
        </w:rPr>
        <w:t xml:space="preserve">ובהתאם המוקד ביחס לחולים הופנה לטיפול בהם ושיקומם </w:t>
      </w:r>
      <w:r>
        <w:rPr>
          <w:rtl w:val="true"/>
        </w:rPr>
        <w:t>(</w:t>
      </w:r>
      <w:r>
        <w:rPr>
          <w:rtl w:val="true"/>
        </w:rPr>
        <w:t xml:space="preserve">דורית נחמני </w:t>
      </w:r>
      <w:hyperlink r:id="rId58">
        <w:r>
          <w:rPr>
            <w:rStyle w:val="Hyperlink"/>
            <w:color w:val="0000FF"/>
            <w:u w:val="single"/>
            <w:rtl w:val="true"/>
          </w:rPr>
          <w:t>אלבק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"'</w:t>
        </w:r>
        <w:r>
          <w:rPr>
            <w:rStyle w:val="Hyperlink"/>
            <w:color w:val="0000FF"/>
            <w:u w:val="single"/>
            <w:rtl w:val="true"/>
          </w:rPr>
          <w:t>זכותו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כזכותו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אד</w:t>
      </w:r>
      <w:r>
        <w:rPr>
          <w:rtl w:val="true"/>
        </w:rPr>
        <w:t>ם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על זכויותיהם החוקתיות של הלוקים בנפשם במשפט הפלילי </w:t>
      </w:r>
      <w:r>
        <w:rPr>
          <w:rtl w:val="true"/>
        </w:rPr>
        <w:t>–</w:t>
      </w:r>
      <w:r>
        <w:rPr>
          <w:rtl w:val="true"/>
        </w:rPr>
        <w:t xml:space="preserve"> מפרשת רוט ועד פרשת ואחנון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tl w:val="true"/>
        </w:rPr>
        <w:t xml:space="preserve"> </w:t>
      </w:r>
      <w:r>
        <w:rPr/>
        <w:t>283</w:t>
      </w:r>
      <w:r>
        <w:rPr>
          <w:rtl w:val="true"/>
        </w:rPr>
        <w:t xml:space="preserve">, </w:t>
      </w:r>
      <w:r>
        <w:rPr/>
        <w:t>284-283</w:t>
      </w:r>
      <w:r>
        <w:rPr>
          <w:rtl w:val="true"/>
        </w:rPr>
        <w:t xml:space="preserve"> (</w:t>
      </w:r>
      <w:r>
        <w:rPr>
          <w:rtl w:val="true"/>
        </w:rPr>
        <w:t>דינה זילבר עורכת</w:t>
      </w:r>
      <w:r>
        <w:rPr>
          <w:rtl w:val="true"/>
        </w:rPr>
        <w:t xml:space="preserve">, </w:t>
      </w:r>
      <w:r>
        <w:rPr/>
        <w:t>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ולסביבה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בלית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מבהיר ומגדיר כי מטרתו העיקרית של האשפוז הכפוי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</w:t>
      </w:r>
      <w:r>
        <w:rPr>
          <w:rtl w:val="true"/>
        </w:rPr>
        <w:t>" 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טיפול בחולי נפש</w:t>
      </w:r>
      <w:r>
        <w:rPr>
          <w:rtl w:val="true"/>
        </w:rPr>
        <w:t xml:space="preserve">). </w:t>
      </w:r>
      <w:r>
        <w:rPr>
          <w:rtl w:val="true"/>
        </w:rPr>
        <w:t>המשמעות היא כי אמנם חירותו של החולה נפגעת במהלך האשפוז הכפוי</w:t>
      </w:r>
      <w:r>
        <w:rPr>
          <w:rtl w:val="true"/>
        </w:rPr>
        <w:t xml:space="preserve">, </w:t>
      </w:r>
      <w:r>
        <w:rPr>
          <w:rtl w:val="true"/>
        </w:rPr>
        <w:t>אולם תכליתו היא השבת כבודו וחירותו וכפועל יוצא השבת המסוגלות להיות אחראי להתנהגותו בחברה כבן</w:t>
      </w:r>
      <w:r>
        <w:rPr>
          <w:rtl w:val="true"/>
        </w:rPr>
        <w:t>-</w:t>
      </w:r>
      <w:r>
        <w:rPr>
          <w:rtl w:val="true"/>
        </w:rPr>
        <w:t xml:space="preserve">חורין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מוטי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כיצד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ראוי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לקבוע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משך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צו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אשפוז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פסיכיאטרי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במסלול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tl w:val="true"/>
          </w:rPr>
          <w:t xml:space="preserve">? </w:t>
        </w:r>
        <w:r>
          <w:rPr>
            <w:rStyle w:val="Hyperlink"/>
            <w:rtl w:val="true"/>
          </w:rPr>
          <w:t>מבט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בעדשה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תורת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הטיפולי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אהרן</w:t>
      </w:r>
      <w:r>
        <w:rPr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 ואח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עורכים</w:t>
      </w:r>
      <w:r>
        <w:rPr>
          <w:rtl w:val="true"/>
        </w:rPr>
        <w:t xml:space="preserve">, 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2060/97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697</w:t>
      </w:r>
      <w:r>
        <w:rPr>
          <w:rtl w:val="true"/>
        </w:rPr>
        <w:t xml:space="preserve">, </w:t>
      </w:r>
      <w:r>
        <w:rPr/>
        <w:t>707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</w:t>
      </w:r>
      <w:r>
        <w:rPr>
          <w:rtl w:val="true"/>
        </w:rPr>
        <w:t xml:space="preserve">)).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ועמדותיה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הדרך לאשפוזו הכפוי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במסלול פלילי לפי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עוברת דרך שני אפיקים </w:t>
      </w:r>
      <w:r>
        <w:rPr>
          <w:rFonts w:ascii="Century" w:hAnsi="Century" w:cs="Century"/>
          <w:sz w:val="22"/>
          <w:sz w:val="22"/>
          <w:rtl w:val="true"/>
        </w:rPr>
        <w:t xml:space="preserve">אפשריים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בחינ</w:t>
      </w:r>
      <w:r>
        <w:rPr>
          <w:rtl w:val="true"/>
        </w:rPr>
        <w:t>ת הכשירות הדיונית של הנאשם לעמוד לדין ובחינת הכשירות המהותית של הנאשם בעת ביצוע המעשים</w:t>
      </w:r>
      <w:r>
        <w:rPr>
          <w:rtl w:val="true"/>
        </w:rPr>
        <w:t xml:space="preserve">. </w:t>
      </w:r>
      <w:r>
        <w:rPr>
          <w:rtl w:val="true"/>
        </w:rPr>
        <w:t>באפיק הראשון</w:t>
      </w:r>
      <w:r>
        <w:rPr>
          <w:rtl w:val="true"/>
        </w:rPr>
        <w:t xml:space="preserve">, </w:t>
      </w:r>
      <w:r>
        <w:rPr>
          <w:rtl w:val="true"/>
        </w:rPr>
        <w:t>אילו החליט בית המשפט כי הנאשם אינו כשיר לעמוד לדין מחמת מחלת הנפש ממנה הוא סובל</w:t>
      </w:r>
      <w:r>
        <w:rPr>
          <w:rtl w:val="true"/>
        </w:rPr>
        <w:t xml:space="preserve">, </w:t>
      </w:r>
      <w:r>
        <w:rPr>
          <w:rtl w:val="true"/>
        </w:rPr>
        <w:t xml:space="preserve">יופסקו ההליכים נגדו לפי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רשאי להורות על אשפוזו הכפוי לפי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באפיק </w:t>
      </w:r>
      <w:r>
        <w:rPr>
          <w:rFonts w:ascii="Century" w:hAnsi="Century" w:cs="Century"/>
          <w:sz w:val="22"/>
          <w:sz w:val="22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</w:t>
      </w:r>
      <w:r>
        <w:rPr>
          <w:rtl w:val="true"/>
        </w:rPr>
        <w:t xml:space="preserve"> ובית המשפט יקבע כי הנאשם כשיר לעמוד לדין אלא שהוא אינו בר</w:t>
      </w:r>
      <w:r>
        <w:rPr>
          <w:rtl w:val="true"/>
        </w:rPr>
        <w:t>-</w:t>
      </w:r>
      <w:r>
        <w:rPr>
          <w:rtl w:val="true"/>
        </w:rPr>
        <w:t>עונשין מאחר שהיה חולה בעת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>
          <w:rtl w:val="true"/>
        </w:rPr>
        <w:t>"</w:t>
      </w:r>
      <w:r>
        <w:rPr>
          <w:rtl w:val="true"/>
        </w:rPr>
        <w:t>עדיין חולה</w:t>
      </w:r>
      <w:r>
        <w:rPr>
          <w:rtl w:val="true"/>
        </w:rPr>
        <w:t xml:space="preserve">"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אזי הנאשם יזוכה ובית המשפט יצווה על אשפוזו הכפוי לפי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וחנון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וחנון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בשני האפיקים</w:t>
      </w:r>
      <w:r>
        <w:rPr>
          <w:rtl w:val="true"/>
        </w:rPr>
        <w:t xml:space="preserve">, </w:t>
      </w:r>
      <w:r>
        <w:rPr>
          <w:rtl w:val="true"/>
        </w:rPr>
        <w:t>לאחר שהורה בית המשפט על אשפוזו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מועבר עניינו לבחינת ועדה פסיכיאטרית הדנה בעניינו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 xml:space="preserve">אחת לשישה חודשים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). </w:t>
      </w:r>
      <w:r>
        <w:rPr>
          <w:rtl w:val="true"/>
        </w:rPr>
        <w:t>חירותו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מסורה אפוא לידי הוועדה הפסיכיאטרית המוסמכת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 xml:space="preserve">כאשר על החלטת הוועדה ישנה זכות ערעור לבית המשפט המחוזי </w:t>
      </w:r>
      <w:r>
        <w:rPr>
          <w:rtl w:val="true"/>
        </w:rPr>
        <w:t>(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 xml:space="preserve">לצד אשפוז כפוי במסגרת </w:t>
      </w:r>
      <w:r>
        <w:rPr>
          <w:rtl w:val="true"/>
        </w:rPr>
        <w:t>"</w:t>
      </w:r>
      <w:r>
        <w:rPr>
          <w:rtl w:val="true"/>
        </w:rPr>
        <w:t>מסלול פלילי</w:t>
      </w:r>
      <w:r>
        <w:rPr>
          <w:rtl w:val="true"/>
        </w:rPr>
        <w:t xml:space="preserve">" </w:t>
      </w:r>
      <w:r>
        <w:rPr>
          <w:rtl w:val="true"/>
        </w:rPr>
        <w:t>הנועד לחולה</w:t>
      </w:r>
      <w:r>
        <w:rPr>
          <w:rtl w:val="true"/>
        </w:rPr>
        <w:t>-</w:t>
      </w:r>
      <w:r>
        <w:rPr>
          <w:rtl w:val="true"/>
        </w:rPr>
        <w:t>נפש המעורב בפלילים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ישנה אפשרות לאשפוז כפוי במסגרת </w:t>
      </w:r>
      <w:r>
        <w:rPr>
          <w:rtl w:val="true"/>
        </w:rPr>
        <w:t>"</w:t>
      </w:r>
      <w:r>
        <w:rPr>
          <w:rtl w:val="true"/>
        </w:rPr>
        <w:t>מסלול אזרחי</w:t>
      </w:r>
      <w:r>
        <w:rPr>
          <w:rtl w:val="true"/>
        </w:rPr>
        <w:t xml:space="preserve">" </w:t>
      </w:r>
      <w:r>
        <w:rPr>
          <w:rtl w:val="true"/>
        </w:rPr>
        <w:t>המיועד להסדיר טיפול בחולים שלא ביצעו עבירה</w:t>
      </w:r>
      <w:r>
        <w:rPr>
          <w:rtl w:val="true"/>
        </w:rPr>
        <w:t xml:space="preserve">, </w:t>
      </w:r>
      <w:r>
        <w:rPr>
          <w:rtl w:val="true"/>
        </w:rPr>
        <w:t>אך מתעורר צורך לאשפזם על רקע מסוכנותם לציבור ולעצמם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במסלול האזרחי הפגיעה בחירותו של חולה הנפש היא פחותה מאשר במסלול הפלילי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289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312-308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בעוד שברירת המחדל במסלול הפלילי היא כי האשפוז הכפוי נמשך כל עוד הוועדה הפסיכיאטרית לא הורתה על שחרור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</w:t>
      </w:r>
      <w:r>
        <w:rPr>
          <w:rtl w:val="true"/>
        </w:rPr>
        <w:t>(</w:t>
      </w:r>
      <w:r>
        <w:rPr>
          <w:rtl w:val="true"/>
        </w:rPr>
        <w:t>בכפוף לתקופה המרבית</w:t>
      </w:r>
      <w:r>
        <w:rPr>
          <w:rtl w:val="true"/>
        </w:rPr>
        <w:t xml:space="preserve">), </w:t>
      </w:r>
      <w:r>
        <w:rPr>
          <w:rtl w:val="true"/>
        </w:rPr>
        <w:t>במסלול האזרחי תקופת האשפוז מדודה וקצרה</w:t>
      </w:r>
      <w:r>
        <w:rPr>
          <w:rtl w:val="true"/>
        </w:rPr>
        <w:t xml:space="preserve">, </w:t>
      </w:r>
      <w:r>
        <w:rPr>
          <w:rtl w:val="true"/>
        </w:rPr>
        <w:t>ובסמכות הוועדה להאריכה לתקופות קצובות בלבד</w:t>
      </w:r>
      <w:r>
        <w:rPr>
          <w:rtl w:val="true"/>
        </w:rPr>
        <w:t xml:space="preserve">. </w:t>
      </w:r>
      <w:r>
        <w:rPr>
          <w:rtl w:val="true"/>
        </w:rPr>
        <w:t>הבדל נוסף הוא כי בעוד שבמסלול האזרחי רשאי המנהל הרפואי של בית החולים לשחרר או להוציא לחופשות את חולה</w:t>
      </w:r>
      <w:r>
        <w:rPr>
          <w:rtl w:val="true"/>
        </w:rPr>
        <w:t>-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לא כן במסלול הפלילי בו ההכרעה מסורה לידי הוועדה הפסיכיאטרית</w:t>
      </w:r>
      <w:r>
        <w:rPr>
          <w:rtl w:val="true"/>
        </w:rPr>
        <w:t xml:space="preserve">, </w:t>
      </w:r>
      <w:r>
        <w:rPr>
          <w:rtl w:val="true"/>
        </w:rPr>
        <w:t>אשר על החלטותיה ניתן לערער כאמור לבית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הסדרי האשפוז הכפוי שנקבעו ב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הקימו ביקורת רבה מכיוונים שונים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r>
        <w:rPr>
          <w:rtl w:val="true"/>
        </w:rPr>
        <w:t>דרורה נחמני</w:t>
      </w:r>
      <w:r>
        <w:rPr>
          <w:rtl w:val="true"/>
        </w:rPr>
        <w:t>-</w:t>
      </w:r>
      <w:hyperlink r:id="rId78">
        <w:r>
          <w:rPr>
            <w:rStyle w:val="Hyperlink"/>
            <w:color w:val="0000FF"/>
            <w:u w:val="single"/>
            <w:rtl w:val="true"/>
          </w:rPr>
          <w:t>רוט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סוגיות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הנוגעות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לתיקונים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טיפול בחולי נפש</w:t>
      </w:r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ומשפט</w:t>
      </w:r>
      <w:r>
        <w:rPr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/>
        <w:t>81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>בעקבות כן</w:t>
      </w:r>
      <w:r>
        <w:rPr>
          <w:rtl w:val="true"/>
        </w:rPr>
        <w:t xml:space="preserve">, </w:t>
      </w:r>
      <w:r>
        <w:rPr>
          <w:rtl w:val="true"/>
        </w:rPr>
        <w:t xml:space="preserve">הוקמו ועדות מקצועיות אשר המלצותיהן הבשילו במרוצת השנים לתיקוני חקיקה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668</w:t>
      </w:r>
      <w:r>
        <w:rPr>
          <w:rtl w:val="true"/>
        </w:rPr>
        <w:t xml:space="preserve">, </w:t>
      </w:r>
      <w:r>
        <w:rPr/>
        <w:t>668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8</w:t>
      </w:r>
      <w:r>
        <w:rPr>
          <w:rtl w:val="true"/>
        </w:rPr>
        <w:t xml:space="preserve">)). </w:t>
      </w:r>
      <w:r>
        <w:rPr>
          <w:rtl w:val="true"/>
        </w:rPr>
        <w:t>במוקד תיקוני החקיקה באו לידי ביטוי ביתר שאת תכליות האשפוז הכפוי הנועד כאמור להעניק טיפול רפואי הולם 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בשים לב לצורך בהגנה על נפגעי העבירה ועל הציבור בכללותו בדגש על מסוכנות החולה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בתוך כך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tl w:val="true"/>
        </w:rPr>
        <w:t>לאור תכליות האשפוז הכפוי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הותווה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tl w:val="true"/>
        </w:rPr>
        <w:t xml:space="preserve"> של הוועדה הפסיכיאטרית בעת שהיא נדרשת לבחינת שחרורו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נקבע כי הוועדה תשקול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הן את צרכיו הטיפוליים כסיכויי החלמתו והתנאים הדרושים לשיקומו</w:t>
      </w:r>
      <w:r>
        <w:rPr>
          <w:rtl w:val="true"/>
        </w:rPr>
        <w:t xml:space="preserve">; </w:t>
      </w:r>
      <w:r>
        <w:rPr>
          <w:rtl w:val="true"/>
        </w:rPr>
        <w:t>הן את מסוכנותו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שבשלה אושפז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ומשך הזמן שחלף מתחילת האשפוז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672</w:t>
      </w:r>
      <w:r>
        <w:rPr>
          <w:rtl w:val="true"/>
        </w:rPr>
        <w:t>).</w:t>
      </w:r>
      <w:r>
        <w:rPr>
          <w:rtl w:val="true"/>
        </w:rPr>
        <w:t xml:space="preserve"> </w:t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בעניינו של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המואשם בעבירות ניסיון לרצח או רצח תידון ועדה פסיכיאטרית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 xml:space="preserve">ולה יוענקו סמכויות פיקוח ובקרה על החולה אף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שחרורו מהאשפוז</w:t>
      </w:r>
      <w:r>
        <w:rPr>
          <w:rtl w:val="true"/>
        </w:rPr>
        <w:t xml:space="preserve">, </w:t>
      </w:r>
      <w:r>
        <w:rPr>
          <w:rtl w:val="true"/>
        </w:rPr>
        <w:t xml:space="preserve">וזאת לנוכח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מסוכנותו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הגבוהה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)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676-675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תיקון נוסף ומשמעותי 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הניצב בבסיס הערעור שלפנינו הוא קביעת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tl w:val="true"/>
        </w:rPr>
        <w:t xml:space="preserve"> באשפוז כפוי בגדרי המסלול הפלילי</w:t>
      </w:r>
      <w:r>
        <w:rPr>
          <w:rtl w:val="true"/>
        </w:rPr>
        <w:t xml:space="preserve">. </w:t>
      </w:r>
      <w:r>
        <w:rPr>
          <w:rtl w:val="true"/>
        </w:rPr>
        <w:t>במקביל לדיוני הוועדות המקצועיות שצוינו לעיל</w:t>
      </w:r>
      <w:r>
        <w:rPr>
          <w:rtl w:val="true"/>
        </w:rPr>
        <w:t xml:space="preserve">, </w:t>
      </w:r>
      <w:r>
        <w:rPr>
          <w:rtl w:val="true"/>
        </w:rPr>
        <w:t xml:space="preserve">סוגיה זו הגיעה לפתחו של בית משפט זה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הפסיכיאטרית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למבוגרים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900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פלוני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המקסימלי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909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בחלוף למעלה מעשור מאז ניתן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תוקן 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8</w:t>
      </w:r>
      <w:r>
        <w:rPr>
          <w:rtl w:val="true"/>
        </w:rPr>
        <w:t xml:space="preserve">), </w:t>
      </w:r>
      <w:r>
        <w:rPr>
          <w:rtl w:val="true"/>
        </w:rPr>
        <w:t xml:space="preserve">ולראשונה נקבעה תקופה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tl w:val="true"/>
        </w:rPr>
        <w:t xml:space="preserve"> לאשפוז הכפוי במסגרת המסלול הפלילי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ד</w:t>
      </w:r>
      <w:r>
        <w:rPr/>
        <w:t>1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/>
        <w:t>15</w:t>
      </w:r>
      <w:r>
        <w:rPr>
          <w:rtl w:val="true"/>
        </w:rPr>
        <w:t>]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פסקאות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3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בכך לא תמה הסוגיה</w:t>
      </w:r>
      <w:r>
        <w:rPr>
          <w:rtl w:val="true"/>
        </w:rPr>
        <w:t xml:space="preserve">. </w:t>
      </w:r>
      <w:r>
        <w:rPr>
          <w:rtl w:val="true"/>
        </w:rPr>
        <w:t xml:space="preserve">בתי המשפט נחלקו ביחס לפרשנות התיבה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היה מי שסבר כי בכך נותר שיקול דעת לבית המשפט לקבוע תקופת אשפוז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קצרה</w:t>
      </w:r>
      <w:r>
        <w:rPr>
          <w:rtl w:val="true"/>
        </w:rPr>
        <w:t xml:space="preserve"> מתקופת המאסר המרבית</w:t>
      </w:r>
      <w:r>
        <w:rPr>
          <w:rtl w:val="true"/>
        </w:rPr>
        <w:t xml:space="preserve">, </w:t>
      </w:r>
      <w:r>
        <w:rPr>
          <w:rtl w:val="true"/>
        </w:rPr>
        <w:t xml:space="preserve">ומנגד היה מי שפירש כי לבית המשפט אין מנוס מלקבוע את תקופת המאסר המרבית ותו לא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הדיון מיום </w:t>
      </w:r>
      <w:r>
        <w:rPr/>
        <w:t>16.11.2015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6365/15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7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אי</w:t>
      </w:r>
      <w:r>
        <w:rPr>
          <w:rtl w:val="true"/>
        </w:rPr>
        <w:t>-</w:t>
      </w:r>
      <w:r>
        <w:rPr>
          <w:rtl w:val="true"/>
        </w:rPr>
        <w:t>בהירות זו</w:t>
      </w:r>
      <w:r>
        <w:rPr>
          <w:rtl w:val="true"/>
        </w:rPr>
        <w:t xml:space="preserve">, </w:t>
      </w:r>
      <w:r>
        <w:rPr>
          <w:rtl w:val="true"/>
        </w:rPr>
        <w:t xml:space="preserve">תוקן 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947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9</w:t>
      </w:r>
      <w:r>
        <w:rPr>
          <w:rtl w:val="true"/>
        </w:rPr>
        <w:t xml:space="preserve">), </w:t>
      </w:r>
      <w:r>
        <w:rPr>
          <w:rtl w:val="true"/>
        </w:rPr>
        <w:t xml:space="preserve">כאשר הובהר </w:t>
      </w:r>
      <w:hyperlink r:id="rId8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tl w:val="true"/>
        </w:rPr>
        <w:t xml:space="preserve"> הוא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בעקבות ביקורת של חברי </w:t>
      </w:r>
      <w:r>
        <w:rPr>
          <w:rtl w:val="true"/>
        </w:rPr>
        <w:t>ועדת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tl w:val="true"/>
        </w:rPr>
        <w:t xml:space="preserve"> </w:t>
      </w:r>
      <w:r>
        <w:rPr>
          <w:rtl w:val="true"/>
        </w:rPr>
        <w:t>והבריאות</w:t>
      </w:r>
      <w:r>
        <w:rPr>
          <w:rtl w:val="true"/>
        </w:rPr>
        <w:t xml:space="preserve">, </w:t>
      </w:r>
      <w:r>
        <w:rPr>
          <w:rtl w:val="true"/>
        </w:rPr>
        <w:t>ובמסגרת הסכמות בין נציגי משרד המשפטים לנציגי הסניגוריה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הוסף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</w:t>
      </w:r>
      <w:r>
        <w:rPr>
          <w:rtl w:val="true"/>
        </w:rPr>
        <w:t xml:space="preserve"> לכלל הגורף בדבר תקופת המאסר המרבית המנוי </w:t>
      </w:r>
      <w:hyperlink r:id="rId9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בשלב זה יודגש פעם נוספת </w:t>
      </w:r>
      <w:r>
        <w:rPr>
          <w:rtl w:val="true"/>
        </w:rPr>
        <w:t>–</w:t>
      </w:r>
      <w:r>
        <w:rPr>
          <w:rtl w:val="true"/>
        </w:rPr>
        <w:t xml:space="preserve"> עסקינן</w:t>
      </w:r>
      <w:r>
        <w:rPr>
          <w:rtl w:val="true"/>
        </w:rPr>
        <w:t xml:space="preserve">, </w:t>
      </w:r>
      <w:r>
        <w:rPr>
          <w:rtl w:val="true"/>
        </w:rPr>
        <w:t xml:space="preserve">בתקופת האשפוז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בצו האשפוז נקבעה תקופת </w:t>
      </w:r>
      <w:r>
        <w:rPr>
          <w:rtl w:val="true"/>
        </w:rPr>
        <w:t>"</w:t>
      </w:r>
      <w:r>
        <w:rPr>
          <w:rtl w:val="true"/>
        </w:rPr>
        <w:t>גג</w:t>
      </w:r>
      <w:r>
        <w:rPr>
          <w:rtl w:val="true"/>
        </w:rPr>
        <w:t xml:space="preserve">" </w:t>
      </w:r>
      <w:r>
        <w:rPr>
          <w:rtl w:val="true"/>
        </w:rPr>
        <w:t>לתקופת האשפוז הכפוי במסלול הפלילי</w:t>
      </w:r>
      <w:r>
        <w:rPr>
          <w:rtl w:val="true"/>
        </w:rPr>
        <w:t xml:space="preserve">, </w:t>
      </w:r>
      <w:r>
        <w:rPr>
          <w:rtl w:val="true"/>
        </w:rPr>
        <w:t>אשר לאחריה יש לשחרר את החולה או להעבירו לאשפוז במסגרת המסלול האזרחי</w:t>
      </w:r>
      <w:r>
        <w:rPr>
          <w:rtl w:val="true"/>
        </w:rPr>
        <w:t xml:space="preserve">. </w:t>
      </w:r>
      <w:r>
        <w:rPr>
          <w:rtl w:val="true"/>
        </w:rPr>
        <w:t>עובר לקביעה 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המחוקק לא הגביל את משך האשפוז הכפוי של החולה במסגרת המסלול הפלילי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בניגוד לאשר יכול להשתמע</w:t>
      </w:r>
      <w:r>
        <w:rPr>
          <w:rtl w:val="true"/>
        </w:rPr>
        <w:t xml:space="preserve">, </w:t>
      </w:r>
      <w:r>
        <w:rPr>
          <w:rtl w:val="true"/>
        </w:rPr>
        <w:t xml:space="preserve">הקביעה של המחוקק כי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אינה קביעה מחמירה</w:t>
      </w:r>
      <w:r>
        <w:rPr>
          <w:rtl w:val="true"/>
        </w:rPr>
        <w:t xml:space="preserve">, </w:t>
      </w:r>
      <w:r>
        <w:rPr>
          <w:rtl w:val="true"/>
        </w:rPr>
        <w:t>כי אם קביעה המטיבה את המצב בהשוואה למצב החוקי עובר לתיקון 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ותיקון 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שגם כאשר נקבעת תקופת אשפוז מרבית כמשך תקופת המאסר המרבית</w:t>
      </w:r>
      <w:r>
        <w:rPr>
          <w:rtl w:val="true"/>
        </w:rPr>
        <w:t xml:space="preserve">, </w:t>
      </w:r>
      <w:r>
        <w:rPr>
          <w:rtl w:val="true"/>
        </w:rPr>
        <w:t>אין המשמעות היא כי החולה ישהה באשפוז משך זמן זה</w:t>
      </w:r>
      <w:r>
        <w:rPr>
          <w:rtl w:val="true"/>
        </w:rPr>
        <w:t xml:space="preserve">, </w:t>
      </w:r>
      <w:r>
        <w:rPr>
          <w:rtl w:val="true"/>
        </w:rPr>
        <w:t xml:space="preserve">אלא כי זהו הזמן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המקסימלי</w:t>
      </w:r>
      <w:r>
        <w:rPr>
          <w:rtl w:val="true"/>
        </w:rPr>
        <w:t xml:space="preserve"> </w:t>
      </w:r>
      <w:r>
        <w:rPr>
          <w:rtl w:val="true"/>
        </w:rPr>
        <w:t>האפשרי לשם כך</w:t>
      </w:r>
      <w:r>
        <w:rPr>
          <w:rtl w:val="true"/>
        </w:rPr>
        <w:t xml:space="preserve">. </w:t>
      </w:r>
      <w:r>
        <w:rPr>
          <w:rtl w:val="true"/>
        </w:rPr>
        <w:t>כך גם פורט והודגש ב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תקופת אשפוז או טיפול מרבית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580</w:t>
      </w:r>
      <w:r>
        <w:rPr>
          <w:rtl w:val="true"/>
        </w:rPr>
        <w:t xml:space="preserve">, </w:t>
      </w:r>
      <w:r>
        <w:rPr/>
        <w:t>580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מאושפז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מרפאתי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כך הוסיפה נציגת משרד המשפטים בדיוני ועדת העבודה</w:t>
      </w:r>
      <w:r>
        <w:rPr>
          <w:rtl w:val="true"/>
        </w:rPr>
        <w:t xml:space="preserve">, </w:t>
      </w:r>
      <w:r>
        <w:rPr>
          <w:rtl w:val="true"/>
        </w:rPr>
        <w:t xml:space="preserve">הרווחה והבריאות כי בפועל תקופות האשפוז קצרות ועומדות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ישיבה </w:t>
      </w:r>
      <w:r>
        <w:rPr>
          <w:rFonts w:cs="Century" w:ascii="Century" w:hAnsi="Century"/>
        </w:rPr>
        <w:t>220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ועדת 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הרווחה והבריאות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28.3.2016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28.3.2016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 (</w:t>
      </w:r>
      <w:r>
        <w:rPr>
          <w:rtl w:val="true"/>
        </w:rPr>
        <w:t>כן ראו</w:t>
      </w:r>
      <w:r>
        <w:rPr>
          <w:rtl w:val="true"/>
        </w:rPr>
        <w:t xml:space="preserve">, </w:t>
      </w:r>
      <w:r>
        <w:rPr>
          <w:rtl w:val="true"/>
        </w:rPr>
        <w:t>לעניין חוקתיות תיקון 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: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8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רקע סקירה זו מתבהרת הסוגיה המונחת לפתחנו וחשיבותה </w:t>
      </w:r>
      <w:r>
        <w:rPr>
          <w:rtl w:val="true"/>
        </w:rPr>
        <w:t>–</w:t>
      </w:r>
      <w:r>
        <w:rPr>
          <w:rtl w:val="true"/>
        </w:rPr>
        <w:t xml:space="preserve"> מה היחס בין הכלל לחריג</w:t>
      </w:r>
      <w:r>
        <w:rPr>
          <w:rtl w:val="true"/>
        </w:rPr>
        <w:t xml:space="preserve">? </w:t>
      </w:r>
      <w:r>
        <w:rPr>
          <w:rtl w:val="true"/>
        </w:rPr>
        <w:t>אימתי ובאילו מקרים רשאי בית המשפט לסטות מן הכלל המורה כי תקופת האשפוז המרבית תהיה כתקופת המאסר המרבית</w:t>
      </w:r>
      <w:r>
        <w:rPr>
          <w:rtl w:val="true"/>
        </w:rPr>
        <w:t xml:space="preserve">, </w:t>
      </w:r>
      <w:r>
        <w:rPr>
          <w:rtl w:val="true"/>
        </w:rPr>
        <w:t>ותחת זאת ייקבע משך אשפוז מרבי קצר מתקופה זו</w:t>
      </w:r>
      <w:r>
        <w:rPr>
          <w:rtl w:val="true"/>
        </w:rPr>
        <w:t xml:space="preserve">? </w:t>
      </w:r>
      <w:r>
        <w:rPr>
          <w:rtl w:val="true"/>
        </w:rPr>
        <w:t>סוגיות אלו מחייבות יציקת תוכן פרשני לתיקון 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לאחר פרשנות החוק באופן עקרוני</w:t>
      </w:r>
      <w:r>
        <w:rPr>
          <w:rtl w:val="true"/>
        </w:rPr>
        <w:t xml:space="preserve">, </w:t>
      </w:r>
      <w:r>
        <w:rPr>
          <w:rtl w:val="true"/>
        </w:rPr>
        <w:t>אפנה ליישומה בענייננו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כצעד פרשני ראשון לבחינת היחס שבין הכלל לחריג</w:t>
      </w:r>
      <w:r>
        <w:rPr>
          <w:rtl w:val="true"/>
        </w:rPr>
        <w:t xml:space="preserve">, </w:t>
      </w:r>
      <w:r>
        <w:rPr>
          <w:rtl w:val="true"/>
        </w:rPr>
        <w:t>נפנה כמתחייב ללשון החוק</w:t>
      </w:r>
      <w:r>
        <w:rPr>
          <w:rtl w:val="true"/>
        </w:rPr>
        <w:t xml:space="preserve">. </w:t>
      </w:r>
      <w:r>
        <w:rPr>
          <w:rtl w:val="true"/>
        </w:rPr>
        <w:t xml:space="preserve">הכלל הקבוע </w:t>
      </w:r>
      <w:hyperlink r:id="rId9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הוא גורף ואינו מאפשר שיקול דעת לסטות מהוראותיו ולפיו </w:t>
      </w:r>
      <w:r>
        <w:rPr>
          <w:rtl w:val="true"/>
        </w:rPr>
        <w:t xml:space="preserve">תקופת האשפוז או הטיפול המרבית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תהיה</w:t>
      </w:r>
      <w:r>
        <w:rPr>
          <w:rtl w:val="true"/>
        </w:rPr>
        <w:t xml:space="preserve"> תקופת המאסר המרבית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החריג הקבוע </w:t>
      </w:r>
      <w:hyperlink r:id="rId9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המאפשר לבית המשפט לקבוע תקופת אשפוז מרבית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הקצרה</w:t>
      </w:r>
      <w:r>
        <w:rPr>
          <w:rtl w:val="true"/>
        </w:rPr>
        <w:t xml:space="preserve"> מתקופת המאסר המרבית</w:t>
      </w:r>
      <w:r>
        <w:rPr>
          <w:rtl w:val="true"/>
        </w:rPr>
        <w:t xml:space="preserve">, </w:t>
      </w:r>
      <w:r>
        <w:rPr>
          <w:rtl w:val="true"/>
        </w:rPr>
        <w:t>כולל סייגים</w:t>
      </w:r>
      <w:r>
        <w:rPr>
          <w:rtl w:val="true"/>
        </w:rPr>
        <w:t xml:space="preserve">, </w:t>
      </w:r>
      <w:r>
        <w:rPr>
          <w:rtl w:val="true"/>
        </w:rPr>
        <w:t xml:space="preserve">תנאים ושיקול דעת באופן המלמד כי תחולתו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 הפעלת החריג</w:t>
      </w:r>
      <w:r>
        <w:rPr>
          <w:rtl w:val="true"/>
        </w:rPr>
        <w:t xml:space="preserve">, </w:t>
      </w:r>
      <w:r>
        <w:rPr>
          <w:rtl w:val="true"/>
        </w:rPr>
        <w:t>על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 xml:space="preserve">נפש מוטל נטל משמעותי ביותר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לשכנע</w:t>
      </w:r>
      <w:r>
        <w:rPr>
          <w:rtl w:val="true"/>
        </w:rPr>
        <w:t xml:space="preserve"> </w:t>
      </w:r>
      <w:r>
        <w:rPr>
          <w:rtl w:val="true"/>
        </w:rPr>
        <w:t>את בית המשפט כי מתקיימים התנאים המצדיקים חריגה מהכלל בעניינו</w:t>
      </w:r>
      <w:r>
        <w:rPr>
          <w:rtl w:val="true"/>
        </w:rPr>
        <w:t xml:space="preserve">, </w:t>
      </w:r>
      <w:r>
        <w:rPr>
          <w:rtl w:val="true"/>
        </w:rPr>
        <w:t>וקביעת תקופת אשפוז קצרה מתקופת המאסר המרבית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לא רק שנדרש כי מעשה העבירה בוצע דווקא בנסיבות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tl w:val="true"/>
        </w:rPr>
        <w:t xml:space="preserve">, </w:t>
      </w:r>
      <w:r>
        <w:rPr>
          <w:rtl w:val="true"/>
        </w:rPr>
        <w:t xml:space="preserve">אלא מודגש כי מדובר בנסיבות מקילות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 xml:space="preserve">עוד מבהיר המחוקק כי עסקינן אך ורק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 xml:space="preserve">ובהתאם נדרש כי בית המשפט ינמק את החלטתו לחרוג מהכלל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tl w:val="true"/>
        </w:rPr>
        <w:t xml:space="preserve"> לכך</w:t>
      </w:r>
      <w:r>
        <w:rPr>
          <w:rtl w:val="true"/>
        </w:rPr>
        <w:t xml:space="preserve">. </w:t>
      </w:r>
      <w:r>
        <w:rPr>
          <w:rtl w:val="true"/>
        </w:rPr>
        <w:t>לאחר כל זאת</w:t>
      </w:r>
      <w:r>
        <w:rPr>
          <w:rtl w:val="true"/>
        </w:rPr>
        <w:t xml:space="preserve">, </w:t>
      </w:r>
      <w:r>
        <w:rPr>
          <w:rtl w:val="true"/>
        </w:rPr>
        <w:t xml:space="preserve">גם לאחר שבית המשפט אכן שוכנע כי לפניו מקרה חריג ונסיבותיו מקילות במיוחד </w:t>
      </w:r>
      <w:r>
        <w:rPr>
          <w:rtl w:val="true"/>
        </w:rPr>
        <w:t>–</w:t>
      </w:r>
      <w:r>
        <w:rPr>
          <w:rtl w:val="true"/>
        </w:rPr>
        <w:t xml:space="preserve"> אין הוא מצווה לחרוג מהכלל</w:t>
      </w:r>
      <w:r>
        <w:rPr>
          <w:rtl w:val="true"/>
        </w:rPr>
        <w:t xml:space="preserve">, </w:t>
      </w:r>
      <w:r>
        <w:rPr>
          <w:rtl w:val="true"/>
        </w:rPr>
        <w:t>אלא המחוקק מותיר בידו את שיקול הדעת אם לעשות כן אם לאו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היחס שבין הכלל לחריג ניתן ללמוד 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tl w:val="true"/>
        </w:rPr>
        <w:t xml:space="preserve"> העולה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מדיוני ועדת העבודה</w:t>
      </w:r>
      <w:r>
        <w:rPr>
          <w:rtl w:val="true"/>
        </w:rPr>
        <w:t xml:space="preserve">, </w:t>
      </w:r>
      <w:r>
        <w:rPr>
          <w:rtl w:val="true"/>
        </w:rPr>
        <w:t>הרווחה והבריאות שעסקו בתיקון החוק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בעקבות המלצות הוועדות המקצועיות 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המחוקק ראה לנכון לקבוע תקופה מרבית לאשפוז הכפוי במסגרת המסלול הפלילי</w:t>
      </w:r>
      <w:r>
        <w:rPr>
          <w:rtl w:val="true"/>
        </w:rPr>
        <w:t xml:space="preserve">, </w:t>
      </w:r>
      <w:r>
        <w:rPr>
          <w:rtl w:val="true"/>
        </w:rPr>
        <w:t>כך הובהרה חשיבות הדבר בדיוני הוועדה על ידי נציגת משרד המשפטים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28.3.2016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תורגם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זו תהיה כמשך תקופת המאסר המרבית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הואיל וה</w:t>
      </w:r>
      <w:r>
        <w:rPr>
          <w:rtl w:val="true"/>
        </w:rPr>
        <w:t>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מרפאתי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התדיינויות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9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580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חברי </w:t>
      </w:r>
      <w:r>
        <w:rPr>
          <w:rtl w:val="true"/>
        </w:rPr>
        <w:t>ועדת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tl w:val="true"/>
        </w:rPr>
        <w:t xml:space="preserve"> </w:t>
      </w:r>
      <w:r>
        <w:rPr>
          <w:rtl w:val="true"/>
        </w:rPr>
        <w:t>והבריאות</w:t>
      </w:r>
      <w:r>
        <w:rPr>
          <w:rtl w:val="true"/>
        </w:rPr>
        <w:t xml:space="preserve">, </w:t>
      </w:r>
      <w:r>
        <w:rPr>
          <w:rtl w:val="true"/>
        </w:rPr>
        <w:t>אשר הכירו בחשיבות קביעת תקופה מרבית לאשפוז הכפוי</w:t>
      </w:r>
      <w:r>
        <w:rPr>
          <w:rtl w:val="true"/>
        </w:rPr>
        <w:t xml:space="preserve">, </w:t>
      </w:r>
      <w:r>
        <w:rPr>
          <w:rtl w:val="true"/>
        </w:rPr>
        <w:t>התקשו לקבל את יישומו של הכלל באופן גורף</w:t>
      </w:r>
      <w:r>
        <w:rPr>
          <w:rtl w:val="true"/>
        </w:rPr>
        <w:t xml:space="preserve">, </w:t>
      </w:r>
      <w:r>
        <w:rPr>
          <w:rtl w:val="true"/>
        </w:rPr>
        <w:t>מבלי שנותר שיקול דעת לבית המשפט שנותן את צו האשפוז לקצוב תקופת אשפוז קצרה מתקופת המאסר המרבית</w:t>
      </w:r>
      <w:r>
        <w:rPr>
          <w:rtl w:val="true"/>
        </w:rPr>
        <w:t xml:space="preserve">. </w:t>
      </w:r>
      <w:r>
        <w:rPr>
          <w:rtl w:val="true"/>
        </w:rPr>
        <w:t>כך הביעה נציגת הסנגוריה הציבורית את חששה מכלל גורף שכזה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המקסימלי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להיתרגם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שיגיד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28.3.2016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חשש זה</w:t>
      </w:r>
      <w:r>
        <w:rPr>
          <w:rtl w:val="true"/>
        </w:rPr>
        <w:t xml:space="preserve">, </w:t>
      </w:r>
      <w:r>
        <w:rPr>
          <w:rtl w:val="true"/>
        </w:rPr>
        <w:t xml:space="preserve">הוסף החריג המאפשר לבית המשפט לקצוב תקופת אשפוז מרבית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מתקופת המאסר המרבית</w:t>
      </w:r>
      <w:r>
        <w:rPr>
          <w:rtl w:val="true"/>
        </w:rPr>
        <w:t xml:space="preserve">. </w:t>
      </w:r>
      <w:r>
        <w:rPr>
          <w:rtl w:val="true"/>
        </w:rPr>
        <w:t xml:space="preserve">כוונת המחוקק אפוא היא למנוע באמצעות החריג מצבים </w:t>
      </w:r>
      <w:r>
        <w:rPr>
          <w:rtl w:val="true"/>
        </w:rPr>
        <w:t>'</w:t>
      </w:r>
      <w:r>
        <w:rPr>
          <w:rtl w:val="true"/>
        </w:rPr>
        <w:t>אבסורדיים</w:t>
      </w:r>
      <w:r>
        <w:rPr>
          <w:rtl w:val="true"/>
        </w:rPr>
        <w:t xml:space="preserve">' </w:t>
      </w:r>
      <w:r>
        <w:rPr>
          <w:rtl w:val="true"/>
        </w:rPr>
        <w:t>שבהם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עלול לשהות באשפוז כפוי פרק זמן לא</w:t>
      </w:r>
      <w:r>
        <w:rPr>
          <w:rtl w:val="true"/>
        </w:rPr>
        <w:t>-</w:t>
      </w:r>
      <w:r>
        <w:rPr>
          <w:rtl w:val="true"/>
        </w:rPr>
        <w:t>מידתי ביחס למעשה העבירה שיוחס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כבר במהלך דיוני הוועדה</w:t>
      </w:r>
      <w:r>
        <w:rPr>
          <w:rtl w:val="true"/>
        </w:rPr>
        <w:t xml:space="preserve">, </w:t>
      </w:r>
      <w:r>
        <w:rPr>
          <w:rtl w:val="true"/>
        </w:rPr>
        <w:t>נציגת משרד המשפטים הביעה ספק בדבר נחיצות החריג מאחר שניתן מענה לחשש האמור באמצעות הבניית שיקול הדעת של הוועדה הפסיכיאטרית הבוחנת את אשפוזו של החולה</w:t>
      </w:r>
      <w:r>
        <w:rPr>
          <w:rtl w:val="true"/>
        </w:rPr>
        <w:t xml:space="preserve">. </w:t>
      </w:r>
      <w:r>
        <w:rPr>
          <w:rtl w:val="true"/>
        </w:rPr>
        <w:t>זאת מאחר שלצורך בחינת שחרור החולה על הוועדה לשקול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נסיבות העבירה שבשלה ניתן צו האשפוז אל מול משך הזמן שחלף מאז תחילת האשפוז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28.3.2016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המשמעות היא כי ברוב רובם של המקרים אין צורך בחריג</w:t>
      </w:r>
      <w:r>
        <w:rPr>
          <w:rtl w:val="true"/>
        </w:rPr>
        <w:t xml:space="preserve">, </w:t>
      </w:r>
      <w:r>
        <w:rPr>
          <w:rtl w:val="true"/>
        </w:rPr>
        <w:t>הואיל והפרוצדורה של הליך האשפוז הכפוי ובחינת הוועדה מספקים מענה מובנה לחשש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גם בחינת מטרת האשפוז הכפוי ותכלית הכלל שלפיו תקופת האשפוז תהא כתקופת המאסר המרבית</w:t>
      </w:r>
      <w:r>
        <w:rPr>
          <w:rtl w:val="true"/>
        </w:rPr>
        <w:t xml:space="preserve">, </w:t>
      </w:r>
      <w:r>
        <w:rPr>
          <w:rtl w:val="true"/>
        </w:rPr>
        <w:t>שופכות אור על היחס שבין הכלל לחריג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מציב בראש מעייניו כמטרה עיקרית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</w:t>
      </w:r>
      <w:r>
        <w:rPr>
          <w:rtl w:val="true"/>
        </w:rPr>
        <w:t xml:space="preserve"> בחולה</w:t>
      </w:r>
      <w:r>
        <w:rPr>
          <w:rtl w:val="true"/>
        </w:rPr>
        <w:t>-</w:t>
      </w:r>
      <w:r>
        <w:rPr>
          <w:rtl w:val="true"/>
        </w:rPr>
        <w:t>נפש במסגרת האשפוז</w:t>
      </w:r>
      <w:r>
        <w:rPr>
          <w:rtl w:val="true"/>
        </w:rPr>
        <w:t xml:space="preserve">, </w:t>
      </w:r>
      <w:r>
        <w:rPr>
          <w:rtl w:val="true"/>
        </w:rPr>
        <w:t xml:space="preserve">וזאת לצד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</w:t>
      </w:r>
      <w:r>
        <w:rPr>
          <w:rtl w:val="true"/>
        </w:rPr>
        <w:t xml:space="preserve"> מפני מסוכנותו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קביעת תקופה מרבית לאשפוז הכפוי אשר לאחריה החולה משתחרר מאשפוז במסגרת המסלול הפלילי</w:t>
      </w:r>
      <w:r>
        <w:rPr>
          <w:rtl w:val="true"/>
        </w:rPr>
        <w:t xml:space="preserve">, </w:t>
      </w:r>
      <w:r>
        <w:rPr>
          <w:rtl w:val="true"/>
        </w:rPr>
        <w:t>עלולה לחתור תחת מטרות אלו</w:t>
      </w:r>
      <w:r>
        <w:rPr>
          <w:rtl w:val="true"/>
        </w:rPr>
        <w:t xml:space="preserve">. </w:t>
      </w:r>
      <w:r>
        <w:rPr>
          <w:rtl w:val="true"/>
        </w:rPr>
        <w:t>זאת מאחר שהאשפוז פוקע בתום התקופה המרבית במנותק מצרכיו הטיפוליים של החולה ואף ממידת מסוכנותו לציבור</w:t>
      </w:r>
      <w:r>
        <w:rPr>
          <w:rtl w:val="true"/>
        </w:rPr>
        <w:t xml:space="preserve">, </w:t>
      </w:r>
      <w:r>
        <w:rPr>
          <w:rtl w:val="true"/>
        </w:rPr>
        <w:t xml:space="preserve">בעוד שראוי כי משך הטיפול הפסיכיאטרי ייקבע ויותאם </w:t>
      </w:r>
      <w:r>
        <w:rPr>
          <w:rtl w:val="true"/>
        </w:rPr>
        <w:t>לפרוגנוזה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המחלה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 xml:space="preserve"> </w:t>
      </w:r>
      <w:r>
        <w:rPr>
          <w:rtl w:val="true"/>
        </w:rPr>
        <w:t>התובנה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 </w:t>
      </w:r>
      <w:r>
        <w:rPr>
          <w:rtl w:val="true"/>
        </w:rPr>
        <w:t>למחלה</w:t>
      </w:r>
      <w:r>
        <w:rPr>
          <w:rtl w:val="true"/>
        </w:rPr>
        <w:t xml:space="preserve"> </w:t>
      </w:r>
      <w:r>
        <w:rPr>
          <w:rtl w:val="true"/>
        </w:rPr>
        <w:t>ותסמיניה</w:t>
      </w:r>
      <w:r>
        <w:rPr>
          <w:rtl w:val="true"/>
        </w:rPr>
        <w:t xml:space="preserve"> </w:t>
      </w:r>
      <w:r>
        <w:rPr>
          <w:rtl w:val="true"/>
        </w:rPr>
        <w:t>ובמיוחד</w:t>
      </w:r>
      <w:r>
        <w:rPr>
          <w:rtl w:val="true"/>
        </w:rPr>
        <w:t xml:space="preserve"> </w:t>
      </w:r>
      <w:r>
        <w:rPr>
          <w:rtl w:val="true"/>
        </w:rPr>
        <w:t>ביחס ל</w:t>
      </w:r>
      <w:r>
        <w:rPr>
          <w:rtl w:val="true"/>
        </w:rPr>
        <w:t>היענות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התמדה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1192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בתום תקופת האשפוז הכפוי במסלול הפלילי ניתן להעביר את החולה לאשפוז כפוי במסגרת המסלול האזרחי</w:t>
      </w:r>
      <w:r>
        <w:rPr>
          <w:rtl w:val="true"/>
        </w:rPr>
        <w:t xml:space="preserve">. </w:t>
      </w:r>
      <w:r>
        <w:rPr>
          <w:rtl w:val="true"/>
        </w:rPr>
        <w:t>אולם הובע ספק של ממש אם יש בכך כדי ליתן מענה לצרכיו הטיפוליים ולספק הגנה נאותה על הציבור מפני מסוכנותו</w:t>
      </w:r>
      <w:r>
        <w:rPr>
          <w:rtl w:val="true"/>
        </w:rPr>
        <w:t xml:space="preserve">, </w:t>
      </w:r>
      <w:r>
        <w:rPr>
          <w:rtl w:val="true"/>
        </w:rPr>
        <w:t xml:space="preserve">וזאת לנוכח פערי הסמכויות והתנאים שבין המסלול הפלילי למסלול האזרחי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1194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מבחינה זו</w:t>
      </w:r>
      <w:r>
        <w:rPr>
          <w:rtl w:val="true"/>
        </w:rPr>
        <w:t xml:space="preserve">, </w:t>
      </w:r>
      <w:r>
        <w:rPr>
          <w:rtl w:val="true"/>
        </w:rPr>
        <w:t>לצורך הגשמת מטרות האשפוז הכפוי נדרש אפוא כי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ישהה את פרק הזמן המיטבי עבור הטיפול בו</w:t>
      </w:r>
      <w:r>
        <w:rPr>
          <w:rtl w:val="true"/>
        </w:rPr>
        <w:t xml:space="preserve">, </w:t>
      </w:r>
      <w:r>
        <w:rPr>
          <w:rtl w:val="true"/>
        </w:rPr>
        <w:t>לפיכך מוטב כי משך האשפוז לא יוגבל מראש באופן ניכר אשר עלול לפגום במטרות האשפוז הכפוי</w:t>
      </w:r>
      <w:r>
        <w:rPr>
          <w:rtl w:val="true"/>
        </w:rPr>
        <w:t xml:space="preserve">. </w:t>
      </w:r>
      <w:r>
        <w:rPr>
          <w:rtl w:val="true"/>
        </w:rPr>
        <w:t>לשון אחר</w:t>
      </w:r>
      <w:r>
        <w:rPr>
          <w:rtl w:val="true"/>
        </w:rPr>
        <w:t xml:space="preserve">: </w:t>
      </w:r>
      <w:r>
        <w:rPr>
          <w:rtl w:val="true"/>
        </w:rPr>
        <w:t>עולה חשש כי יישום מופרז של החריג</w:t>
      </w:r>
      <w:r>
        <w:rPr>
          <w:rtl w:val="true"/>
        </w:rPr>
        <w:t xml:space="preserve">, </w:t>
      </w:r>
      <w:r>
        <w:rPr>
          <w:rtl w:val="true"/>
        </w:rPr>
        <w:t>יוביל לכך שהנאשם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ישוחרר מאשפוז בשל פקיעת צו האשפוז</w:t>
      </w:r>
      <w:r>
        <w:rPr>
          <w:rtl w:val="true"/>
        </w:rPr>
        <w:t xml:space="preserve">, </w:t>
      </w:r>
      <w:r>
        <w:rPr>
          <w:rtl w:val="true"/>
        </w:rPr>
        <w:t>מקום בו צרכיו הטיפוליים טרם נענו והוועדה הפסיכיאטרי</w:t>
      </w:r>
      <w:r>
        <w:rPr>
          <w:rtl w:val="true"/>
        </w:rPr>
        <w:t>ת</w:t>
      </w:r>
      <w:r>
        <w:rPr>
          <w:rtl w:val="true"/>
        </w:rPr>
        <w:t xml:space="preserve"> לא הייתה ממליצה על שחרורו בעיתוי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מכאן להיבט שבלב העניין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אי לכך אין חשיבות לעונש הקונקרטי שיכול היה להיגזר על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קביעת כלל גורף וטכני שלפיו תקופת האשפוז המרבית תהיה כתקופת המאסר המרבית מלמדת כי אין בחקיקה קונוטציה של השוואת האשפוז לעונש</w:t>
      </w:r>
      <w:r>
        <w:rPr>
          <w:rtl w:val="true"/>
        </w:rPr>
        <w:t xml:space="preserve">, </w:t>
      </w:r>
      <w:r>
        <w:rPr>
          <w:rtl w:val="true"/>
        </w:rPr>
        <w:t>אלא הקפדה על חירות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מספר</w:t>
      </w:r>
      <w:r>
        <w:rPr>
          <w:rtl w:val="true"/>
        </w:rPr>
        <w:t xml:space="preserve">'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9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580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אף אילו בית המשפט יבקש לקצוב את משך האשפוז בהתאם לצורך הטיפולי של החולה ומסוכנותו </w:t>
      </w:r>
      <w:r>
        <w:rPr>
          <w:rtl w:val="true"/>
        </w:rPr>
        <w:t>–</w:t>
      </w:r>
      <w:r>
        <w:rPr>
          <w:rtl w:val="true"/>
        </w:rPr>
        <w:t xml:space="preserve"> אין לפניו בשלב מתן הצו בסיס עובדתי רפואי מספק לצורך 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שההליך הטיפולי מטיבו הוא הליך דינמי ומתפתח</w:t>
      </w:r>
      <w:r>
        <w:rPr>
          <w:rtl w:val="true"/>
        </w:rPr>
        <w:t xml:space="preserve">, </w:t>
      </w:r>
      <w:r>
        <w:rPr>
          <w:rtl w:val="true"/>
        </w:rPr>
        <w:t xml:space="preserve">ולא ניתן לדעת כיצד יגיב החולה לטיפול ואימתי יתייצב מצבו הנפשי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שמואל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hyperlink r:id="rId98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וולפמן וטלי שקד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מידתיות האשפוז הכפוי בצו </w:t>
        </w:r>
      </w:hyperlink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פלילי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– </w:t>
      </w:r>
      <w:r>
        <w:rPr>
          <w:rFonts w:ascii="Arial TUR;Arial" w:hAnsi="Arial TUR;Arial" w:cs="Arial TUR;Arial"/>
          <w:sz w:val="22"/>
          <w:sz w:val="22"/>
          <w:rtl w:val="true"/>
        </w:rPr>
        <w:t>הצעה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לפתרון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שיפוטי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בהיעדר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תיקון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לחוק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רפואה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ומשפט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</w:rPr>
        <w:t>48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</w:rPr>
        <w:t>46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49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2015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נדרשת </w:t>
      </w:r>
      <w:r>
        <w:rPr>
          <w:rFonts w:cs="Miriam"/>
          <w:b/>
          <w:b/>
          <w:spacing w:val="0"/>
          <w:szCs w:val="24"/>
          <w:rtl w:val="true"/>
        </w:rPr>
        <w:t>בחינה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עיתית</w:t>
      </w:r>
      <w:r>
        <w:rPr>
          <w:rtl w:val="true"/>
        </w:rPr>
        <w:t xml:space="preserve"> של מצב החולה שמוקדה בבחינה רפואית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לקצוב מראש אימתי יושלם הטיפול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28.3.2016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מכאן שגם מטעם זה מוטב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כי הוועדה הפסיכיאטרית היא זו שתקבע את משך האשפוז במהלך תקופת האשפוז ולא בית המשפט במעמד מתן הצו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משמעות הדברים היא כי שיקול הדעת המהותי הדרוש לקביעת משך האשפוז לא ננטש</w:t>
      </w:r>
      <w:r>
        <w:rPr>
          <w:rtl w:val="true"/>
        </w:rPr>
        <w:t xml:space="preserve">, </w:t>
      </w:r>
      <w:r>
        <w:rPr>
          <w:rtl w:val="true"/>
        </w:rPr>
        <w:t>אלא מרכז הכובד שלו אינו בידי בית המשפט במועד מתן הצו</w:t>
      </w:r>
      <w:r>
        <w:rPr>
          <w:rtl w:val="true"/>
        </w:rPr>
        <w:t xml:space="preserve">, </w:t>
      </w:r>
      <w:r>
        <w:rPr>
          <w:rtl w:val="true"/>
        </w:rPr>
        <w:t>אלא בידי הוועדה הפסיכיאטרית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תיקון 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נקבעו אמות המידה אשר לפיהן תבחן הוועדה הפסיכיאטרית את שחרור החולה</w:t>
      </w:r>
      <w:r>
        <w:rPr>
          <w:rtl w:val="true"/>
        </w:rPr>
        <w:t xml:space="preserve">, </w:t>
      </w:r>
      <w:r>
        <w:rPr>
          <w:rtl w:val="true"/>
        </w:rPr>
        <w:t>באופן שהן משקפות את התכליות והמטרות של האשפוז הכפוי בשים לב למשך האשפוז ונסיבות ביצוע העבירה בשלה ניתן צו האשפוז</w:t>
      </w:r>
      <w:r>
        <w:rPr>
          <w:rtl w:val="true"/>
        </w:rPr>
        <w:t xml:space="preserve">. </w:t>
      </w:r>
      <w:r>
        <w:rPr>
          <w:rtl w:val="true"/>
        </w:rPr>
        <w:t>פעם נוספת יצוין</w:t>
      </w:r>
      <w:r>
        <w:rPr>
          <w:rtl w:val="true"/>
        </w:rPr>
        <w:t xml:space="preserve">, </w:t>
      </w:r>
      <w:r>
        <w:rPr>
          <w:rtl w:val="true"/>
        </w:rPr>
        <w:t>כי על החלטת הוועדה ישנה זכות ערעור לבית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בכך משתכלל שיקול הדעת המסור לגופים אלו כאשר השופט בוחן את זכותו של החולה לחירות לצד היכרותו עם מצבו הטיפולי של החולה ומידת מסוכנותו לציבור בשלב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64836-01-19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הפסיכיאטרית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מזרע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8-7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6.2.2019</w:t>
      </w:r>
      <w:r>
        <w:rPr>
          <w:rtl w:val="true"/>
        </w:rPr>
        <w:t xml:space="preserve">)).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שיקול הדעת לעניין משך האשפוז נמסר לגופים המתאימים לצורך החלטה מיטבית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אילו בית המשפט יפעיל שיקול דעת מהותי ויקבע במועד מתן צו האשפוז את תקופת האשפוז המרבית כתקופה הקצרה מתקופת המאסר המרבית</w:t>
      </w:r>
      <w:r>
        <w:rPr>
          <w:rtl w:val="true"/>
        </w:rPr>
        <w:t xml:space="preserve">, </w:t>
      </w:r>
      <w:r>
        <w:rPr>
          <w:rtl w:val="true"/>
        </w:rPr>
        <w:t>עלולה להתקבל תוצאה הפוכה של פגיעה נוספת בחירותו של החולה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שגם במקרה שבו הצורך הטיפולי הושלם</w:t>
      </w:r>
      <w:r>
        <w:rPr>
          <w:rtl w:val="true"/>
        </w:rPr>
        <w:t xml:space="preserve">, </w:t>
      </w:r>
      <w:r>
        <w:rPr>
          <w:rtl w:val="true"/>
        </w:rPr>
        <w:t>עלולה הוועדה הפסיכיאטרי</w:t>
      </w:r>
      <w:r>
        <w:rPr>
          <w:rtl w:val="true"/>
        </w:rPr>
        <w:t>ת</w:t>
      </w:r>
      <w:r>
        <w:rPr>
          <w:rtl w:val="true"/>
        </w:rPr>
        <w:t xml:space="preserve"> לנטות שלא לשחרר את החולה בהסתמך על כך שמשך האשפוז אשר נקבע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לאחר שהפעיל שיקול דעת מהותי</w:t>
      </w:r>
      <w:r>
        <w:rPr>
          <w:rtl w:val="true"/>
        </w:rPr>
        <w:t xml:space="preserve">, </w:t>
      </w:r>
      <w:r>
        <w:rPr>
          <w:rtl w:val="true"/>
        </w:rPr>
        <w:t xml:space="preserve">הוא פרק זמן של </w:t>
      </w:r>
      <w:r>
        <w:rPr>
          <w:rtl w:val="true"/>
        </w:rPr>
        <w:t>"</w:t>
      </w:r>
      <w:r>
        <w:rPr>
          <w:rtl w:val="true"/>
        </w:rPr>
        <w:t>אשפוז ראוי</w:t>
      </w:r>
      <w:r>
        <w:rPr>
          <w:rtl w:val="true"/>
        </w:rPr>
        <w:t xml:space="preserve">" </w:t>
      </w:r>
      <w:r>
        <w:rPr>
          <w:rtl w:val="true"/>
        </w:rPr>
        <w:t xml:space="preserve">בעניינו של החולה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 </w:t>
      </w:r>
      <w:r>
        <w:rPr>
          <w:rFonts w:cs="Century" w:ascii="Century" w:hAnsi="Century"/>
          <w:sz w:val="22"/>
        </w:rPr>
        <w:t>1191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מן המקובץ עולה כי הפרשנות הנכונה היא כי ברוב</w:t>
      </w:r>
      <w:r>
        <w:rPr>
          <w:rtl w:val="true"/>
        </w:rPr>
        <w:t>-</w:t>
      </w:r>
      <w:r>
        <w:rPr>
          <w:rtl w:val="true"/>
        </w:rPr>
        <w:t>רובם של המקרים יחול הכלל שלפיו בית המשפט יקבע באופן גורף וטכני את תקופת האשפוז המרבית כתקופת המאסר המרבית</w:t>
      </w:r>
      <w:r>
        <w:rPr>
          <w:rtl w:val="true"/>
        </w:rPr>
        <w:t xml:space="preserve">, </w:t>
      </w:r>
      <w:r>
        <w:rPr>
          <w:rtl w:val="true"/>
        </w:rPr>
        <w:t>ורק במיעוטם הנדיר של המקרים יחול החריג המאפשר לקבוע תקופת אשפוז מרבית קצרה מכך</w:t>
      </w:r>
      <w:r>
        <w:rPr>
          <w:rtl w:val="true"/>
        </w:rPr>
        <w:t xml:space="preserve">. </w:t>
      </w:r>
      <w:r>
        <w:rPr>
          <w:rtl w:val="true"/>
        </w:rPr>
        <w:t>כך עולה מלשון החוק</w:t>
      </w:r>
      <w:r>
        <w:rPr>
          <w:rtl w:val="true"/>
        </w:rPr>
        <w:t xml:space="preserve">, </w:t>
      </w:r>
      <w:r>
        <w:rPr>
          <w:rtl w:val="true"/>
        </w:rPr>
        <w:t>רצון המחוקק ותכלית החוק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שיירשמו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רקע הפרשנות ליחס שבין הכלל לחריג</w:t>
      </w:r>
      <w:r>
        <w:rPr>
          <w:rtl w:val="true"/>
        </w:rPr>
        <w:t xml:space="preserve">, </w:t>
      </w:r>
      <w:r>
        <w:rPr>
          <w:rtl w:val="true"/>
        </w:rPr>
        <w:t xml:space="preserve">יש לדקדק בפרשנות התיבה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 חלוקים אפוא בשני היבטים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אופי </w:t>
      </w:r>
      <w:r>
        <w:rPr>
          <w:rtl w:val="true"/>
        </w:rPr>
        <w:t>"</w:t>
      </w:r>
      <w:r>
        <w:rPr>
          <w:rtl w:val="true"/>
        </w:rPr>
        <w:t>מעשה העבירה</w:t>
      </w:r>
      <w:r>
        <w:rPr>
          <w:rtl w:val="true"/>
        </w:rPr>
        <w:t xml:space="preserve">", </w:t>
      </w:r>
      <w:r>
        <w:rPr>
          <w:rtl w:val="true"/>
        </w:rPr>
        <w:t xml:space="preserve">אם הסעיף חל ביחס לכל עבירה </w:t>
      </w:r>
      <w:r>
        <w:rPr>
          <w:rtl w:val="true"/>
        </w:rPr>
        <w:t>–</w:t>
      </w:r>
      <w:r>
        <w:rPr>
          <w:rtl w:val="true"/>
        </w:rPr>
        <w:t xml:space="preserve"> חמורה כקלה</w:t>
      </w:r>
      <w:r>
        <w:rPr>
          <w:rtl w:val="true"/>
        </w:rPr>
        <w:t xml:space="preserve">, </w:t>
      </w:r>
      <w:r>
        <w:rPr>
          <w:rtl w:val="true"/>
        </w:rPr>
        <w:t>או שמא מתייחס הוא רק ל</w:t>
      </w:r>
      <w:r>
        <w:rPr>
          <w:rtl w:val="true"/>
        </w:rPr>
        <w:t>"</w:t>
      </w:r>
      <w:r>
        <w:rPr>
          <w:rtl w:val="true"/>
        </w:rPr>
        <w:t>מעשים קלים</w:t>
      </w:r>
      <w:r>
        <w:rPr>
          <w:rtl w:val="true"/>
        </w:rPr>
        <w:t xml:space="preserve">" </w:t>
      </w:r>
      <w:r>
        <w:rPr>
          <w:rtl w:val="true"/>
        </w:rPr>
        <w:t>וודאי שלא למעשי ניסיון לרצח או רצח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סוג הנסיבות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 xml:space="preserve">אם הסעיף מתייחס לנסיבות שהן חלק ממעשה העבירה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tl w:val="true"/>
        </w:rPr>
        <w:t xml:space="preserve"> או שמא אף לנסיבות 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במסגרתן</w:t>
      </w:r>
      <w:r>
        <w:rPr>
          <w:rtl w:val="true"/>
        </w:rPr>
        <w:t xml:space="preserve"> בוצע מעשה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לאופי מעשה העבירה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החריג הוסף בעקבות ביקורת של חברי ועדת העבודה</w:t>
      </w:r>
      <w:r>
        <w:rPr>
          <w:rtl w:val="true"/>
        </w:rPr>
        <w:t xml:space="preserve">, </w:t>
      </w:r>
      <w:r>
        <w:rPr>
          <w:rtl w:val="true"/>
        </w:rPr>
        <w:t>הרווחה והבריאות על היותו של הכלל גורף ונטול שיקול דעת לבית המשפט בעת מתן הצו</w:t>
      </w:r>
      <w:r>
        <w:rPr>
          <w:rtl w:val="true"/>
        </w:rPr>
        <w:t xml:space="preserve">. </w:t>
      </w:r>
      <w:r>
        <w:rPr>
          <w:rtl w:val="true"/>
        </w:rPr>
        <w:t>להמחשת הצורך בחריג</w:t>
      </w:r>
      <w:r>
        <w:rPr>
          <w:rtl w:val="true"/>
        </w:rPr>
        <w:t xml:space="preserve">, </w:t>
      </w:r>
      <w:r>
        <w:rPr>
          <w:rtl w:val="true"/>
        </w:rPr>
        <w:t>שבו וציינו חברי הוועדה דוגמאות ל</w:t>
      </w:r>
      <w:r>
        <w:rPr>
          <w:rtl w:val="true"/>
        </w:rPr>
        <w:t>"</w:t>
      </w:r>
      <w:r>
        <w:rPr>
          <w:rtl w:val="true"/>
        </w:rPr>
        <w:t>מעשים קלים</w:t>
      </w:r>
      <w:r>
        <w:rPr>
          <w:rtl w:val="true"/>
        </w:rPr>
        <w:t xml:space="preserve">" </w:t>
      </w:r>
      <w:r>
        <w:rPr>
          <w:rtl w:val="true"/>
        </w:rPr>
        <w:t>אשר ראוי כי עבורם בית המשפט יקבע תקופת אשפוז מרבית הקצרה מתקופת המאסר המרבית</w:t>
      </w:r>
      <w:r>
        <w:rPr>
          <w:rtl w:val="true"/>
        </w:rPr>
        <w:t xml:space="preserve">. </w:t>
      </w:r>
      <w:r>
        <w:rPr>
          <w:rtl w:val="true"/>
        </w:rPr>
        <w:t>כך למשל בדברי נציגת הסנגוריה הציבורית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bookmarkStart w:id="27" w:name="_ETM_Q1_1091142"/>
      <w:bookmarkEnd w:id="27"/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? </w:t>
      </w:r>
      <w:r>
        <w:rPr>
          <w:rtl w:val="true"/>
        </w:rPr>
        <w:t>אחזקת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אחזקת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bookmarkStart w:id="28" w:name="_ETM_Q1_1100605"/>
      <w:bookmarkEnd w:id="28"/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bookmarkStart w:id="29" w:name="_ETM_Q1_1106136"/>
      <w:bookmarkEnd w:id="29"/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bookmarkStart w:id="30" w:name="_ETM_Q1_1111716"/>
      <w:bookmarkEnd w:id="30"/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פרוטוקול ישיבה </w:t>
      </w:r>
      <w:r>
        <w:rPr>
          <w:rFonts w:cs="Century" w:ascii="Century" w:hAnsi="Century"/>
        </w:rPr>
        <w:t>238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ועדת 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הרווחה והבריאות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24.5.2016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לשון החריג שהתווספה לחוק אינה מבחינה בין עבירה קלה לעבירה חמורה</w:t>
      </w:r>
      <w:r>
        <w:rPr>
          <w:rtl w:val="true"/>
        </w:rPr>
        <w:t xml:space="preserve">, </w:t>
      </w:r>
      <w:r>
        <w:rPr>
          <w:rtl w:val="true"/>
        </w:rPr>
        <w:t>כך שתחולת החריג שלפיו ניתן לקבוע תקופת אשפוז מרבית הקצרה מתקופת המאסר המרבית תקפה ביחס לכל עבירה שהיא</w:t>
      </w:r>
      <w:r>
        <w:rPr>
          <w:rtl w:val="true"/>
        </w:rPr>
        <w:t xml:space="preserve">. </w:t>
      </w:r>
      <w:r>
        <w:rPr>
          <w:rtl w:val="true"/>
        </w:rPr>
        <w:t>כך גם הובהר בדיוני ועדת העבודה</w:t>
      </w:r>
      <w:r>
        <w:rPr>
          <w:rtl w:val="true"/>
        </w:rPr>
        <w:t xml:space="preserve">, </w:t>
      </w:r>
      <w:r>
        <w:rPr>
          <w:rtl w:val="true"/>
        </w:rPr>
        <w:t>הרווחה והבריאות כאשר סוכם לבסוף להוסיף את החריג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יצטרך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לרשום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262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והבריאות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(</w:t>
      </w:r>
      <w:r>
        <w:rPr/>
        <w:t>13.6.2016</w:t>
      </w:r>
      <w:r>
        <w:rPr>
          <w:rtl w:val="true"/>
        </w:rPr>
        <w:t>))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על 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פשט לשון החריג וכוונת המחוקק הם כי החריג עשוי לחול ביחס לכל עבירה שהיא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יובהר כי איני מוצא לאמץ את עמדת המערערת שלפיה באופן קטגורי 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אשר הואשם בביצוע ניסיון לרצח או רצח</w:t>
      </w:r>
      <w:r>
        <w:rPr>
          <w:rtl w:val="true"/>
        </w:rPr>
        <w:t xml:space="preserve">, </w:t>
      </w:r>
      <w:r>
        <w:rPr>
          <w:rtl w:val="true"/>
        </w:rPr>
        <w:t>לא יוכל לבוא בשערי החריג</w:t>
      </w:r>
      <w:r>
        <w:rPr>
          <w:rtl w:val="true"/>
        </w:rPr>
        <w:t xml:space="preserve">. </w:t>
      </w:r>
      <w:r>
        <w:rPr>
          <w:rtl w:val="true"/>
        </w:rPr>
        <w:t>לא ניתן לשלול כי בנסיבות מתאימות וחריגות</w:t>
      </w:r>
      <w:r>
        <w:rPr>
          <w:rtl w:val="true"/>
        </w:rPr>
        <w:t xml:space="preserve">, </w:t>
      </w:r>
      <w:r>
        <w:rPr>
          <w:rtl w:val="true"/>
        </w:rPr>
        <w:t>אף במקרה זה ישוכנע בית המשפט כי התקיימו הנסיבות המקלות בהן בוצעה העבירה אשר מצדיקים קביעת תקופת אשפוז מרבית קצרה מתקופת המאסר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לבחינת סוג הנסיבות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 שלפנינו</w:t>
      </w:r>
      <w:r>
        <w:rPr>
          <w:rtl w:val="true"/>
        </w:rPr>
        <w:t xml:space="preserve">, </w:t>
      </w:r>
      <w:r>
        <w:rPr>
          <w:rtl w:val="true"/>
        </w:rPr>
        <w:t>ובהשלמת טיעון שהוגשה בכתב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ביקשו הצדדים ללמוד על פרשנות סוג הנסיבות באמצעות היקש מקביעות בית משפט זה לעניין </w:t>
      </w:r>
      <w:r>
        <w:rPr>
          <w:rtl w:val="true"/>
        </w:rPr>
        <w:t>'</w:t>
      </w:r>
      <w:r>
        <w:rPr>
          <w:rtl w:val="true"/>
        </w:rPr>
        <w:t>פתח המילוט</w:t>
      </w:r>
      <w:r>
        <w:rPr>
          <w:rtl w:val="true"/>
        </w:rPr>
        <w:t xml:space="preserve">' </w:t>
      </w:r>
      <w:r>
        <w:rPr>
          <w:rtl w:val="true"/>
        </w:rPr>
        <w:t xml:space="preserve">הקבוע </w:t>
      </w:r>
      <w:hyperlink r:id="rId10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בתמצית יצוין כי לפי סעיף זה</w:t>
      </w:r>
      <w:r>
        <w:rPr>
          <w:rtl w:val="true"/>
        </w:rPr>
        <w:t xml:space="preserve">, </w:t>
      </w:r>
      <w:r>
        <w:rPr>
          <w:rtl w:val="true"/>
        </w:rPr>
        <w:t>מדובר במקרה שעל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נאשם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שחומרתה</w:t>
      </w:r>
      <w:r>
        <w:rPr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 –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הבסיסית</w:t>
      </w:r>
      <w:r>
        <w:rPr>
          <w:rtl w:val="true"/>
        </w:rPr>
        <w:t xml:space="preserve">', </w:t>
      </w:r>
      <w:r>
        <w:rPr>
          <w:rtl w:val="true"/>
        </w:rPr>
        <w:t xml:space="preserve">וזאת בהתקיים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tl w:val="true"/>
        </w:rPr>
        <w:t xml:space="preserve"> נקבע כי הנסיבות המיוחדות בהן ניתן להתחשב הן נסיבות המתקיימות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מנסיבות אישיות של העושה אשר אין ביכולתן לקיים את הוראות </w:t>
      </w:r>
      <w:r>
        <w:rPr>
          <w:rtl w:val="true"/>
        </w:rPr>
        <w:t>'</w:t>
      </w:r>
      <w:r>
        <w:rPr>
          <w:rtl w:val="true"/>
        </w:rPr>
        <w:t>פתח המילוט</w:t>
      </w:r>
      <w:r>
        <w:rPr>
          <w:rtl w:val="true"/>
        </w:rPr>
        <w:t>' (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1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בהיקש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ובזהירות המתבקשת מאחר שתכליות סעיף </w:t>
      </w:r>
      <w:r>
        <w:rPr>
          <w:rtl w:val="true"/>
        </w:rPr>
        <w:t>'</w:t>
      </w:r>
      <w:r>
        <w:rPr>
          <w:rtl w:val="true"/>
        </w:rPr>
        <w:t>פתח המילוט</w:t>
      </w:r>
      <w:r>
        <w:rPr>
          <w:rtl w:val="true"/>
        </w:rPr>
        <w:t xml:space="preserve">' </w:t>
      </w:r>
      <w:r>
        <w:rPr>
          <w:rtl w:val="true"/>
        </w:rPr>
        <w:t>והאשפוז הכפוי שונות במהותן</w:t>
      </w:r>
      <w:r>
        <w:rPr>
          <w:rtl w:val="true"/>
        </w:rPr>
        <w:t xml:space="preserve">, </w:t>
      </w:r>
      <w:r>
        <w:rPr>
          <w:rtl w:val="true"/>
        </w:rPr>
        <w:t xml:space="preserve">מקובל עליי כי סוג הנסיבות אשר נכללות בגדרי החריג בענייננו 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הכרוכות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10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33060-04-22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 xml:space="preserve">המחוקק ביקש ליצור </w:t>
      </w:r>
      <w:r>
        <w:rPr>
          <w:rtl w:val="true"/>
        </w:rPr>
        <w:t>'</w:t>
      </w:r>
      <w:r>
        <w:rPr>
          <w:rtl w:val="true"/>
        </w:rPr>
        <w:t>קורלציה</w:t>
      </w:r>
      <w:r>
        <w:rPr>
          <w:rtl w:val="true"/>
        </w:rPr>
        <w:t xml:space="preserve">' </w:t>
      </w:r>
      <w:r>
        <w:rPr>
          <w:rtl w:val="true"/>
        </w:rPr>
        <w:t>בין תקופת האשפוז הכפוי לבין חומרתו של המעשה הפלילי שבוצע על</w:t>
      </w:r>
      <w:r>
        <w:rPr>
          <w:rtl w:val="true"/>
        </w:rPr>
        <w:t>-</w:t>
      </w:r>
      <w:r>
        <w:rPr>
          <w:rtl w:val="true"/>
        </w:rPr>
        <w:t>ידי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r>
        <w:rPr>
          <w:rtl w:val="true"/>
        </w:rPr>
        <w:t>לא ניתן להתחשב בשיקולים של עבר פלילי</w:t>
      </w:r>
      <w:r>
        <w:rPr>
          <w:rtl w:val="true"/>
        </w:rPr>
        <w:t xml:space="preserve">, </w:t>
      </w:r>
      <w:r>
        <w:rPr>
          <w:rtl w:val="true"/>
        </w:rPr>
        <w:t>נסיבות חיים אישיות ואף לא בנטילת אחריות על המעשים או הבעת חרטה על ביצועם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אשפוז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מקום להתחשב בשיקולים של גמול</w:t>
      </w:r>
      <w:r>
        <w:rPr>
          <w:rtl w:val="true"/>
        </w:rPr>
        <w:t xml:space="preserve">, </w:t>
      </w:r>
      <w:r>
        <w:rPr>
          <w:rtl w:val="true"/>
        </w:rPr>
        <w:t>אחריות ומידת אשמה ביחס למעשה אשר יוחס לנאשם</w:t>
      </w:r>
      <w:r>
        <w:rPr>
          <w:rtl w:val="true"/>
        </w:rPr>
        <w:t>-</w:t>
      </w:r>
      <w:r>
        <w:rPr>
          <w:rtl w:val="true"/>
        </w:rPr>
        <w:t>חולה נפש</w:t>
      </w:r>
      <w:r>
        <w:rPr>
          <w:rtl w:val="true"/>
        </w:rPr>
        <w:t xml:space="preserve">. </w:t>
      </w:r>
      <w:r>
        <w:rPr>
          <w:rtl w:val="true"/>
        </w:rPr>
        <w:t>משנקבע כי חולה הנפש לא היה בר</w:t>
      </w:r>
      <w:r>
        <w:rPr>
          <w:rtl w:val="true"/>
        </w:rPr>
        <w:t>-</w:t>
      </w:r>
      <w:r>
        <w:rPr>
          <w:rtl w:val="true"/>
        </w:rPr>
        <w:t>עונשין בעת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אזי הוא אינו נושא באחריות </w:t>
      </w:r>
      <w:r>
        <w:rPr>
          <w:rFonts w:ascii="Century" w:hAnsi="Century" w:cs="Century"/>
          <w:sz w:val="22"/>
          <w:sz w:val="22"/>
          <w:rtl w:val="true"/>
        </w:rPr>
        <w:t>פלילית</w:t>
      </w:r>
      <w:r>
        <w:rPr>
          <w:rtl w:val="true"/>
        </w:rPr>
        <w:t xml:space="preserve"> למעשיו וכך גם לא ראוי כי ידבק בו כתם מוסרי בגין מעשים אלו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וחנון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ביסוד סייג זה</w:t>
      </w:r>
      <w:r>
        <w:rPr>
          <w:rtl w:val="true"/>
        </w:rPr>
        <w:t xml:space="preserve">, </w:t>
      </w:r>
      <w:r>
        <w:rPr>
          <w:rtl w:val="true"/>
        </w:rPr>
        <w:t xml:space="preserve">ניצב הרצון להימנע </w:t>
      </w:r>
      <w:r>
        <w:rPr>
          <w:rtl w:val="true"/>
        </w:rPr>
        <w:t>מלהכתים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להעניש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נטול</w:t>
      </w:r>
      <w:r>
        <w:rPr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 xml:space="preserve">שאם לא כן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כהענשה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טירופו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tl w:val="true"/>
        </w:rPr>
        <w:t>" (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118/53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מנדלברוט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/>
        <w:t>281</w:t>
      </w:r>
      <w:r>
        <w:rPr>
          <w:rtl w:val="true"/>
        </w:rPr>
        <w:t xml:space="preserve">, </w:t>
      </w:r>
      <w:r>
        <w:rPr/>
        <w:t>311</w:t>
      </w:r>
      <w:r>
        <w:rPr>
          <w:rtl w:val="true"/>
        </w:rPr>
        <w:t xml:space="preserve"> (</w:t>
      </w:r>
      <w:r>
        <w:rPr/>
        <w:t>1956</w:t>
      </w:r>
      <w:r>
        <w:rPr>
          <w:rtl w:val="true"/>
        </w:rPr>
        <w:t xml:space="preserve">); </w:t>
      </w:r>
      <w:r>
        <w:rPr>
          <w:rtl w:val="true"/>
        </w:rPr>
        <w:t>כן ראו</w:t>
      </w:r>
      <w:r>
        <w:rPr>
          <w:rtl w:val="true"/>
        </w:rPr>
        <w:t xml:space="preserve">, </w:t>
      </w:r>
      <w:r>
        <w:rPr>
          <w:rtl w:val="true"/>
        </w:rPr>
        <w:t>יעקב</w:t>
      </w:r>
      <w:r>
        <w:rPr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בזק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ופסיכיאטריה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אחריותו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הלקוי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בנפשו</w:t>
      </w:r>
      <w:r>
        <w:rPr>
          <w:rtl w:val="true"/>
        </w:rPr>
        <w:t xml:space="preserve"> </w:t>
      </w:r>
      <w:r>
        <w:rPr/>
        <w:t>22-18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וחנון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9-7</w:t>
      </w:r>
      <w:r>
        <w:rPr>
          <w:rtl w:val="true"/>
        </w:rPr>
        <w:t xml:space="preserve">; </w:t>
      </w:r>
      <w:hyperlink r:id="rId10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2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המסקנה המתבקשת ביחס לפרשנות התיבה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>היא כי אין לפרש מילים אלו כמתייחסות למידת האשם של הנאשם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יימצא כי במקום הקביעה ה</w:t>
      </w:r>
      <w:r>
        <w:rPr>
          <w:rtl w:val="true"/>
        </w:rPr>
        <w:t>"</w:t>
      </w:r>
      <w:r>
        <w:rPr>
          <w:rtl w:val="true"/>
        </w:rPr>
        <w:t>קשיחה</w:t>
      </w:r>
      <w:r>
        <w:rPr>
          <w:rtl w:val="true"/>
        </w:rPr>
        <w:t xml:space="preserve">" </w:t>
      </w:r>
      <w:r>
        <w:rPr>
          <w:rtl w:val="true"/>
        </w:rPr>
        <w:t xml:space="preserve">שקבע המחוקק </w:t>
      </w:r>
      <w:r>
        <w:rPr>
          <w:rtl w:val="true"/>
        </w:rPr>
        <w:t>–</w:t>
      </w:r>
      <w:r>
        <w:rPr>
          <w:rtl w:val="true"/>
        </w:rPr>
        <w:t xml:space="preserve"> בדיוק על מנת להימנע ממעמד טיעונים לעונש ומדיון המתבסס על שיקולי ענישה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יערוך מעין </w:t>
      </w:r>
      <w:r>
        <w:rPr>
          <w:rtl w:val="true"/>
        </w:rPr>
        <w:t>"</w:t>
      </w:r>
      <w:r>
        <w:rPr>
          <w:rtl w:val="true"/>
        </w:rPr>
        <w:t>משפט פלילי</w:t>
      </w:r>
      <w:r>
        <w:rPr>
          <w:rtl w:val="true"/>
        </w:rPr>
        <w:t xml:space="preserve">" </w:t>
      </w:r>
      <w:r>
        <w:rPr>
          <w:rtl w:val="true"/>
        </w:rPr>
        <w:t>ויכריע האם ישנן נסיבות מקילות במיוחד בהתחשב בשיקולי 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באילו מקרים אכן יהיה מדובר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"?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הפרשנות המתיישבת עם לשון החוק</w:t>
      </w:r>
      <w:r>
        <w:rPr>
          <w:rtl w:val="true"/>
        </w:rPr>
        <w:t xml:space="preserve">, </w:t>
      </w:r>
      <w:r>
        <w:rPr>
          <w:rtl w:val="true"/>
        </w:rPr>
        <w:t>תכליתו וכוונת המחוקק היא שתחולת החריג מיועדת למקרים נדירים</w:t>
      </w:r>
      <w:r>
        <w:rPr>
          <w:rtl w:val="true"/>
        </w:rPr>
        <w:t xml:space="preserve">, </w:t>
      </w:r>
      <w:r>
        <w:rPr>
          <w:rtl w:val="true"/>
        </w:rPr>
        <w:t>אשר למן הרגע הראשון ניכר כי חומרתו של מעשה העבירה אינה מצדיקה אשפוז כאורך תקופת המאסר המרבית</w:t>
      </w:r>
      <w:r>
        <w:rPr>
          <w:rtl w:val="true"/>
        </w:rPr>
        <w:t xml:space="preserve">. </w:t>
      </w:r>
      <w:r>
        <w:rPr>
          <w:rtl w:val="true"/>
        </w:rPr>
        <w:t>אותם מקרים</w:t>
      </w:r>
      <w:r>
        <w:rPr>
          <w:rtl w:val="true"/>
        </w:rPr>
        <w:t xml:space="preserve">, </w:t>
      </w:r>
      <w:r>
        <w:rPr>
          <w:rtl w:val="true"/>
        </w:rPr>
        <w:t xml:space="preserve">שבהם כאשר נבחן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אין כל פרופורציה סבירה בינו לבין תקופת האשפוז המרבית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במישור המעשי</w:t>
      </w:r>
      <w:r>
        <w:rPr>
          <w:rtl w:val="true"/>
        </w:rPr>
        <w:t xml:space="preserve">, </w:t>
      </w:r>
      <w:r>
        <w:rPr>
          <w:rtl w:val="true"/>
        </w:rPr>
        <w:t>קשה לחשוב על מקרה שבו בעבירה כגון רצח או ניסיון רצח קושי זה עלול להתעורר</w:t>
      </w:r>
      <w:r>
        <w:rPr>
          <w:rtl w:val="true"/>
        </w:rPr>
        <w:t xml:space="preserve">, </w:t>
      </w:r>
      <w:r>
        <w:rPr>
          <w:rtl w:val="true"/>
        </w:rPr>
        <w:t>אולם אין לשלול כל אפשרות כי כך יהיה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שאלה נגזרת היא מהן גבולות ה</w:t>
      </w:r>
      <w:r>
        <w:rPr>
          <w:rtl w:val="true"/>
        </w:rPr>
        <w:t>'</w:t>
      </w:r>
      <w:r>
        <w:rPr>
          <w:rtl w:val="true"/>
        </w:rPr>
        <w:t>מעשה</w:t>
      </w:r>
      <w:r>
        <w:rPr>
          <w:rtl w:val="true"/>
        </w:rPr>
        <w:t xml:space="preserve">'. </w:t>
      </w:r>
      <w:r>
        <w:rPr>
          <w:rtl w:val="true"/>
        </w:rPr>
        <w:t>ביחס לסוגיה זו</w:t>
      </w:r>
      <w:r>
        <w:rPr>
          <w:rtl w:val="true"/>
        </w:rPr>
        <w:t xml:space="preserve">, </w:t>
      </w:r>
      <w:r>
        <w:rPr>
          <w:rtl w:val="true"/>
        </w:rPr>
        <w:t>איני סבור כי ניתן להציב קו גבול חד וברור</w:t>
      </w:r>
      <w:r>
        <w:rPr>
          <w:rtl w:val="true"/>
        </w:rPr>
        <w:t xml:space="preserve">, </w:t>
      </w:r>
      <w:r>
        <w:rPr>
          <w:rtl w:val="true"/>
        </w:rPr>
        <w:t>אלא יש להכריע בכל מקרה ומקרה בהתאם לנסיבותיו ומאפייניו הייחודיים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להבהיר </w:t>
      </w:r>
      <w:r>
        <w:rPr>
          <w:rtl w:val="true"/>
        </w:rPr>
        <w:t>–</w:t>
      </w:r>
      <w:r>
        <w:rPr>
          <w:rtl w:val="true"/>
        </w:rPr>
        <w:t xml:space="preserve"> כי בין כה וכה אין מקום להחדיר לתוך בחינת נסיבות ה</w:t>
      </w:r>
      <w:r>
        <w:rPr>
          <w:rtl w:val="true"/>
        </w:rPr>
        <w:t>'</w:t>
      </w:r>
      <w:r>
        <w:rPr>
          <w:rtl w:val="true"/>
        </w:rPr>
        <w:t>מעשה</w:t>
      </w:r>
      <w:r>
        <w:rPr>
          <w:rtl w:val="true"/>
        </w:rPr>
        <w:t xml:space="preserve">' </w:t>
      </w:r>
      <w:r>
        <w:rPr>
          <w:rtl w:val="true"/>
        </w:rPr>
        <w:t>התחשבות בשיקולי אחריות ואשם</w:t>
      </w:r>
      <w:r>
        <w:rPr>
          <w:rtl w:val="true"/>
        </w:rPr>
        <w:t xml:space="preserve">, </w:t>
      </w:r>
      <w:r>
        <w:rPr>
          <w:rtl w:val="true"/>
        </w:rPr>
        <w:t>כפי שנקבע 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צורך להידרש ולהכריע בשאלה זו בפירוט</w:t>
      </w:r>
      <w:r>
        <w:rPr>
          <w:rtl w:val="true"/>
        </w:rPr>
        <w:t xml:space="preserve">, </w:t>
      </w:r>
      <w:r>
        <w:rPr>
          <w:rtl w:val="true"/>
        </w:rPr>
        <w:t xml:space="preserve">מאחר שהטעם להתערבות בהחלטת בית משפט המחוזי הוא כי ניתן בה משקל רב </w:t>
      </w:r>
      <w:r>
        <w:rPr>
          <w:rtl w:val="true"/>
        </w:rPr>
        <w:t>–</w:t>
      </w:r>
      <w:r>
        <w:rPr>
          <w:rtl w:val="true"/>
        </w:rPr>
        <w:t xml:space="preserve"> שלא כנדרש </w:t>
      </w:r>
      <w:r>
        <w:rPr>
          <w:rtl w:val="true"/>
        </w:rPr>
        <w:t>–</w:t>
      </w:r>
      <w:r>
        <w:rPr>
          <w:rtl w:val="true"/>
        </w:rPr>
        <w:t xml:space="preserve"> לשיקולי אשם ואחריות ולנסיבותיו האישיות של המשיב</w:t>
      </w:r>
      <w:r>
        <w:rPr>
          <w:rtl w:val="true"/>
        </w:rPr>
        <w:t xml:space="preserve">. </w:t>
      </w:r>
      <w:r>
        <w:rPr>
          <w:rtl w:val="true"/>
        </w:rPr>
        <w:t>לכך אפנה כעת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עת שהחיל את החריג הקבוע </w:t>
      </w:r>
      <w:hyperlink r:id="rId10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וקבע תקופת אשפוז מרבית קצרה מאשר תקופת המאסר המרבית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למשך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בפתח הדברים</w:t>
      </w:r>
      <w:r>
        <w:rPr>
          <w:rtl w:val="true"/>
        </w:rPr>
        <w:t xml:space="preserve">, </w:t>
      </w:r>
      <w:r>
        <w:rPr>
          <w:rtl w:val="true"/>
        </w:rPr>
        <w:t>יוזכר כי נקודת המוצא היא כי קביעת תקופת אשפוז מרבית אין משמעה כי החולה ישהה בהכרח במשך מלוא התקופה באשפוז כפוי</w:t>
      </w:r>
      <w:r>
        <w:rPr>
          <w:rtl w:val="true"/>
        </w:rPr>
        <w:t xml:space="preserve">, </w:t>
      </w:r>
      <w:r>
        <w:rPr>
          <w:rtl w:val="true"/>
        </w:rPr>
        <w:t xml:space="preserve">אלא כשמה כן היא </w:t>
      </w:r>
      <w:r>
        <w:rPr>
          <w:rtl w:val="true"/>
        </w:rPr>
        <w:t>–</w:t>
      </w:r>
      <w:r>
        <w:rPr>
          <w:rtl w:val="true"/>
        </w:rPr>
        <w:t xml:space="preserve"> תקופה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tl w:val="true"/>
        </w:rPr>
        <w:t xml:space="preserve">. </w:t>
      </w:r>
      <w:r>
        <w:rPr>
          <w:rtl w:val="true"/>
        </w:rPr>
        <w:t>מעת לעת</w:t>
      </w:r>
      <w:r>
        <w:rPr>
          <w:rtl w:val="true"/>
        </w:rPr>
        <w:t xml:space="preserve">, </w:t>
      </w:r>
      <w:r>
        <w:rPr>
          <w:rtl w:val="true"/>
        </w:rPr>
        <w:t>מחויבת הוועדה הפסיכיאטרית לבחון את עניינו של החולה ולקבוע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בהתאם להתקדמות הטיפול ובשים לב למסוכנותו אם ניתן להורות על שחרורו</w:t>
      </w:r>
      <w:r>
        <w:rPr>
          <w:rtl w:val="true"/>
        </w:rPr>
        <w:t xml:space="preserve">. </w:t>
      </w:r>
      <w:r>
        <w:rPr>
          <w:rtl w:val="true"/>
        </w:rPr>
        <w:t>כך שהיה וישתפר מצבו במידה הולמת הוועדה עשויה להורות על שחרורו מאשפוז</w:t>
      </w:r>
      <w:r>
        <w:rPr>
          <w:rtl w:val="true"/>
        </w:rPr>
        <w:t xml:space="preserve">, </w:t>
      </w:r>
      <w:r>
        <w:rPr>
          <w:rtl w:val="true"/>
        </w:rPr>
        <w:t>גם מבלי ששהה באשפוז כתקופת האשפוז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מעשיו של המשיב קשים עד מאוד</w:t>
      </w:r>
      <w:r>
        <w:rPr>
          <w:rtl w:val="true"/>
        </w:rPr>
        <w:t xml:space="preserve">. </w:t>
      </w:r>
      <w:r>
        <w:rPr>
          <w:rtl w:val="true"/>
        </w:rPr>
        <w:t>עת שהה בדירה עם נפגעי העבירה</w:t>
      </w:r>
      <w:r>
        <w:rPr>
          <w:rtl w:val="true"/>
        </w:rPr>
        <w:t xml:space="preserve">, </w:t>
      </w:r>
      <w:r>
        <w:rPr>
          <w:rtl w:val="true"/>
        </w:rPr>
        <w:t>ניגש לפתע למטבח</w:t>
      </w:r>
      <w:r>
        <w:rPr>
          <w:rtl w:val="true"/>
        </w:rPr>
        <w:t xml:space="preserve">, </w:t>
      </w:r>
      <w:r>
        <w:rPr>
          <w:rtl w:val="true"/>
        </w:rPr>
        <w:t>שלף מן המגירה סכין ופתח במסע של דקירות ואלימות</w:t>
      </w:r>
      <w:r>
        <w:rPr>
          <w:rtl w:val="true"/>
        </w:rPr>
        <w:t xml:space="preserve">, </w:t>
      </w:r>
      <w:r>
        <w:rPr>
          <w:rtl w:val="true"/>
        </w:rPr>
        <w:t>בעוד נפגעי העבירה מתחננים שיחדל ממעשיו</w:t>
      </w:r>
      <w:r>
        <w:rPr>
          <w:rtl w:val="true"/>
        </w:rPr>
        <w:t xml:space="preserve">. </w:t>
      </w:r>
      <w:r>
        <w:rPr>
          <w:rtl w:val="true"/>
        </w:rPr>
        <w:t>אולם המשיב</w:t>
      </w:r>
      <w:r>
        <w:rPr>
          <w:rtl w:val="true"/>
        </w:rPr>
        <w:t xml:space="preserve">, </w:t>
      </w:r>
      <w:r>
        <w:rPr>
          <w:rtl w:val="true"/>
        </w:rPr>
        <w:t>אשר היה נתון במצב פסיכוטי חריף באותה העת</w:t>
      </w:r>
      <w:r>
        <w:rPr>
          <w:rtl w:val="true"/>
        </w:rPr>
        <w:t xml:space="preserve">, </w:t>
      </w:r>
      <w:r>
        <w:rPr>
          <w:rtl w:val="true"/>
        </w:rPr>
        <w:t>התהלך בבית כשהסכין מונפת בידו</w:t>
      </w:r>
      <w:r>
        <w:rPr>
          <w:rtl w:val="true"/>
        </w:rPr>
        <w:t xml:space="preserve">, </w:t>
      </w:r>
      <w:r>
        <w:rPr>
          <w:rtl w:val="true"/>
        </w:rPr>
        <w:t>דקר ופצע את נפגעי העבירה תוך שניסו למלט את נפשם מפניו</w:t>
      </w:r>
      <w:r>
        <w:rPr>
          <w:rtl w:val="true"/>
        </w:rPr>
        <w:t xml:space="preserve">, </w:t>
      </w:r>
      <w:r>
        <w:rPr>
          <w:rtl w:val="true"/>
        </w:rPr>
        <w:t>ללא הועיל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המשיב חתך את פני נפגע העבירה</w:t>
      </w:r>
      <w:r>
        <w:rPr>
          <w:rtl w:val="true"/>
        </w:rPr>
        <w:t xml:space="preserve">; </w:t>
      </w:r>
      <w:r>
        <w:rPr>
          <w:rtl w:val="true"/>
        </w:rPr>
        <w:t>שיסף את גרונה של נפגעת העבירה ב</w:t>
      </w:r>
      <w:r>
        <w:rPr>
          <w:rtl w:val="true"/>
        </w:rPr>
        <w:t xml:space="preserve">'; </w:t>
      </w:r>
      <w:r>
        <w:rPr>
          <w:rtl w:val="true"/>
        </w:rPr>
        <w:t>חתך את יד נפגעת העבירה א</w:t>
      </w:r>
      <w:r>
        <w:rPr>
          <w:rtl w:val="true"/>
        </w:rPr>
        <w:t xml:space="preserve">', </w:t>
      </w:r>
      <w:r>
        <w:rPr>
          <w:rtl w:val="true"/>
        </w:rPr>
        <w:t>וכמעט שדקר תינוק בן כמה חודשים בודדים</w:t>
      </w:r>
      <w:r>
        <w:rPr>
          <w:rtl w:val="true"/>
        </w:rPr>
        <w:t xml:space="preserve">. </w:t>
      </w:r>
      <w:r>
        <w:rPr>
          <w:rtl w:val="true"/>
        </w:rPr>
        <w:t>כתב האישום מתאר התרחשות מבעיתה</w:t>
      </w:r>
      <w:r>
        <w:rPr>
          <w:rtl w:val="true"/>
        </w:rPr>
        <w:t xml:space="preserve">, </w:t>
      </w:r>
      <w:r>
        <w:rPr>
          <w:rtl w:val="true"/>
        </w:rPr>
        <w:t>כאשר במשך דקות ארוכות המשיב סיכן את חייהם של נפגעי העבירה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הרחבתי בתיאור זה כדי להצביע על מידת האשם שבמעשיו של המשיב</w:t>
      </w:r>
      <w:r>
        <w:rPr>
          <w:rtl w:val="true"/>
        </w:rPr>
        <w:t xml:space="preserve">, </w:t>
      </w:r>
      <w:r>
        <w:rPr>
          <w:rtl w:val="true"/>
        </w:rPr>
        <w:t>אלא כדי להניח את הדעת בכך שלא מדובר במקרה שבו אין כל פרופורציה סבירה בין מעשה העבירה לבין תקופת האשפוז המרבית</w:t>
      </w:r>
      <w:r>
        <w:rPr>
          <w:rtl w:val="true"/>
        </w:rPr>
        <w:t xml:space="preserve">; </w:t>
      </w:r>
      <w:r>
        <w:rPr>
          <w:rtl w:val="true"/>
        </w:rPr>
        <w:t>לא מדובר במקרה שבו למן הרגע הראשון ניכר כי חומרת מעשה העבירה אינה מצדיקה אשפוז כאורך תקופת המאסר המרבית</w:t>
      </w:r>
      <w:r>
        <w:rPr>
          <w:rtl w:val="true"/>
        </w:rPr>
        <w:t xml:space="preserve">; </w:t>
      </w:r>
      <w:r>
        <w:rPr>
          <w:rtl w:val="true"/>
        </w:rPr>
        <w:t xml:space="preserve">ולא מדובר במקרה שבו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כדרישת החריג לתקופת האשפוז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האירועים שהתרחשו עובר למעשי המשיב</w:t>
      </w:r>
      <w:r>
        <w:rPr>
          <w:rtl w:val="true"/>
        </w:rPr>
        <w:t xml:space="preserve">, </w:t>
      </w:r>
      <w:r>
        <w:rPr>
          <w:rtl w:val="true"/>
        </w:rPr>
        <w:t xml:space="preserve">ונסיבות חייו האישיות אשר היו ברקע להם </w:t>
      </w:r>
      <w:r>
        <w:rPr>
          <w:rtl w:val="true"/>
        </w:rPr>
        <w:t>–</w:t>
      </w:r>
      <w:r>
        <w:rPr>
          <w:rtl w:val="true"/>
        </w:rPr>
        <w:t xml:space="preserve"> לא נעלמו מעיניי </w:t>
      </w:r>
      <w:r>
        <w:rPr>
          <w:rtl w:val="true"/>
        </w:rPr>
        <w:t>–</w:t>
      </w:r>
      <w:r>
        <w:rPr>
          <w:rtl w:val="true"/>
        </w:rPr>
        <w:t xml:space="preserve"> ואף על פי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כאשר התחשב באירועים ונסיבות אלו בבחינת תחולת גדרי החריג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האינטואיטיבית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הילוכנו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אכן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מנקודת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ראותו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ומשפחתו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עשה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שביכולתו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מנת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לטפל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בעצמו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ובמחלתו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ולמנוע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הסיכון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הנשקף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ממנו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העדר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אשמה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מוסרית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המצב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הקיים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מקרה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מזוכה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נאשם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מחמת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שפיות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מעשיו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כללו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אלימות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קשה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ביותר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ותוצאתם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קיפוח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חיי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אדם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חסר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ישע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כבן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</w:rPr>
        <w:t>80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משפחה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מצא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טרגיות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בעודו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מאושפז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בבית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חולים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לצורך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קבלת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טיפול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במצב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דברים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ניתן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לומר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ביצוע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בענייננו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>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מקילות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במיוחד</w:t>
      </w:r>
      <w:r>
        <w:rPr>
          <w:shd w:fill="FFFFFF" w:val="clear"/>
          <w:rtl w:val="true"/>
        </w:rPr>
        <w:t>'" (</w:t>
      </w:r>
      <w:hyperlink r:id="rId109">
        <w:r>
          <w:rPr>
            <w:rStyle w:val="Hyperlink"/>
            <w:color w:val="0000FF"/>
            <w:u w:val="single"/>
            <w:shd w:fill="FFFFFF" w:val="clear"/>
            <w:rtl w:val="true"/>
          </w:rPr>
          <w:t>תפ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מרכז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57644-07-21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פלוני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פסקה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</w:rPr>
        <w:t>31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7.3.2022</w:t>
      </w:r>
      <w:r>
        <w:rPr>
          <w:shd w:fill="FFFFFF" w:val="clear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כאשר מנה את נסיבותיו האישיות של המשיב בגדרי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tl w:val="true"/>
        </w:rPr>
        <w:t xml:space="preserve">" </w:t>
      </w:r>
      <w:r>
        <w:rPr>
          <w:rtl w:val="true"/>
        </w:rPr>
        <w:t>הדרושים לתחולת החריג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היה המשיב קורבן להתעללות קשה</w:t>
      </w:r>
      <w:r>
        <w:rPr>
          <w:rtl w:val="true"/>
        </w:rPr>
        <w:t xml:space="preserve">, </w:t>
      </w:r>
      <w:r>
        <w:rPr>
          <w:rtl w:val="true"/>
        </w:rPr>
        <w:t>אשר מפאת צנעת הפרט אין מקום להרחיב בפרטים אודותיה</w:t>
      </w:r>
      <w:r>
        <w:rPr>
          <w:rtl w:val="true"/>
        </w:rPr>
        <w:t xml:space="preserve">, </w:t>
      </w:r>
      <w:r>
        <w:rPr>
          <w:rtl w:val="true"/>
        </w:rPr>
        <w:t>ודי אם נאמר כי המדובר בפרשייה מקוממת הכוללת התעללות חריגה בהיקפה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בית המשפט המחוזי בהחלטתו מיום </w:t>
      </w:r>
      <w:r>
        <w:rPr/>
        <w:t>3.5.2022</w:t>
      </w:r>
      <w:r>
        <w:rPr>
          <w:rtl w:val="true"/>
        </w:rPr>
        <w:t xml:space="preserve">, </w:t>
      </w:r>
      <w:r>
        <w:rPr>
          <w:rtl w:val="true"/>
        </w:rPr>
        <w:t>ההתעללות שעבר המשיב בצעירותו נותנת אותותיה בחייו הבוגרים</w:t>
      </w:r>
      <w:r>
        <w:rPr>
          <w:rtl w:val="true"/>
        </w:rPr>
        <w:t xml:space="preserve">, </w:t>
      </w:r>
      <w:r>
        <w:rPr>
          <w:rtl w:val="true"/>
        </w:rPr>
        <w:t>ואף היוותה גורם משמעותי להתרחשות המצב הפסיכוטי שחווה בעת ביצוע מעשי ניסיון הרצח של נפגעי העבירה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יודגש פעם נוספת כי משמעות קביעה זו היא כי מרכז הכובד של בחינת נסיבות המקרה עובר ממועד מתן צו האשפוז בידי בית המשפט</w:t>
      </w:r>
      <w:r>
        <w:rPr>
          <w:rtl w:val="true"/>
        </w:rPr>
        <w:t xml:space="preserve">, </w:t>
      </w:r>
      <w:r>
        <w:rPr>
          <w:rtl w:val="true"/>
        </w:rPr>
        <w:t>לבחינת הוועדה הפסיכיאטרית ולאישורו של בית המשפט המחוזי בשלב הערעור</w:t>
      </w:r>
      <w:r>
        <w:rPr>
          <w:rtl w:val="true"/>
        </w:rPr>
        <w:t xml:space="preserve">, </w:t>
      </w:r>
      <w:r>
        <w:rPr>
          <w:rtl w:val="true"/>
        </w:rPr>
        <w:t>במידת הצורך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נשקלים זה מול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ההתקדמות הטיפולית של החולה</w:t>
      </w:r>
      <w:r>
        <w:rPr>
          <w:rtl w:val="true"/>
        </w:rPr>
        <w:t xml:space="preserve">, </w:t>
      </w:r>
      <w:r>
        <w:rPr>
          <w:rtl w:val="true"/>
        </w:rPr>
        <w:t>מסוכנותו לציבור וכן גם נסיבות ביצוע מעשה העבירה</w:t>
      </w:r>
      <w:r>
        <w:rPr>
          <w:rtl w:val="true"/>
        </w:rPr>
        <w:t xml:space="preserve">, </w:t>
      </w:r>
      <w:r>
        <w:rPr>
          <w:rtl w:val="true"/>
        </w:rPr>
        <w:t>עברו הפלילי ומשך הזמן שחלף מתחילת האשפוז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של המשיב יש להחיל את הכלל הקבוע </w:t>
      </w:r>
      <w:hyperlink r:id="rId1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שלפיו </w:t>
      </w:r>
      <w:r>
        <w:rPr>
          <w:rtl w:val="true"/>
        </w:rPr>
        <w:t xml:space="preserve">תקופת האשפוז או הטיפול המרבית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תקופת המאסר המרבית</w:t>
      </w:r>
      <w:r>
        <w:rPr>
          <w:rtl w:val="true"/>
        </w:rPr>
        <w:t xml:space="preserve">, </w:t>
      </w:r>
      <w:r>
        <w:rPr>
          <w:rtl w:val="true"/>
        </w:rPr>
        <w:t xml:space="preserve">הואיל ולא התקיימו התנאים הדרושים לצורך תחולת החריג המנוי </w:t>
      </w:r>
      <w:hyperlink r:id="rId11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טיפול בחולי נפש</w:t>
      </w:r>
      <w:r>
        <w:rPr>
          <w:rtl w:val="true"/>
        </w:rPr>
        <w:t xml:space="preserve">, </w:t>
      </w:r>
      <w:r>
        <w:rPr>
          <w:rtl w:val="true"/>
        </w:rPr>
        <w:t xml:space="preserve">המאפשר לבית המשפט לקבוע תקופת אשפוז מרבית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קצרה</w:t>
      </w:r>
      <w:r>
        <w:rPr>
          <w:rtl w:val="true"/>
        </w:rPr>
        <w:t xml:space="preserve"> מתקופת המאסר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הרי שגם אילו היה מקום לקבוע תקופת אשפוז מרבית הקצרה מתקופת המאסר המרבית</w:t>
      </w:r>
      <w:r>
        <w:rPr>
          <w:rtl w:val="true"/>
        </w:rPr>
        <w:t xml:space="preserve">, </w:t>
      </w:r>
      <w:r>
        <w:rPr>
          <w:rtl w:val="true"/>
        </w:rPr>
        <w:t>ואיני סבור שכך</w:t>
      </w:r>
      <w:r>
        <w:rPr>
          <w:rtl w:val="true"/>
        </w:rPr>
        <w:t xml:space="preserve">, </w:t>
      </w:r>
      <w:r>
        <w:rPr>
          <w:rtl w:val="true"/>
        </w:rPr>
        <w:t>תקופת אשפוז מרבית של שנה אחת בלבד</w:t>
      </w:r>
      <w:r>
        <w:rPr>
          <w:rtl w:val="true"/>
        </w:rPr>
        <w:t xml:space="preserve">, </w:t>
      </w:r>
      <w:r>
        <w:rPr>
          <w:rtl w:val="true"/>
        </w:rPr>
        <w:t>כקביעת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אינה מתאימה בנסיבות העניין בהתאם למטרות האשפוז הכפוי במסלול הפלילי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המטרה העיקרית של האשפוז הכפוי היא להעניק טיפול רפואי הולם לחולה לצד בחינת מידת מסוכנותו לעצמו ולציבור</w:t>
      </w:r>
      <w:r>
        <w:rPr>
          <w:rtl w:val="true"/>
        </w:rPr>
        <w:t xml:space="preserve">. </w:t>
      </w:r>
      <w:r>
        <w:rPr>
          <w:rtl w:val="true"/>
        </w:rPr>
        <w:t>מבלי לקבוע מסמרות</w:t>
      </w:r>
      <w:r>
        <w:rPr>
          <w:rtl w:val="true"/>
        </w:rPr>
        <w:t xml:space="preserve">,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 xml:space="preserve">ח הוועדה הפסיכיאטרית המיוחדת מיום </w:t>
      </w:r>
      <w:r>
        <w:rPr/>
        <w:t>16.11.2022</w:t>
      </w:r>
      <w:r>
        <w:rPr>
          <w:rtl w:val="true"/>
        </w:rPr>
        <w:t xml:space="preserve">, </w:t>
      </w:r>
      <w:r>
        <w:rPr>
          <w:rtl w:val="true"/>
        </w:rPr>
        <w:t>עולה ספק אם בפרק זמן של תקופה מרבית של שנה אחת בלבד ניתן להעניק למשיב טיפול הולם</w:t>
      </w:r>
      <w:r>
        <w:rPr>
          <w:rtl w:val="true"/>
        </w:rPr>
        <w:t xml:space="preserve">. </w:t>
      </w:r>
      <w:r>
        <w:rPr>
          <w:rtl w:val="true"/>
        </w:rPr>
        <w:t>בשל צנעת הפרט אמנע מלפרט אלא אסתפק ואציין כי מדו</w:t>
      </w:r>
      <w:r>
        <w:rPr>
          <w:rtl w:val="true"/>
        </w:rPr>
        <w:t>"</w:t>
      </w:r>
      <w:r>
        <w:rPr>
          <w:rtl w:val="true"/>
        </w:rPr>
        <w:t>ח הוועדה עולה כי גם אם חל שיפור במצבו הרפואי והנפשי</w:t>
      </w:r>
      <w:r>
        <w:rPr>
          <w:rtl w:val="true"/>
        </w:rPr>
        <w:t xml:space="preserve">, </w:t>
      </w:r>
      <w:r>
        <w:rPr>
          <w:rtl w:val="true"/>
        </w:rPr>
        <w:t>דומה כי עוד נותרה כברת דרך טיפולית עבורו</w:t>
      </w:r>
      <w:r>
        <w:rPr>
          <w:rtl w:val="true"/>
        </w:rPr>
        <w:t xml:space="preserve">. </w:t>
      </w:r>
      <w:r>
        <w:rPr>
          <w:rtl w:val="true"/>
        </w:rPr>
        <w:t xml:space="preserve">אילו אכן ישוחרר המשיב מהאשפוז הכפוי במסגרת המסלול הפלילי בטרם הושלם הליך טיפולו באופן מיטבי </w:t>
      </w:r>
      <w:r>
        <w:rPr>
          <w:rtl w:val="true"/>
        </w:rPr>
        <w:t>–</w:t>
      </w:r>
      <w:r>
        <w:rPr>
          <w:rtl w:val="true"/>
        </w:rPr>
        <w:t xml:space="preserve"> יצא שכרו בהפסדו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הכרעה בסוגיה הטיפולית מסורה לשיקול דעתה של הוועדה הפסיכיאטרית המיוחדת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ביחס לנאשם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 אשר הואשם בביצוע ניסיון לרצח או רצח</w:t>
      </w:r>
      <w:r>
        <w:rPr>
          <w:rtl w:val="true"/>
        </w:rPr>
        <w:t xml:space="preserve">, </w:t>
      </w:r>
      <w:r>
        <w:rPr>
          <w:rtl w:val="true"/>
        </w:rPr>
        <w:t xml:space="preserve">לימדנו המחוקק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שיהיו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674</w:t>
      </w:r>
      <w:r>
        <w:rPr>
          <w:rtl w:val="true"/>
        </w:rPr>
        <w:t xml:space="preserve">). </w:t>
      </w:r>
      <w:r>
        <w:rPr>
          <w:rtl w:val="true"/>
        </w:rPr>
        <w:t>כן נכונים הדברים בעניינו של המשיב אשר לגביו נקבע אך לאחרונה בחוות הדעת של הוועדה הפסיכיאטרי</w:t>
      </w:r>
      <w:r>
        <w:rPr>
          <w:rtl w:val="true"/>
        </w:rPr>
        <w:t>ת</w:t>
      </w:r>
      <w:r>
        <w:rPr>
          <w:rtl w:val="true"/>
        </w:rPr>
        <w:t xml:space="preserve"> המיוחדת מיום </w:t>
      </w:r>
      <w:r>
        <w:rPr/>
        <w:t>16.11.2022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המטופל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בשים לב לחוות הדעת בעניינו של המשיב ולנוכח טיב מעשיו</w:t>
      </w:r>
      <w:r>
        <w:rPr>
          <w:rtl w:val="true"/>
        </w:rPr>
        <w:t xml:space="preserve">, </w:t>
      </w:r>
      <w:r>
        <w:rPr>
          <w:rtl w:val="true"/>
        </w:rPr>
        <w:t>קביעת תקופת אשפוז מרבית למשך שנה אחת עלולה לפגום בעבודתה של הוועדה הפסיכיאטרית המיוחדת</w:t>
      </w:r>
      <w:r>
        <w:rPr>
          <w:rtl w:val="true"/>
        </w:rPr>
        <w:t xml:space="preserve">. </w:t>
      </w:r>
      <w:r>
        <w:rPr>
          <w:rtl w:val="true"/>
        </w:rPr>
        <w:t>מלאכת האיזון בין צרכיו הטיפוליים של החולה ומידת מסוכנותו לציבור לבין שלילת חירותו בדרך של אשפוז כפוי</w:t>
      </w:r>
      <w:r>
        <w:rPr>
          <w:rtl w:val="true"/>
        </w:rPr>
        <w:t xml:space="preserve">, </w:t>
      </w:r>
      <w:r>
        <w:rPr>
          <w:rtl w:val="true"/>
        </w:rPr>
        <w:t>נמסרה על</w:t>
      </w:r>
      <w:r>
        <w:rPr>
          <w:rtl w:val="true"/>
        </w:rPr>
        <w:t>-</w:t>
      </w:r>
      <w:r>
        <w:rPr>
          <w:rtl w:val="true"/>
        </w:rPr>
        <w:t>ידי המחוקק לוועדה הפסיכיאטרית המיוחדת</w:t>
      </w:r>
      <w:r>
        <w:rPr>
          <w:rtl w:val="true"/>
        </w:rPr>
        <w:t xml:space="preserve">. </w:t>
      </w:r>
      <w:r>
        <w:rPr>
          <w:rtl w:val="true"/>
        </w:rPr>
        <w:t>קציבת תקופה מרבית קצרה כשנה אחת בלבד</w:t>
      </w:r>
      <w:r>
        <w:rPr>
          <w:rtl w:val="true"/>
        </w:rPr>
        <w:t xml:space="preserve">, </w:t>
      </w:r>
      <w:r>
        <w:rPr>
          <w:rtl w:val="true"/>
        </w:rPr>
        <w:t>עלולה לרוקן מתוכן את סמכויות הוועדה ולאיין את תכלית עבודתה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sz w:val="22"/>
        </w:rPr>
      </w:pPr>
      <w:r>
        <w:rPr>
          <w:rtl w:val="true"/>
        </w:rPr>
        <w:t>זאת ועוד אחרת</w:t>
      </w:r>
      <w:r>
        <w:rPr>
          <w:rtl w:val="true"/>
        </w:rPr>
        <w:t xml:space="preserve">, </w:t>
      </w:r>
      <w:r>
        <w:rPr>
          <w:rtl w:val="true"/>
        </w:rPr>
        <w:t>אף בית המשפט המחוזי היה ער לקושי בקביעת תקופת אשפוז מרבית קצרה למשך שנה אחת בלבד</w:t>
      </w:r>
      <w:r>
        <w:rPr>
          <w:rtl w:val="true"/>
        </w:rPr>
        <w:t xml:space="preserve">, </w:t>
      </w:r>
      <w:r>
        <w:rPr>
          <w:rtl w:val="true"/>
        </w:rPr>
        <w:t xml:space="preserve">מאחר שתקופה זו נושאת בחובה </w:t>
      </w:r>
      <w:r>
        <w:rPr>
          <w:rtl w:val="true"/>
        </w:rPr>
        <w:t>"</w:t>
      </w:r>
      <w:r>
        <w:rPr>
          <w:rtl w:val="true"/>
        </w:rPr>
        <w:t xml:space="preserve">חשש שהנאשם </w:t>
      </w:r>
      <w:r>
        <w:rPr>
          <w:rtl w:val="true"/>
        </w:rPr>
        <w:t>[</w:t>
      </w:r>
      <w:r>
        <w:rPr>
          <w:rtl w:val="true"/>
        </w:rPr>
        <w:t xml:space="preserve">המשיב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ישוב על מעשיו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אלא שלדידו המענה לכך מצוי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סמכותו </w:t>
      </w:r>
      <w:r>
        <w:rPr>
          <w:rtl w:val="true"/>
        </w:rPr>
        <w:t>'</w:t>
      </w:r>
      <w:r>
        <w:rPr>
          <w:rtl w:val="true"/>
        </w:rPr>
        <w:t>האזרחית</w:t>
      </w:r>
      <w:r>
        <w:rPr>
          <w:rtl w:val="true"/>
        </w:rPr>
        <w:t xml:space="preserve">' </w:t>
      </w:r>
      <w:r>
        <w:rPr>
          <w:rtl w:val="true"/>
        </w:rPr>
        <w:t>של הפסיכיאטר המחוזי לתת הוראת אשפוז</w:t>
      </w:r>
      <w:r>
        <w:rPr>
          <w:rtl w:val="true"/>
        </w:rPr>
        <w:t xml:space="preserve">" </w:t>
      </w:r>
      <w:r>
        <w:rPr>
          <w:rtl w:val="true"/>
        </w:rPr>
        <w:t>כדבריו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sz w:val="22"/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דומה כי בכך בית המשפט המחוזי לא נתן דעתו כדבעי לפערים המהותיים בין סמכויות האשפוז במסלול האזרחי לבין המסלול הפלילי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. </w:t>
      </w:r>
      <w:r>
        <w:rPr>
          <w:rtl w:val="true"/>
        </w:rPr>
        <w:t>כך בייחוד לנוכח העובדה כי בעוד שאינטרס החולה ואינטרס הציבור נשמרים במסלול הפלילי על</w:t>
      </w:r>
      <w:r>
        <w:rPr>
          <w:rtl w:val="true"/>
        </w:rPr>
        <w:t>-</w:t>
      </w:r>
      <w:r>
        <w:rPr>
          <w:rtl w:val="true"/>
        </w:rPr>
        <w:t>ידי כך שלצורך שחרור החולה מאשפוז נדרשת החלטת הוועדה הפסיכיאטרית אשר גם עליה ישנה זכות ערעור לבית המשפט המחוזי</w:t>
      </w:r>
      <w:r>
        <w:rPr>
          <w:rtl w:val="true"/>
        </w:rPr>
        <w:t xml:space="preserve">, </w:t>
      </w:r>
      <w:r>
        <w:rPr>
          <w:rtl w:val="true"/>
        </w:rPr>
        <w:t>הליך שכזה אינו קיים במסלול האזרחי אשר בו די בהחלטת המנהל הרפואי של בית החולים כדי לשחרר את החולה מאשפוז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גם אם הוועדה הפסיכיאטרית אכן תדון בעניינו של החולה </w:t>
      </w:r>
      <w:r>
        <w:rPr>
          <w:sz w:val="22"/>
          <w:sz w:val="22"/>
          <w:rtl w:val="true"/>
        </w:rPr>
        <w:t>במסגרת המסלול האזרחי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 בהכרח חובה להעמיד לרשותה במסלול האזרחי את כל המידע בעניינו של החולה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ובכלל זה מידע על מידת המסוכנות הנשקפת ממנו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 xml:space="preserve">: </w:t>
      </w:r>
      <w:hyperlink r:id="rId113">
        <w:r>
          <w:rPr>
            <w:rStyle w:val="Hyperlink"/>
            <w:sz w:val="22"/>
            <w:sz w:val="22"/>
            <w:rtl w:val="true"/>
          </w:rPr>
          <w:t>תקנה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תקנות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טיפול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בחולי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נפש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1992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רוצה לומר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 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 להסתמך על אפשרות האשפוז במסגרת המסלול האזרחי כחלופה לאשפוז במסלול הפלילי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 מטעם זה תקופת אשפוז מרבית למשך שנה 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אינה מתאימה בעניינו של המשיב</w:t>
      </w:r>
      <w:r>
        <w:rPr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בהינתן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של המשיב יש להורות כי צו האשפוז יחול בהתאם לכלל הקבוע </w:t>
      </w:r>
      <w:hyperlink r:id="rId11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שלפיו </w:t>
      </w:r>
      <w:r>
        <w:rPr>
          <w:rtl w:val="true"/>
        </w:rPr>
        <w:t xml:space="preserve">תקופת האשפוז או הטיפול המרבית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תקופת המאסר 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אציע אפוא לחבריי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נקבל</w:t>
      </w:r>
      <w:r>
        <w:rPr>
          <w:rtl w:val="true"/>
        </w:rPr>
        <w:t xml:space="preserve"> את הערעור כך שתקופת האשפוז המרבית בעניינו של המשיב תהיה כתקופת המאסר המרבית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ואין הצדקה לקביעת תקופת אשפוז מרבית קצרה מכך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מרבית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חולה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נסיבות ביצוע העבירה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כפי שתוארו בפסק דינו </w:t>
      </w:r>
      <w:r>
        <w:rPr>
          <w:rtl w:val="true"/>
        </w:rPr>
        <w:t>(</w:t>
      </w:r>
      <w:r>
        <w:rPr>
          <w:rtl w:val="true"/>
        </w:rPr>
        <w:t xml:space="preserve">ופסקה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 דינו של בית המשפט קמא</w:t>
      </w:r>
      <w:r>
        <w:rPr>
          <w:rtl w:val="true"/>
        </w:rPr>
        <w:t xml:space="preserve">), </w:t>
      </w:r>
      <w:r>
        <w:rPr>
          <w:rtl w:val="true"/>
        </w:rPr>
        <w:t xml:space="preserve">אינן מהוות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>כמובנן</w:t>
      </w:r>
      <w:r>
        <w:rPr>
          <w:rtl w:val="true"/>
        </w:rPr>
        <w:t xml:space="preserve"> בהוראת</w:t>
      </w:r>
      <w:r>
        <w:rPr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–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וזאת לאור תכליתו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מסכים אני גם עם קביעתו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כי דין הערעור להתקבל במובן זה שתקופת האשפוז המרבית בעניינו של המשיב תהיה כתקופת המאסר המרבית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בדיוניה</w:t>
      </w:r>
      <w:r>
        <w:rPr>
          <w:rtl w:val="true"/>
        </w:rPr>
        <w:t xml:space="preserve">, </w:t>
      </w:r>
      <w:r>
        <w:rPr>
          <w:rtl w:val="true"/>
        </w:rPr>
        <w:t>בשקלה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האשפוז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המרפאתי</w:t>
      </w:r>
      <w:r>
        <w:rPr>
          <w:rtl w:val="true"/>
        </w:rPr>
        <w:t xml:space="preserve">", </w:t>
      </w:r>
      <w:r>
        <w:rPr>
          <w:rtl w:val="true"/>
        </w:rPr>
        <w:t>כמשמעותן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hyperlink r:id="rId119">
        <w:r>
          <w:rPr>
            <w:rStyle w:val="Hyperlink"/>
          </w:rPr>
          <w:t>28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3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11.6.2023</w:t>
      </w:r>
      <w:r>
        <w:rPr>
          <w:rtl w:val="true"/>
        </w:rPr>
        <w:t xml:space="preserve">). </w:t>
      </w:r>
      <w:bookmarkEnd w:id="31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23006640</w:t>
      </w:r>
      <w:r>
        <w:rPr>
          <w:sz w:val="16"/>
          <w:rtl w:val="true"/>
        </w:rPr>
        <w:t>_</w:t>
      </w:r>
      <w:r>
        <w:rPr>
          <w:sz w:val="16"/>
        </w:rPr>
        <w:t>J13.docx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54678313-664/23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2"/>
      <w:footerReference w:type="default" r:id="rId1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textAlignment w:val="auto"/>
      <w:outlineLvl w:val="1"/>
    </w:pPr>
    <w:rPr>
      <w:rFonts w:cs="Times New Roman"/>
      <w:b/>
      <w:bCs/>
      <w:sz w:val="36"/>
      <w:szCs w:val="3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FrankRuehl" w:hAnsi="FrankRueh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b/>
      <w:bCs/>
      <w:sz w:val="36"/>
      <w:szCs w:val="36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/>
  </w:style>
  <w:style w:type="paragraph" w:styleId="Style13">
    <w:name w:val="כללי"/>
    <w:basedOn w:val="Normal"/>
    <w:qFormat/>
    <w:pPr>
      <w:spacing w:lineRule="exact" w:line="280" w:before="0" w:after="250"/>
      <w:ind w:firstLine="284" w:start="0" w:end="0"/>
      <w:jc w:val="both"/>
    </w:pPr>
    <w:rPr>
      <w:rFonts w:cs="FrankRuehl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246316" TargetMode="External"/><Relationship Id="rId3" Type="http://schemas.openxmlformats.org/officeDocument/2006/relationships/hyperlink" Target="http://www.nevo.co.il/safrut/book/7960" TargetMode="External"/><Relationship Id="rId4" Type="http://schemas.openxmlformats.org/officeDocument/2006/relationships/hyperlink" Target="http://www.nevo.co.il/safrut/book/7960" TargetMode="External"/><Relationship Id="rId5" Type="http://schemas.openxmlformats.org/officeDocument/2006/relationships/hyperlink" Target="http://www.nevo.co.il/safrut/book/38091" TargetMode="External"/><Relationship Id="rId6" Type="http://schemas.openxmlformats.org/officeDocument/2006/relationships/hyperlink" Target="http://www.nevo.co.il/safrut/book/35482" TargetMode="External"/><Relationship Id="rId7" Type="http://schemas.openxmlformats.org/officeDocument/2006/relationships/hyperlink" Target="http://www.nevo.co.il/safrut/book/23182" TargetMode="External"/><Relationship Id="rId8" Type="http://schemas.openxmlformats.org/officeDocument/2006/relationships/hyperlink" Target="http://www.nevo.co.il/safrut/bookgroup/351" TargetMode="External"/><Relationship Id="rId9" Type="http://schemas.openxmlformats.org/officeDocument/2006/relationships/hyperlink" Target="http://www.nevo.co.il/safrut/bookgroup/351" TargetMode="External"/><Relationship Id="rId10" Type="http://schemas.openxmlformats.org/officeDocument/2006/relationships/hyperlink" Target="http://www.nevo.co.il/law/70314" TargetMode="External"/><Relationship Id="rId11" Type="http://schemas.openxmlformats.org/officeDocument/2006/relationships/hyperlink" Target="http://www.nevo.co.il/law/70314/15" TargetMode="External"/><Relationship Id="rId12" Type="http://schemas.openxmlformats.org/officeDocument/2006/relationships/hyperlink" Target="http://www.nevo.co.il/law/70314/15.a" TargetMode="External"/><Relationship Id="rId13" Type="http://schemas.openxmlformats.org/officeDocument/2006/relationships/hyperlink" Target="http://www.nevo.co.il/law/70314/15.b" TargetMode="External"/><Relationship Id="rId14" Type="http://schemas.openxmlformats.org/officeDocument/2006/relationships/hyperlink" Target="http://www.nevo.co.il/law/70314/15.d1.2" TargetMode="External"/><Relationship Id="rId15" Type="http://schemas.openxmlformats.org/officeDocument/2006/relationships/hyperlink" Target="http://www.nevo.co.il/law/70314/15.d1.2a" TargetMode="External"/><Relationship Id="rId16" Type="http://schemas.openxmlformats.org/officeDocument/2006/relationships/hyperlink" Target="http://www.nevo.co.il/law/70314/28" TargetMode="External"/><Relationship Id="rId17" Type="http://schemas.openxmlformats.org/officeDocument/2006/relationships/hyperlink" Target="http://www.nevo.co.il/law/70314/28.b1." TargetMode="External"/><Relationship Id="rId18" Type="http://schemas.openxmlformats.org/officeDocument/2006/relationships/hyperlink" Target="http://www.nevo.co.il/law/70314/28.b2" TargetMode="External"/><Relationship Id="rId19" Type="http://schemas.openxmlformats.org/officeDocument/2006/relationships/hyperlink" Target="http://www.nevo.co.il/law/70314/28a" TargetMode="External"/><Relationship Id="rId20" Type="http://schemas.openxmlformats.org/officeDocument/2006/relationships/hyperlink" Target="http://www.nevo.co.il/law/70314/28b" TargetMode="External"/><Relationship Id="rId21" Type="http://schemas.openxmlformats.org/officeDocument/2006/relationships/hyperlink" Target="http://www.nevo.co.il/law/70314/28c" TargetMode="External"/><Relationship Id="rId22" Type="http://schemas.openxmlformats.org/officeDocument/2006/relationships/hyperlink" Target="http://www.nevo.co.il/law/70314/28d" TargetMode="External"/><Relationship Id="rId23" Type="http://schemas.openxmlformats.org/officeDocument/2006/relationships/hyperlink" Target="http://www.nevo.co.il/law/70314/28e" TargetMode="External"/><Relationship Id="rId24" Type="http://schemas.openxmlformats.org/officeDocument/2006/relationships/hyperlink" Target="http://www.nevo.co.il/law/70314/28f" TargetMode="External"/><Relationship Id="rId25" Type="http://schemas.openxmlformats.org/officeDocument/2006/relationships/hyperlink" Target="http://www.nevo.co.il/law/70314/29" TargetMode="External"/><Relationship Id="rId26" Type="http://schemas.openxmlformats.org/officeDocument/2006/relationships/hyperlink" Target="http://www.nevo.co.il/law/70314/35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8a" TargetMode="External"/><Relationship Id="rId29" Type="http://schemas.openxmlformats.org/officeDocument/2006/relationships/hyperlink" Target="http://www.nevo.co.il/law/70301/34h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301a.b" TargetMode="External"/><Relationship Id="rId32" Type="http://schemas.openxmlformats.org/officeDocument/2006/relationships/hyperlink" Target="http://www.nevo.co.il/law/70301/305.1" TargetMode="External"/><Relationship Id="rId33" Type="http://schemas.openxmlformats.org/officeDocument/2006/relationships/hyperlink" Target="http://www.nevo.co.il/law/70301/382a.b.1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/170" TargetMode="External"/><Relationship Id="rId36" Type="http://schemas.openxmlformats.org/officeDocument/2006/relationships/hyperlink" Target="http://www.nevo.co.il/law/98586" TargetMode="External"/><Relationship Id="rId37" Type="http://schemas.openxmlformats.org/officeDocument/2006/relationships/hyperlink" Target="http://www.nevo.co.il/law/98586/49" TargetMode="External"/><Relationship Id="rId38" Type="http://schemas.openxmlformats.org/officeDocument/2006/relationships/hyperlink" Target="http://www.nevo.co.il/case/27246316" TargetMode="External"/><Relationship Id="rId39" Type="http://schemas.openxmlformats.org/officeDocument/2006/relationships/hyperlink" Target="http://www.nevo.co.il/law/70314/15.b" TargetMode="External"/><Relationship Id="rId40" Type="http://schemas.openxmlformats.org/officeDocument/2006/relationships/hyperlink" Target="http://www.nevo.co.il/law/70314" TargetMode="External"/><Relationship Id="rId41" Type="http://schemas.openxmlformats.org/officeDocument/2006/relationships/hyperlink" Target="http://www.nevo.co.il/law/70301/305.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82a.b.1" TargetMode="External"/><Relationship Id="rId44" Type="http://schemas.openxmlformats.org/officeDocument/2006/relationships/hyperlink" Target="http://www.nevo.co.il/law/70301/34h" TargetMode="External"/><Relationship Id="rId45" Type="http://schemas.openxmlformats.org/officeDocument/2006/relationships/hyperlink" Target="http://www.nevo.co.il/law/70314/15.b" TargetMode="External"/><Relationship Id="rId46" Type="http://schemas.openxmlformats.org/officeDocument/2006/relationships/hyperlink" Target="http://www.nevo.co.il/law/70314" TargetMode="External"/><Relationship Id="rId47" Type="http://schemas.openxmlformats.org/officeDocument/2006/relationships/hyperlink" Target="http://www.nevo.co.il/law/70314/15.d1.2a" TargetMode="External"/><Relationship Id="rId48" Type="http://schemas.openxmlformats.org/officeDocument/2006/relationships/hyperlink" Target="http://www.nevo.co.il/law/70314" TargetMode="External"/><Relationship Id="rId49" Type="http://schemas.openxmlformats.org/officeDocument/2006/relationships/hyperlink" Target="http://www.nevo.co.il/case/28774361" TargetMode="External"/><Relationship Id="rId50" Type="http://schemas.openxmlformats.org/officeDocument/2006/relationships/hyperlink" Target="http://www.nevo.co.il/law/70314/15.d1.2a" TargetMode="External"/><Relationship Id="rId51" Type="http://schemas.openxmlformats.org/officeDocument/2006/relationships/hyperlink" Target="http://www.nevo.co.il/law/70314" TargetMode="External"/><Relationship Id="rId52" Type="http://schemas.openxmlformats.org/officeDocument/2006/relationships/hyperlink" Target="http://www.nevo.co.il/law/70301/40i" TargetMode="External"/><Relationship Id="rId53" Type="http://schemas.openxmlformats.org/officeDocument/2006/relationships/hyperlink" Target="http://www.nevo.co.il/law/70301/301a.b" TargetMode="External"/><Relationship Id="rId54" Type="http://schemas.openxmlformats.org/officeDocument/2006/relationships/hyperlink" Target="http://www.nevo.co.il/law/70314/15.d1.2a" TargetMode="External"/><Relationship Id="rId55" Type="http://schemas.openxmlformats.org/officeDocument/2006/relationships/hyperlink" Target="http://www.nevo.co.il/law/70314" TargetMode="External"/><Relationship Id="rId56" Type="http://schemas.openxmlformats.org/officeDocument/2006/relationships/hyperlink" Target="http://www.nevo.co.il/law/70314/15.d1.2" TargetMode="External"/><Relationship Id="rId57" Type="http://schemas.openxmlformats.org/officeDocument/2006/relationships/hyperlink" Target="http://www.nevo.co.il/law/70314" TargetMode="External"/><Relationship Id="rId58" Type="http://schemas.openxmlformats.org/officeDocument/2006/relationships/hyperlink" Target="http://www.nevo.co.il/safrut/book/35482" TargetMode="External"/><Relationship Id="rId59" Type="http://schemas.openxmlformats.org/officeDocument/2006/relationships/hyperlink" Target="http://www.nevo.co.il/law/70314" TargetMode="External"/><Relationship Id="rId60" Type="http://schemas.openxmlformats.org/officeDocument/2006/relationships/hyperlink" Target="http://www.nevo.co.il/law/70314/35.b" TargetMode="External"/><Relationship Id="rId61" Type="http://schemas.openxmlformats.org/officeDocument/2006/relationships/hyperlink" Target="http://www.nevo.co.il/safrut/book/38091" TargetMode="External"/><Relationship Id="rId62" Type="http://schemas.openxmlformats.org/officeDocument/2006/relationships/hyperlink" Target="http://www.nevo.co.il/case/5799236" TargetMode="External"/><Relationship Id="rId63" Type="http://schemas.openxmlformats.org/officeDocument/2006/relationships/hyperlink" Target="http://www.nevo.co.il/law/70314/15" TargetMode="External"/><Relationship Id="rId64" Type="http://schemas.openxmlformats.org/officeDocument/2006/relationships/hyperlink" Target="http://www.nevo.co.il/law/70314" TargetMode="External"/><Relationship Id="rId65" Type="http://schemas.openxmlformats.org/officeDocument/2006/relationships/hyperlink" Target="http://www.nevo.co.il/law/74903/170" TargetMode="External"/><Relationship Id="rId66" Type="http://schemas.openxmlformats.org/officeDocument/2006/relationships/hyperlink" Target="http://www.nevo.co.il/law/74903" TargetMode="External"/><Relationship Id="rId67" Type="http://schemas.openxmlformats.org/officeDocument/2006/relationships/hyperlink" Target="http://www.nevo.co.il/law/70314/15.a" TargetMode="External"/><Relationship Id="rId68" Type="http://schemas.openxmlformats.org/officeDocument/2006/relationships/hyperlink" Target="http://www.nevo.co.il/law/70314" TargetMode="External"/><Relationship Id="rId69" Type="http://schemas.openxmlformats.org/officeDocument/2006/relationships/hyperlink" Target="http://www.nevo.co.il/law/70314/15.b" TargetMode="External"/><Relationship Id="rId70" Type="http://schemas.openxmlformats.org/officeDocument/2006/relationships/hyperlink" Target="http://www.nevo.co.il/law/70314" TargetMode="External"/><Relationship Id="rId71" Type="http://schemas.openxmlformats.org/officeDocument/2006/relationships/hyperlink" Target="http://www.nevo.co.il/case/6887645" TargetMode="External"/><Relationship Id="rId72" Type="http://schemas.openxmlformats.org/officeDocument/2006/relationships/hyperlink" Target="http://www.nevo.co.il/law/70314/28" TargetMode="External"/><Relationship Id="rId73" Type="http://schemas.openxmlformats.org/officeDocument/2006/relationships/hyperlink" Target="http://www.nevo.co.il/law/70314" TargetMode="External"/><Relationship Id="rId74" Type="http://schemas.openxmlformats.org/officeDocument/2006/relationships/hyperlink" Target="http://www.nevo.co.il/law/70314/29" TargetMode="External"/><Relationship Id="rId75" Type="http://schemas.openxmlformats.org/officeDocument/2006/relationships/hyperlink" Target="http://www.nevo.co.il/law/70314" TargetMode="External"/><Relationship Id="rId76" Type="http://schemas.openxmlformats.org/officeDocument/2006/relationships/hyperlink" Target="http://www.nevo.co.il/case/5676206" TargetMode="External"/><Relationship Id="rId77" Type="http://schemas.openxmlformats.org/officeDocument/2006/relationships/hyperlink" Target="http://www.nevo.co.il/law/70314" TargetMode="External"/><Relationship Id="rId78" Type="http://schemas.openxmlformats.org/officeDocument/2006/relationships/hyperlink" Target="http://www.nevo.co.il/safrut/book/7960" TargetMode="External"/><Relationship Id="rId79" Type="http://schemas.openxmlformats.org/officeDocument/2006/relationships/hyperlink" Target="http://www.nevo.co.il/law/70314" TargetMode="External"/><Relationship Id="rId80" Type="http://schemas.openxmlformats.org/officeDocument/2006/relationships/hyperlink" Target="http://www.nevo.co.il/law/70314/28.b1.;28.b2" TargetMode="External"/><Relationship Id="rId81" Type="http://schemas.openxmlformats.org/officeDocument/2006/relationships/hyperlink" Target="http://www.nevo.co.il/law/70314" TargetMode="External"/><Relationship Id="rId82" Type="http://schemas.openxmlformats.org/officeDocument/2006/relationships/hyperlink" Target="http://www.nevo.co.il/law/70314/28a;28f;28b;28c;28d;28e" TargetMode="External"/><Relationship Id="rId83" Type="http://schemas.openxmlformats.org/officeDocument/2006/relationships/hyperlink" Target="http://www.nevo.co.il/law/70314" TargetMode="External"/><Relationship Id="rId84" Type="http://schemas.openxmlformats.org/officeDocument/2006/relationships/hyperlink" Target="http://www.nevo.co.il/law/70314" TargetMode="External"/><Relationship Id="rId85" Type="http://schemas.openxmlformats.org/officeDocument/2006/relationships/hyperlink" Target="http://www.nevo.co.il/case/6216461" TargetMode="External"/><Relationship Id="rId86" Type="http://schemas.openxmlformats.org/officeDocument/2006/relationships/hyperlink" Target="http://www.nevo.co.il/law/70314" TargetMode="External"/><Relationship Id="rId87" Type="http://schemas.openxmlformats.org/officeDocument/2006/relationships/hyperlink" Target="http://www.nevo.co.il/case/20687744" TargetMode="External"/><Relationship Id="rId88" Type="http://schemas.openxmlformats.org/officeDocument/2006/relationships/hyperlink" Target="http://www.nevo.co.il/law/70314" TargetMode="External"/><Relationship Id="rId89" Type="http://schemas.openxmlformats.org/officeDocument/2006/relationships/hyperlink" Target="http://www.nevo.co.il/law/70314/15.d1.2" TargetMode="External"/><Relationship Id="rId90" Type="http://schemas.openxmlformats.org/officeDocument/2006/relationships/hyperlink" Target="http://www.nevo.co.il/law/70314/15.d1.2a" TargetMode="External"/><Relationship Id="rId91" Type="http://schemas.openxmlformats.org/officeDocument/2006/relationships/hyperlink" Target="http://www.nevo.co.il/law/70314" TargetMode="External"/><Relationship Id="rId92" Type="http://schemas.openxmlformats.org/officeDocument/2006/relationships/hyperlink" Target="http://www.nevo.co.il/law/70314" TargetMode="External"/><Relationship Id="rId93" Type="http://schemas.openxmlformats.org/officeDocument/2006/relationships/hyperlink" Target="http://www.nevo.co.il/case/22524554" TargetMode="External"/><Relationship Id="rId94" Type="http://schemas.openxmlformats.org/officeDocument/2006/relationships/hyperlink" Target="http://www.nevo.co.il/law/70314/15.d1.2" TargetMode="External"/><Relationship Id="rId95" Type="http://schemas.openxmlformats.org/officeDocument/2006/relationships/hyperlink" Target="http://www.nevo.co.il/law/70314" TargetMode="External"/><Relationship Id="rId96" Type="http://schemas.openxmlformats.org/officeDocument/2006/relationships/hyperlink" Target="http://www.nevo.co.il/law/70314/15.d1.2a" TargetMode="External"/><Relationship Id="rId97" Type="http://schemas.openxmlformats.org/officeDocument/2006/relationships/hyperlink" Target="http://www.nevo.co.il/law/70314" TargetMode="External"/><Relationship Id="rId98" Type="http://schemas.openxmlformats.org/officeDocument/2006/relationships/hyperlink" Target="http://www.nevo.co.il/safrut/book/23182" TargetMode="External"/><Relationship Id="rId99" Type="http://schemas.openxmlformats.org/officeDocument/2006/relationships/hyperlink" Target="http://www.nevo.co.il/case/29737742%20" TargetMode="External"/><Relationship Id="rId100" Type="http://schemas.openxmlformats.org/officeDocument/2006/relationships/hyperlink" Target="http://www.nevo.co.il/law/70301/301a.b" TargetMode="External"/><Relationship Id="rId101" Type="http://schemas.openxmlformats.org/officeDocument/2006/relationships/hyperlink" Target="http://www.nevo.co.il/case/26995434" TargetMode="External"/><Relationship Id="rId102" Type="http://schemas.openxmlformats.org/officeDocument/2006/relationships/hyperlink" Target="http://www.nevo.co.il/case/22540397" TargetMode="External"/><Relationship Id="rId103" Type="http://schemas.openxmlformats.org/officeDocument/2006/relationships/hyperlink" Target="http://www.nevo.co.il/case/28540900" TargetMode="External"/><Relationship Id="rId104" Type="http://schemas.openxmlformats.org/officeDocument/2006/relationships/hyperlink" Target="http://www.nevo.co.il/case/16995281" TargetMode="External"/><Relationship Id="rId105" Type="http://schemas.openxmlformats.org/officeDocument/2006/relationships/hyperlink" Target="http://www.nevo.co.il/safrut/bookgroup/351" TargetMode="External"/><Relationship Id="rId106" Type="http://schemas.openxmlformats.org/officeDocument/2006/relationships/hyperlink" Target="http://www.nevo.co.il/case/23528316" TargetMode="External"/><Relationship Id="rId107" Type="http://schemas.openxmlformats.org/officeDocument/2006/relationships/hyperlink" Target="http://www.nevo.co.il/law/70314/15.d1.2a" TargetMode="External"/><Relationship Id="rId108" Type="http://schemas.openxmlformats.org/officeDocument/2006/relationships/hyperlink" Target="http://www.nevo.co.il/law/70314" TargetMode="External"/><Relationship Id="rId109" Type="http://schemas.openxmlformats.org/officeDocument/2006/relationships/hyperlink" Target="http://www.nevo.co.il/case/27815574" TargetMode="External"/><Relationship Id="rId110" Type="http://schemas.openxmlformats.org/officeDocument/2006/relationships/hyperlink" Target="http://www.nevo.co.il/law/70314/15.d1.2" TargetMode="External"/><Relationship Id="rId111" Type="http://schemas.openxmlformats.org/officeDocument/2006/relationships/hyperlink" Target="http://www.nevo.co.il/law/70314" TargetMode="External"/><Relationship Id="rId112" Type="http://schemas.openxmlformats.org/officeDocument/2006/relationships/hyperlink" Target="http://www.nevo.co.il/law/70314/15.d1.2a" TargetMode="External"/><Relationship Id="rId113" Type="http://schemas.openxmlformats.org/officeDocument/2006/relationships/hyperlink" Target="http://www.nevo.co.il/law/98586/49" TargetMode="External"/><Relationship Id="rId114" Type="http://schemas.openxmlformats.org/officeDocument/2006/relationships/hyperlink" Target="http://www.nevo.co.il/law/98586" TargetMode="External"/><Relationship Id="rId115" Type="http://schemas.openxmlformats.org/officeDocument/2006/relationships/hyperlink" Target="http://www.nevo.co.il/law/70314/15.d1.2" TargetMode="External"/><Relationship Id="rId116" Type="http://schemas.openxmlformats.org/officeDocument/2006/relationships/hyperlink" Target="http://www.nevo.co.il/law/70314" TargetMode="External"/><Relationship Id="rId117" Type="http://schemas.openxmlformats.org/officeDocument/2006/relationships/hyperlink" Target="http://www.nevo.co.il/law/70314/15.d1.2a" TargetMode="External"/><Relationship Id="rId118" Type="http://schemas.openxmlformats.org/officeDocument/2006/relationships/hyperlink" Target="http://www.nevo.co.il/law/70314" TargetMode="External"/><Relationship Id="rId119" Type="http://schemas.openxmlformats.org/officeDocument/2006/relationships/hyperlink" Target="http://www.nevo.co.il/law/70301/28a" TargetMode="External"/><Relationship Id="rId120" Type="http://schemas.openxmlformats.org/officeDocument/2006/relationships/hyperlink" Target="https://supreme.court.gov.il/" TargetMode="External"/><Relationship Id="rId121" Type="http://schemas.openxmlformats.org/officeDocument/2006/relationships/hyperlink" Target="http://www.nevo.co.il/advertisements/nevo-100.doc" TargetMode="External"/><Relationship Id="rId122" Type="http://schemas.openxmlformats.org/officeDocument/2006/relationships/header" Target="header1.xml"/><Relationship Id="rId123" Type="http://schemas.openxmlformats.org/officeDocument/2006/relationships/footer" Target="footer1.xml"/><Relationship Id="rId124" Type="http://schemas.openxmlformats.org/officeDocument/2006/relationships/numbering" Target="numbering.xml"/><Relationship Id="rId125" Type="http://schemas.openxmlformats.org/officeDocument/2006/relationships/fontTable" Target="fontTable.xml"/><Relationship Id="rId126" Type="http://schemas.openxmlformats.org/officeDocument/2006/relationships/settings" Target="settings.xml"/><Relationship Id="rId1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2023-11-30T08:16:00Z</dcterms:created>
  <dc:creator>h4</dc:creator>
  <dc:description/>
  <cp:keywords/>
  <dc:language>en-IL</dc:language>
  <cp:lastModifiedBy>orly</cp:lastModifiedBy>
  <cp:lastPrinted>2023-06-11T07:03:00Z</cp:lastPrinted>
  <dcterms:modified xsi:type="dcterms:W3CDTF">2023-11-30T08:16:00Z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351</vt:lpwstr>
  </property>
  <property fmtid="{D5CDD505-2E9C-101B-9397-08002B2CF9AE}" pid="9" name="BOOKLISTTMP1">
    <vt:lpwstr>7960;38091;35482;23182</vt:lpwstr>
  </property>
  <property fmtid="{D5CDD505-2E9C-101B-9397-08002B2CF9AE}" pid="10" name="CASESLISTTMP1">
    <vt:lpwstr>27246316:2;28774361;5799236;6887645;5676206;6216461;20687744;22524554;29737742;26995434;22540397;28540900;16995281;23528316;27815574</vt:lpwstr>
  </property>
  <property fmtid="{D5CDD505-2E9C-101B-9397-08002B2CF9AE}" pid="11" name="CITY">
    <vt:lpwstr/>
  </property>
  <property fmtid="{D5CDD505-2E9C-101B-9397-08002B2CF9AE}" pid="12" name="DATE">
    <vt:lpwstr>20230611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שטיין;י' כשר</vt:lpwstr>
  </property>
  <property fmtid="{D5CDD505-2E9C-101B-9397-08002B2CF9AE}" pid="16" name="LAWLISTTMP1">
    <vt:lpwstr>70314/015.b:3;015.d1.2a:8;015.d1.2:5;035.b;015;015.a;028;029;028.b1;028.b2;028a;028f;028b;028c;028d;028e</vt:lpwstr>
  </property>
  <property fmtid="{D5CDD505-2E9C-101B-9397-08002B2CF9AE}" pid="17" name="LAWLISTTMP2">
    <vt:lpwstr>70301/305.1;382a.b.1;034h;040i;301a.b:2;028a</vt:lpwstr>
  </property>
  <property fmtid="{D5CDD505-2E9C-101B-9397-08002B2CF9AE}" pid="18" name="LAWLISTTMP3">
    <vt:lpwstr>74903/170</vt:lpwstr>
  </property>
  <property fmtid="{D5CDD505-2E9C-101B-9397-08002B2CF9AE}" pid="19" name="LAWLISTTMP4">
    <vt:lpwstr>98586/049</vt:lpwstr>
  </property>
  <property fmtid="{D5CDD505-2E9C-101B-9397-08002B2CF9AE}" pid="20" name="LAWYER">
    <vt:lpwstr>אריאל הרמן;חנן ג'בסקי;ורד חלאוה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פרשנות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18;84</vt:lpwstr>
  </property>
  <property fmtid="{D5CDD505-2E9C-101B-9397-08002B2CF9AE}" pid="42" name="NOSE21">
    <vt:lpwstr>חולי נפש</vt:lpwstr>
  </property>
  <property fmtid="{D5CDD505-2E9C-101B-9397-08002B2CF9AE}" pid="43" name="NOSE210">
    <vt:lpwstr/>
  </property>
  <property fmtid="{D5CDD505-2E9C-101B-9397-08002B2CF9AE}" pid="44" name="NOSE22">
    <vt:lpwstr>דין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470;1517</vt:lpwstr>
  </property>
  <property fmtid="{D5CDD505-2E9C-101B-9397-08002B2CF9AE}" pid="53" name="NOSE31">
    <vt:lpwstr>אשפוז כפוי</vt:lpwstr>
  </property>
  <property fmtid="{D5CDD505-2E9C-101B-9397-08002B2CF9AE}" pid="54" name="NOSE310">
    <vt:lpwstr/>
  </property>
  <property fmtid="{D5CDD505-2E9C-101B-9397-08002B2CF9AE}" pid="55" name="NOSE32">
    <vt:lpwstr>חוק טיפול בחולי נפש, התשנ`א-1991‏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3652;14112</vt:lpwstr>
  </property>
  <property fmtid="{D5CDD505-2E9C-101B-9397-08002B2CF9AE}" pid="64" name="PADIDATE">
    <vt:lpwstr>20230611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664</vt:lpwstr>
  </property>
  <property fmtid="{D5CDD505-2E9C-101B-9397-08002B2CF9AE}" pid="70" name="PROCYEAR">
    <vt:lpwstr>23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410120230611</vt:lpwstr>
  </property>
  <property fmtid="{D5CDD505-2E9C-101B-9397-08002B2CF9AE}" pid="74" name="TYPE_N_DATE">
    <vt:lpwstr>41020230611</vt:lpwstr>
  </property>
  <property fmtid="{D5CDD505-2E9C-101B-9397-08002B2CF9AE}" pid="75" name="VOLUME">
    <vt:lpwstr/>
  </property>
  <property fmtid="{D5CDD505-2E9C-101B-9397-08002B2CF9AE}" pid="76" name="WORDNUMPAGES">
    <vt:lpwstr>27</vt:lpwstr>
  </property>
</Properties>
</file>