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6643/20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</w:t>
            </w:r>
            <w:r>
              <w:rPr>
                <w:sz w:val="24"/>
                <w:sz w:val="24"/>
                <w:szCs w:val="24"/>
                <w:rtl w:val="true"/>
              </w:rPr>
              <w:t>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9.8.2021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34637-09-16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10.6.2021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קיוול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הירשברג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קרעין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423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499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5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6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8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117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1.2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117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1.3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4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5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סלקטיבית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העדכני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בשפתו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התחמקות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השתמטות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התחמקות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הכנסה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נדבכים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הנדבך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הנדבך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מפתיחת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הנדבך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סלקטיבית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שקילת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שנכתבו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ההיבטים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שוויוני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בהימשכות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בערבית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הרתיעו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מלשלמם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הוחזר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מסכימה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מחדדת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ובמבט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עתיד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לציין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החשיבות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להקפדה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הניתן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שהכנת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התסקיר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מבוססת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מתבטא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בצורה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מיטבית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הערבית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במדינת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ישראל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מועסקים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אנשי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שזוהי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שפתם</w:t>
      </w:r>
      <w:r>
        <w:rPr>
          <w:spacing w:val="0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start"/>
        <w:rPr/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ערעור על גזר הדין של בית המשפט המחוזי בירושלים מיום </w:t>
      </w:r>
      <w:r>
        <w:rPr/>
        <w:t>9.8.2020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34637-09-16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 xml:space="preserve">שבגדרו הושת על המערער עונש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ענייננו בערעור על עונש המאסר בפועל</w:t>
      </w:r>
      <w:r>
        <w:rPr>
          <w:rtl w:val="true"/>
        </w:rPr>
        <w:t xml:space="preserve">, </w:t>
      </w:r>
      <w:r>
        <w:rPr>
          <w:rtl w:val="true"/>
        </w:rPr>
        <w:t>ועל כן נפרט את העובדות הצריכות לעניין זה בלבד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28.11.2019</w:t>
      </w:r>
      <w:r>
        <w:rPr>
          <w:rtl w:val="true"/>
        </w:rPr>
        <w:t xml:space="preserve"> </w:t>
      </w:r>
      <w:r>
        <w:rPr>
          <w:rtl w:val="true"/>
        </w:rPr>
        <w:t>הודה המערער</w:t>
      </w:r>
      <w:r>
        <w:rPr>
          <w:rtl w:val="true"/>
        </w:rPr>
        <w:t xml:space="preserve">, </w:t>
      </w:r>
      <w:r>
        <w:rPr>
          <w:rtl w:val="true"/>
        </w:rPr>
        <w:t>זוהדי עמירה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 שהוגש בעניינו</w:t>
      </w:r>
      <w:r>
        <w:rPr>
          <w:rtl w:val="true"/>
        </w:rPr>
        <w:t xml:space="preserve">, </w:t>
      </w:r>
      <w:r>
        <w:rPr>
          <w:rtl w:val="true"/>
        </w:rPr>
        <w:t>בהמשך להסדר טיעון שנחתם בינו לבין המדינה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2015-2010</w:t>
      </w:r>
      <w:r>
        <w:rPr>
          <w:rtl w:val="true"/>
        </w:rPr>
        <w:t xml:space="preserve">, </w:t>
      </w:r>
      <w:r>
        <w:rPr>
          <w:rtl w:val="true"/>
        </w:rPr>
        <w:t>נקשרו זוהדי וחברת ע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מיטל עבודות בניה הנדסיות בע</w:t>
      </w:r>
      <w:r>
        <w:rPr>
          <w:rtl w:val="true"/>
        </w:rPr>
        <w:t>"</w:t>
      </w:r>
      <w:r>
        <w:rPr>
          <w:rtl w:val="true"/>
        </w:rPr>
        <w:t xml:space="preserve">מ אשר בבעלותו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tl w:val="true"/>
        </w:rPr>
        <w:t xml:space="preserve">), </w:t>
      </w:r>
      <w:r>
        <w:rPr>
          <w:rtl w:val="true"/>
        </w:rPr>
        <w:t xml:space="preserve">באמצעות 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עם קבוצה עבריינית שעסקה בהונאת רשויות המס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>בתקופה האמורה הוציאה הקבוצה חשבוניות מס פיקטיביות על שם חברות קש שונות</w:t>
      </w:r>
      <w:r>
        <w:rPr>
          <w:rtl w:val="true"/>
        </w:rPr>
        <w:t xml:space="preserve">, </w:t>
      </w:r>
      <w:r>
        <w:rPr>
          <w:rtl w:val="true"/>
        </w:rPr>
        <w:t xml:space="preserve">בסך כולל של </w:t>
      </w:r>
      <w:r>
        <w:rPr/>
        <w:t>6,520,221</w:t>
      </w:r>
      <w:r>
        <w:rPr>
          <w:rtl w:val="true"/>
        </w:rPr>
        <w:t xml:space="preserve"> ₪, </w:t>
      </w:r>
      <w:r>
        <w:rPr>
          <w:rtl w:val="true"/>
        </w:rPr>
        <w:t>הגם שלא עמדו מאחוריהן עסקאות כלשהן</w:t>
      </w:r>
      <w:r>
        <w:rPr>
          <w:rtl w:val="true"/>
        </w:rPr>
        <w:t xml:space="preserve">; </w:t>
      </w:r>
      <w:r>
        <w:rPr>
          <w:rtl w:val="true"/>
        </w:rPr>
        <w:t>זוהדי מצדו רשם את החשבוניות הפיקטיביות הללו בספרי החברה</w:t>
      </w:r>
      <w:r>
        <w:rPr>
          <w:rtl w:val="true"/>
        </w:rPr>
        <w:t xml:space="preserve">, </w:t>
      </w:r>
      <w:r>
        <w:rPr>
          <w:rtl w:val="true"/>
        </w:rPr>
        <w:t xml:space="preserve">ניכה בגינן מס תשומות בסך של </w:t>
      </w:r>
      <w:r>
        <w:rPr/>
        <w:t>993,762</w:t>
      </w:r>
      <w:r>
        <w:rPr>
          <w:rtl w:val="true"/>
        </w:rPr>
        <w:t xml:space="preserve"> ₪; </w:t>
      </w:r>
      <w:r>
        <w:rPr>
          <w:rtl w:val="true"/>
        </w:rPr>
        <w:t>ולאחר שהועבר הכסף לחברות הקש ומס התשומות נוכה</w:t>
      </w:r>
      <w:r>
        <w:rPr>
          <w:rtl w:val="true"/>
        </w:rPr>
        <w:t xml:space="preserve">, </w:t>
      </w:r>
      <w:r>
        <w:rPr>
          <w:rtl w:val="true"/>
        </w:rPr>
        <w:t>קיבלו לידיהם זוהדי והאדם האחר כסף מזומן</w:t>
      </w:r>
      <w:r>
        <w:rPr>
          <w:rtl w:val="true"/>
        </w:rPr>
        <w:t xml:space="preserve">, </w:t>
      </w:r>
      <w:r>
        <w:rPr>
          <w:rtl w:val="true"/>
        </w:rPr>
        <w:t>בשיעור סך התשלום ששולם כנגד החשבוניות</w:t>
      </w:r>
      <w:r>
        <w:rPr>
          <w:rtl w:val="true"/>
        </w:rPr>
        <w:t xml:space="preserve">, </w:t>
      </w:r>
      <w:r>
        <w:rPr>
          <w:rtl w:val="true"/>
        </w:rPr>
        <w:t xml:space="preserve">בניכוי עמלה של </w:t>
      </w:r>
      <w:r>
        <w:rPr/>
        <w:t>8%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</w:rPr>
        <w:t>P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על שם עוסקים שונים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3,150,892</w:t>
      </w:r>
      <w:r>
        <w:rPr>
          <w:rtl w:val="true"/>
        </w:rPr>
        <w:t xml:space="preserve"> ₪.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כפיקטיביות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457,822</w:t>
      </w:r>
      <w:r>
        <w:rPr>
          <w:rtl w:val="true"/>
        </w:rPr>
        <w:t xml:space="preserve"> ₪.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זוהדי הודה כאמור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ועל בסיס הודאתו</w:t>
      </w:r>
      <w:r>
        <w:rPr>
          <w:rtl w:val="true"/>
        </w:rPr>
        <w:t>-</w:t>
      </w:r>
      <w:r>
        <w:rPr>
          <w:rtl w:val="true"/>
        </w:rPr>
        <w:t>זו הורשע בעבירות שיוחסו לו</w:t>
      </w:r>
      <w:r>
        <w:rPr>
          <w:rtl w:val="true"/>
        </w:rPr>
        <w:t xml:space="preserve">: </w:t>
      </w:r>
      <w:r>
        <w:rPr>
          <w:rtl w:val="true"/>
        </w:rPr>
        <w:t xml:space="preserve">עבירות של קשירת קשר עם אדם לביצוע פשע ורישום כוזב במסמכי תאגיד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); </w:t>
      </w:r>
      <w:r>
        <w:rPr>
          <w:rtl w:val="true"/>
        </w:rPr>
        <w:t>עבירות שונות של התחמקות או השתמטות מתשלום 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חלקן בנסיבות מחמירות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3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5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)-(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מוסף</w:t>
      </w:r>
      <w:r>
        <w:rPr>
          <w:rtl w:val="true"/>
        </w:rPr>
        <w:t xml:space="preserve">)); </w:t>
      </w:r>
      <w:r>
        <w:rPr>
          <w:rtl w:val="true"/>
        </w:rPr>
        <w:t>ועבירות שונות של התחמקות במזיד מתשלום מס הכנסה</w:t>
      </w:r>
      <w:r>
        <w:rPr>
          <w:rtl w:val="true"/>
        </w:rPr>
        <w:t xml:space="preserve">, </w:t>
      </w:r>
      <w:r>
        <w:rPr>
          <w:rtl w:val="true"/>
        </w:rPr>
        <w:t xml:space="preserve">או עזרה לאדם לעשות כן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0"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1"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הכנסה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הוסכם בהסדר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כי המדינה תטען לעונש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כי הצדדים יעתרו בהסכמה להשתת עונש של מאסר על</w:t>
      </w:r>
      <w:r>
        <w:rPr>
          <w:rtl w:val="true"/>
        </w:rPr>
        <w:t>-</w:t>
      </w:r>
      <w:r>
        <w:rPr>
          <w:rtl w:val="true"/>
        </w:rPr>
        <w:t>תנאי בהתאם לשיקול דעת בית המשפט</w:t>
      </w:r>
      <w:r>
        <w:rPr>
          <w:rtl w:val="true"/>
        </w:rPr>
        <w:t xml:space="preserve">; </w:t>
      </w:r>
      <w:r>
        <w:rPr>
          <w:rtl w:val="true"/>
        </w:rPr>
        <w:t>וכי בית המשפט יטיל עונש של קנס כספי על זוהדי</w:t>
      </w:r>
      <w:r>
        <w:rPr>
          <w:rtl w:val="true"/>
        </w:rPr>
        <w:t xml:space="preserve">, </w:t>
      </w:r>
      <w:r>
        <w:rPr>
          <w:rtl w:val="true"/>
        </w:rPr>
        <w:t>בהתאם לטיעונים שישמיעו הצדדים בעניין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שנשמעו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9.8.2020</w:t>
      </w:r>
      <w:r>
        <w:rPr>
          <w:rtl w:val="true"/>
        </w:rPr>
        <w:t xml:space="preserve"> </w:t>
      </w:r>
      <w:r>
        <w:rPr>
          <w:rtl w:val="true"/>
        </w:rPr>
        <w:t>ניתן גזר הדין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תסקיר שירות המבחן בעניינו של זוהדי</w:t>
      </w:r>
      <w:r>
        <w:rPr>
          <w:rtl w:val="true"/>
        </w:rPr>
        <w:t xml:space="preserve">, </w:t>
      </w:r>
      <w:r>
        <w:rPr>
          <w:rtl w:val="true"/>
        </w:rPr>
        <w:t>אשר לו פנים לכאן ולכאן</w:t>
      </w:r>
      <w:r>
        <w:rPr>
          <w:rtl w:val="true"/>
        </w:rPr>
        <w:t xml:space="preserve">: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צוין כי עסקינן באדם צעיר</w:t>
      </w:r>
      <w:r>
        <w:rPr>
          <w:rtl w:val="true"/>
        </w:rPr>
        <w:t xml:space="preserve">, </w:t>
      </w:r>
      <w:r>
        <w:rPr>
          <w:rtl w:val="true"/>
        </w:rPr>
        <w:t>המנהל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אשר הסתבכותו בפלילים מהווה עבורו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מרתיע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ומחדדת לו את גבולות המותר והאסור</w:t>
      </w:r>
      <w:r>
        <w:rPr>
          <w:rtl w:val="true"/>
        </w:rPr>
        <w:t xml:space="preserve">; </w:t>
      </w:r>
      <w:r>
        <w:rPr>
          <w:rtl w:val="true"/>
        </w:rPr>
        <w:t>מצד שני</w:t>
      </w:r>
      <w:r>
        <w:rPr>
          <w:rtl w:val="true"/>
        </w:rPr>
        <w:t xml:space="preserve">, </w:t>
      </w:r>
      <w:r>
        <w:rPr>
          <w:rtl w:val="true"/>
        </w:rPr>
        <w:t>הודגש כי על אף שזוהדי מבין שעליו לשאת בהשלכות למעשיו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מתאפיין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תוך נטילת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ונטייה לצמצום וטשטוש של חלקו בביצוע המעשים</w:t>
      </w:r>
      <w:r>
        <w:rPr>
          <w:rtl w:val="true"/>
        </w:rPr>
        <w:t xml:space="preserve">. </w:t>
      </w:r>
      <w:r>
        <w:rPr>
          <w:rtl w:val="true"/>
        </w:rPr>
        <w:t>בשורה התחתונה אפוא</w:t>
      </w:r>
      <w:r>
        <w:rPr>
          <w:rtl w:val="true"/>
        </w:rPr>
        <w:t xml:space="preserve">, </w:t>
      </w:r>
      <w:r>
        <w:rPr>
          <w:rtl w:val="true"/>
        </w:rPr>
        <w:t>המליץ שירות המבחן כי יושת על זוהדי עונש מוחשי</w:t>
      </w:r>
      <w:r>
        <w:rPr>
          <w:rtl w:val="true"/>
        </w:rPr>
        <w:t xml:space="preserve">, </w:t>
      </w:r>
      <w:r>
        <w:rPr>
          <w:rtl w:val="true"/>
        </w:rPr>
        <w:t>לשם חידוד הצבת הגבולות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ניגש בית המשפט המחוזי לקבוע את מתחם העונש ההולם</w:t>
      </w:r>
      <w:r>
        <w:rPr>
          <w:rtl w:val="true"/>
        </w:rPr>
        <w:t xml:space="preserve">. </w:t>
      </w:r>
      <w:r>
        <w:rPr>
          <w:rtl w:val="true"/>
        </w:rPr>
        <w:t>בהקשר זה הודגשו האינטרס החברתי המוגן שביסוד עבירות המס – אכיפת החוק</w:t>
      </w:r>
      <w:r>
        <w:rPr>
          <w:rtl w:val="true"/>
        </w:rPr>
        <w:t xml:space="preserve">, </w:t>
      </w:r>
      <w:r>
        <w:rPr>
          <w:rtl w:val="true"/>
        </w:rPr>
        <w:t>לבל יתחמקו נישומים מנשיאת חלקם במימון הקופה הציבורית</w:t>
      </w:r>
      <w:r>
        <w:rPr>
          <w:rtl w:val="true"/>
        </w:rPr>
        <w:t xml:space="preserve">; </w:t>
      </w:r>
      <w:r>
        <w:rPr>
          <w:rtl w:val="true"/>
        </w:rPr>
        <w:t>עמדת ההלכה הפסוקה – שלפיה ככלל יש להטיל על עברייני מס עונש מאסר בפועל</w:t>
      </w:r>
      <w:r>
        <w:rPr>
          <w:rtl w:val="true"/>
        </w:rPr>
        <w:t xml:space="preserve">, </w:t>
      </w:r>
      <w:r>
        <w:rPr>
          <w:rtl w:val="true"/>
        </w:rPr>
        <w:t>לצד הקנס הכספי</w:t>
      </w:r>
      <w:r>
        <w:rPr>
          <w:rtl w:val="true"/>
        </w:rPr>
        <w:t xml:space="preserve">; </w:t>
      </w:r>
      <w:r>
        <w:rPr>
          <w:rtl w:val="true"/>
        </w:rPr>
        <w:t>ונסיבות ביצוע העבירה בעניינו של זוהדי – אשר מעשיו בוצעו בהיקף משמעותי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בשיטתיות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ובגינם חמק מתשלום מס בסכומים גבוהים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ולאחר שסקר את מדיניות הענישה הנוהגת בכגון דא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העונש ההולם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קנס בשיעור הנע בין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200,000</w:t>
      </w:r>
      <w:r>
        <w:rPr>
          <w:rtl w:val="true"/>
        </w:rPr>
        <w:t xml:space="preserve"> ₪.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ולאחר שלא מצא לנכון לסטות ממתחם הענישה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לגזור את עונשו של זוהדי בגדרי המתחם</w:t>
      </w:r>
      <w:r>
        <w:rPr>
          <w:rtl w:val="true"/>
        </w:rPr>
        <w:t xml:space="preserve">. </w:t>
      </w:r>
      <w:r>
        <w:rPr>
          <w:rtl w:val="true"/>
        </w:rPr>
        <w:t>במסגרת השיקולים לקולא</w:t>
      </w:r>
      <w:r>
        <w:rPr>
          <w:rtl w:val="true"/>
        </w:rPr>
        <w:t xml:space="preserve">, </w:t>
      </w:r>
      <w:r>
        <w:rPr>
          <w:rtl w:val="true"/>
        </w:rPr>
        <w:t>ניתנה הדעת על מצבו המשפחתי של זוהדי</w:t>
      </w:r>
      <w:r>
        <w:rPr>
          <w:rtl w:val="true"/>
        </w:rPr>
        <w:t xml:space="preserve">, </w:t>
      </w:r>
      <w:r>
        <w:rPr>
          <w:rtl w:val="true"/>
        </w:rPr>
        <w:t>אשר נושא בנטל לפרנסת אחיו והוריו</w:t>
      </w:r>
      <w:r>
        <w:rPr>
          <w:rtl w:val="true"/>
        </w:rPr>
        <w:t xml:space="preserve">; </w:t>
      </w:r>
      <w:r>
        <w:rPr>
          <w:rtl w:val="true"/>
        </w:rPr>
        <w:t>על עברו הפלילי הנקי</w:t>
      </w:r>
      <w:r>
        <w:rPr>
          <w:rtl w:val="true"/>
        </w:rPr>
        <w:t xml:space="preserve">, </w:t>
      </w:r>
      <w:r>
        <w:rPr>
          <w:rtl w:val="true"/>
        </w:rPr>
        <w:t>בכל הקשור לעבירות מסים</w:t>
      </w:r>
      <w:r>
        <w:rPr>
          <w:rtl w:val="true"/>
        </w:rPr>
        <w:t xml:space="preserve">, </w:t>
      </w:r>
      <w:r>
        <w:rPr>
          <w:rtl w:val="true"/>
        </w:rPr>
        <w:t>והעובדה שלא עבר עבירה בתקופת ניהול ההליכים</w:t>
      </w:r>
      <w:r>
        <w:rPr>
          <w:rtl w:val="true"/>
        </w:rPr>
        <w:t xml:space="preserve">; </w:t>
      </w:r>
      <w:r>
        <w:rPr>
          <w:rtl w:val="true"/>
        </w:rPr>
        <w:t>על כך שלא הרוויח מביצוע העבירות</w:t>
      </w:r>
      <w:r>
        <w:rPr>
          <w:rtl w:val="true"/>
        </w:rPr>
        <w:t xml:space="preserve">; </w:t>
      </w:r>
      <w:r>
        <w:rPr>
          <w:rtl w:val="true"/>
        </w:rPr>
        <w:t>על הקשיים הראייתיים בתיק</w:t>
      </w:r>
      <w:r>
        <w:rPr>
          <w:rtl w:val="true"/>
        </w:rPr>
        <w:t xml:space="preserve">; </w:t>
      </w:r>
      <w:r>
        <w:rPr>
          <w:rtl w:val="true"/>
        </w:rPr>
        <w:t>על תסקיר שירות המבחן הנזכר לעיל</w:t>
      </w:r>
      <w:r>
        <w:rPr>
          <w:rtl w:val="true"/>
        </w:rPr>
        <w:t xml:space="preserve">, </w:t>
      </w:r>
      <w:r>
        <w:rPr>
          <w:rtl w:val="true"/>
        </w:rPr>
        <w:t>שלפיו ההליך הפלילי משמש עבורו גורם מרתיע</w:t>
      </w:r>
      <w:r>
        <w:rPr>
          <w:rtl w:val="true"/>
        </w:rPr>
        <w:t xml:space="preserve">; </w:t>
      </w:r>
      <w:r>
        <w:rPr>
          <w:rtl w:val="true"/>
        </w:rPr>
        <w:t>ועל הזמן השיפוטי שנחסך בעקבות הודאתו</w:t>
      </w:r>
      <w:r>
        <w:rPr>
          <w:rtl w:val="true"/>
        </w:rPr>
        <w:t xml:space="preserve">, </w:t>
      </w:r>
      <w:r>
        <w:rPr>
          <w:rtl w:val="true"/>
        </w:rPr>
        <w:t>כמו גם שיתוף הפעולה מצדו</w:t>
      </w:r>
      <w:r>
        <w:rPr>
          <w:rtl w:val="true"/>
        </w:rPr>
        <w:t xml:space="preserve">, </w:t>
      </w:r>
      <w:r>
        <w:rPr>
          <w:rtl w:val="true"/>
        </w:rPr>
        <w:t>כאשר העיד נגד מעורבים אחרים בפרשה</w:t>
      </w:r>
      <w:r>
        <w:rPr>
          <w:rtl w:val="true"/>
        </w:rPr>
        <w:t xml:space="preserve">. </w:t>
      </w:r>
      <w:r>
        <w:rPr>
          <w:rtl w:val="true"/>
        </w:rPr>
        <w:t>עוד ציין בית 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כי שקל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זוהדי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זניח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זוהדי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הועמדו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אולם לצד זאת הבהיר כי המדינה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באשר לזמן הלא מבוטל שחלף ממועד הגשת כתב האישום ועד למועד ההרשעה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חלוף הזמן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מדחיות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זוהדי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לחומרה הובאו בחשבון נטייתו של זוהדי לצמצם את אחריותו</w:t>
      </w:r>
      <w:r>
        <w:rPr>
          <w:rtl w:val="true"/>
        </w:rPr>
        <w:t xml:space="preserve">, </w:t>
      </w:r>
      <w:r>
        <w:rPr>
          <w:rtl w:val="true"/>
        </w:rPr>
        <w:t>כמו גם המלצת שירות המבחן להטלת עונש מוחשי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את טענותיו של זוהדי</w:t>
      </w:r>
      <w:r>
        <w:rPr>
          <w:rtl w:val="true"/>
        </w:rPr>
        <w:t xml:space="preserve">, </w:t>
      </w:r>
      <w:r>
        <w:rPr>
          <w:rtl w:val="true"/>
        </w:rPr>
        <w:t>אלה שבכתב ואלה שהשמיע בעל</w:t>
      </w:r>
      <w:r>
        <w:rPr>
          <w:rtl w:val="true"/>
        </w:rPr>
        <w:t>-</w:t>
      </w:r>
      <w:r>
        <w:rPr>
          <w:rtl w:val="true"/>
        </w:rPr>
        <w:t>פה בא</w:t>
      </w:r>
      <w:r>
        <w:rPr>
          <w:rtl w:val="true"/>
        </w:rPr>
        <w:t>-</w:t>
      </w:r>
      <w:r>
        <w:rPr>
          <w:rtl w:val="true"/>
        </w:rPr>
        <w:t>כוחו בדיון לפנינו</w:t>
      </w:r>
      <w:r>
        <w:rPr>
          <w:rtl w:val="true"/>
        </w:rPr>
        <w:t xml:space="preserve">, </w:t>
      </w:r>
      <w:r>
        <w:rPr>
          <w:rtl w:val="true"/>
        </w:rPr>
        <w:t>ניתן לחלק לשלושה נדבכים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הנדבך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tl w:val="true"/>
        </w:rPr>
        <w:t xml:space="preserve"> נוגע לטענות הקשורות בהגינות ההליך</w:t>
      </w:r>
      <w:r>
        <w:rPr>
          <w:rtl w:val="true"/>
        </w:rPr>
        <w:t xml:space="preserve">, </w:t>
      </w:r>
      <w:r>
        <w:rPr>
          <w:rtl w:val="true"/>
        </w:rPr>
        <w:t>מתחום ההגנה מן הצדק</w:t>
      </w:r>
      <w:r>
        <w:rPr>
          <w:rtl w:val="true"/>
        </w:rPr>
        <w:t xml:space="preserve">. </w:t>
      </w:r>
      <w:r>
        <w:rPr>
          <w:rtl w:val="true"/>
        </w:rPr>
        <w:t>בעניין זה נטען</w:t>
      </w:r>
      <w:r>
        <w:rPr>
          <w:rtl w:val="true"/>
        </w:rPr>
        <w:t xml:space="preserve">, </w:t>
      </w:r>
      <w:r>
        <w:rPr>
          <w:rtl w:val="true"/>
        </w:rPr>
        <w:t>כי התנהלות המדינה לוקה באכיפה סלקטיבית</w:t>
      </w:r>
      <w:r>
        <w:rPr>
          <w:rtl w:val="true"/>
        </w:rPr>
        <w:t xml:space="preserve">, </w:t>
      </w:r>
      <w:r>
        <w:rPr>
          <w:rtl w:val="true"/>
        </w:rPr>
        <w:t>המובילה לענישה סלקטיבית</w:t>
      </w:r>
      <w:r>
        <w:rPr>
          <w:rtl w:val="true"/>
        </w:rPr>
        <w:t xml:space="preserve">, </w:t>
      </w:r>
      <w:r>
        <w:rPr>
          <w:rtl w:val="true"/>
        </w:rPr>
        <w:t>באשר העונש שנגזר על זוהדי חמור מעונשם של אחרים בפרשה</w:t>
      </w:r>
      <w:r>
        <w:rPr>
          <w:rtl w:val="true"/>
        </w:rPr>
        <w:t xml:space="preserve">, </w:t>
      </w:r>
      <w:r>
        <w:rPr>
          <w:rtl w:val="true"/>
        </w:rPr>
        <w:t>ללא הצדקה</w:t>
      </w:r>
      <w:r>
        <w:rPr>
          <w:rtl w:val="true"/>
        </w:rPr>
        <w:t xml:space="preserve">, </w:t>
      </w:r>
      <w:r>
        <w:rPr>
          <w:rtl w:val="true"/>
        </w:rPr>
        <w:t>וכאשר ישנם מעורבים נוספים – ובפרט האדם האחר שנזכר בכתב האישום המתוקן – שבאופן תמוה הוחלט שלא להעמידם לדין</w:t>
      </w:r>
      <w:r>
        <w:rPr>
          <w:rtl w:val="true"/>
        </w:rPr>
        <w:t xml:space="preserve">. </w:t>
      </w:r>
      <w:r>
        <w:rPr>
          <w:rtl w:val="true"/>
        </w:rPr>
        <w:t>עוד טוען זוהדי בהקשר זה</w:t>
      </w:r>
      <w:r>
        <w:rPr>
          <w:rtl w:val="true"/>
        </w:rPr>
        <w:t xml:space="preserve">, </w:t>
      </w:r>
      <w:r>
        <w:rPr>
          <w:rtl w:val="true"/>
        </w:rPr>
        <w:t>כי גזר הדין לא מתחשב בתיקונים שנעשו בכתב האישום – אשר נעשו מתוך אינטרס של המדינה</w:t>
      </w:r>
      <w:r>
        <w:rPr>
          <w:rtl w:val="true"/>
        </w:rPr>
        <w:t xml:space="preserve">, </w:t>
      </w:r>
      <w:r>
        <w:rPr>
          <w:rtl w:val="true"/>
        </w:rPr>
        <w:t>על רקע קשיים ראייתיים שנתגלו בתיק</w:t>
      </w:r>
      <w:r>
        <w:rPr>
          <w:rtl w:val="true"/>
        </w:rPr>
        <w:t xml:space="preserve">, </w:t>
      </w:r>
      <w:r>
        <w:rPr>
          <w:rtl w:val="true"/>
        </w:rPr>
        <w:t>כמו גם כשלים בהעברת חומרי החקירה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הנדבך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tl w:val="true"/>
        </w:rPr>
        <w:t xml:space="preserve"> קשור בפרק הזמן הממושך שחלף מפתיחת החקירה ועד ההעמדה לדין</w:t>
      </w:r>
      <w:r>
        <w:rPr>
          <w:rtl w:val="true"/>
        </w:rPr>
        <w:t xml:space="preserve">. </w:t>
      </w:r>
      <w:r>
        <w:rPr>
          <w:rtl w:val="true"/>
        </w:rPr>
        <w:t>לפי זוהדי 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בניגוד לאמור בגזר הדין</w:t>
      </w:r>
      <w:r>
        <w:rPr>
          <w:rtl w:val="true"/>
        </w:rPr>
        <w:t xml:space="preserve">, </w:t>
      </w:r>
      <w:r>
        <w:rPr>
          <w:rtl w:val="true"/>
        </w:rPr>
        <w:t>אין לתלות בהם את האחריות להימשכות ההליכים</w:t>
      </w:r>
      <w:r>
        <w:rPr>
          <w:rtl w:val="true"/>
        </w:rPr>
        <w:t xml:space="preserve">; </w:t>
      </w:r>
      <w:r>
        <w:rPr>
          <w:rtl w:val="true"/>
        </w:rPr>
        <w:t>אלא במדינה</w:t>
      </w:r>
      <w:r>
        <w:rPr>
          <w:rtl w:val="true"/>
        </w:rPr>
        <w:t xml:space="preserve">, </w:t>
      </w:r>
      <w:r>
        <w:rPr>
          <w:rtl w:val="true"/>
        </w:rPr>
        <w:t>שתכופות החליפה את הגוף התובע</w:t>
      </w:r>
      <w:r>
        <w:rPr>
          <w:rtl w:val="true"/>
        </w:rPr>
        <w:t xml:space="preserve">, </w:t>
      </w:r>
      <w:r>
        <w:rPr>
          <w:rtl w:val="true"/>
        </w:rPr>
        <w:t>דבר שבכל פעם הצריך מהתובעים ללמוד מחדש את התיק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הנדבך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נוגע לנסיבותיו האישיות של </w:t>
      </w:r>
      <w:r>
        <w:rPr>
          <w:rFonts w:ascii="Century" w:hAnsi="Century" w:cs="Century"/>
          <w:sz w:val="22"/>
          <w:sz w:val="22"/>
          <w:rtl w:val="true"/>
        </w:rPr>
        <w:t>זוהדי</w:t>
      </w:r>
      <w:r>
        <w:rPr>
          <w:rtl w:val="true"/>
        </w:rPr>
        <w:t xml:space="preserve">, </w:t>
      </w:r>
      <w:r>
        <w:rPr>
          <w:rtl w:val="true"/>
        </w:rPr>
        <w:t>והכשל בהכנת התסקיר בעניינו</w:t>
      </w:r>
      <w:r>
        <w:rPr>
          <w:rtl w:val="true"/>
        </w:rPr>
        <w:t xml:space="preserve">, </w:t>
      </w:r>
      <w:r>
        <w:rPr>
          <w:rtl w:val="true"/>
        </w:rPr>
        <w:t>אשר התבסס על שיחות שנערכו עמו בשפה העברית</w:t>
      </w:r>
      <w:r>
        <w:rPr>
          <w:rtl w:val="true"/>
        </w:rPr>
        <w:t xml:space="preserve">, </w:t>
      </w:r>
      <w:r>
        <w:rPr>
          <w:rtl w:val="true"/>
        </w:rPr>
        <w:t>הגם שאיננו שולט בה</w:t>
      </w:r>
      <w:r>
        <w:rPr>
          <w:rtl w:val="true"/>
        </w:rPr>
        <w:t xml:space="preserve">, </w:t>
      </w:r>
      <w:r>
        <w:rPr>
          <w:rtl w:val="true"/>
        </w:rPr>
        <w:t>לפי הנטען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באופן מיטבי</w:t>
      </w:r>
      <w:r>
        <w:rPr>
          <w:rtl w:val="true"/>
        </w:rPr>
        <w:t xml:space="preserve">. </w:t>
      </w:r>
      <w:r>
        <w:rPr>
          <w:rtl w:val="true"/>
        </w:rPr>
        <w:t>לגבי נסיבותיו האישיות</w:t>
      </w:r>
      <w:r>
        <w:rPr>
          <w:rtl w:val="true"/>
        </w:rPr>
        <w:t xml:space="preserve">, </w:t>
      </w:r>
      <w:r>
        <w:rPr>
          <w:rtl w:val="true"/>
        </w:rPr>
        <w:t>טוען זוהדי כי בעקבות ההליך הפלילי – חלה תמורה משמעותית בחייו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tl w:val="true"/>
        </w:rPr>
        <w:t xml:space="preserve">, </w:t>
      </w:r>
      <w:r>
        <w:rPr>
          <w:rtl w:val="true"/>
        </w:rPr>
        <w:t>והתייצב מבחינה תעסוקתית</w:t>
      </w:r>
      <w:r>
        <w:rPr>
          <w:rtl w:val="true"/>
        </w:rPr>
        <w:t xml:space="preserve">; </w:t>
      </w:r>
      <w:r>
        <w:rPr>
          <w:rtl w:val="true"/>
        </w:rPr>
        <w:t>כי התסקיר שנערך בעניינו לקראת הדיון בערעור זה – יעיד</w:t>
      </w:r>
      <w:r>
        <w:rPr>
          <w:rtl w:val="true"/>
        </w:rPr>
        <w:t xml:space="preserve">; </w:t>
      </w:r>
      <w:r>
        <w:rPr>
          <w:rtl w:val="true"/>
        </w:rPr>
        <w:t>וכי בהינתן זאת – אין תועלת בהשמתו במאסר מאחורי סורג ובריח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להפחיתו</w:t>
      </w:r>
      <w:r>
        <w:rPr>
          <w:rtl w:val="true"/>
        </w:rPr>
        <w:t xml:space="preserve">, </w:t>
      </w:r>
      <w:r>
        <w:rPr>
          <w:rtl w:val="true"/>
        </w:rPr>
        <w:t>ולהמירו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דוחה את טענותיו של זוהדי מכל וכל</w:t>
      </w:r>
      <w:r>
        <w:rPr>
          <w:rtl w:val="true"/>
        </w:rPr>
        <w:t xml:space="preserve">. </w:t>
      </w:r>
      <w:r>
        <w:rPr>
          <w:rtl w:val="true"/>
        </w:rPr>
        <w:t>ראשית נטען</w:t>
      </w:r>
      <w:r>
        <w:rPr>
          <w:rtl w:val="true"/>
        </w:rPr>
        <w:t xml:space="preserve">, </w:t>
      </w:r>
      <w:r>
        <w:rPr>
          <w:rtl w:val="true"/>
        </w:rPr>
        <w:t>כי קו הטיעון שמציג זוהדי בערעור עומד בסתירה חזיתית להסדר הטיעון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 כאמור הודה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תוך ידיעה והסכמה לכך שהמדינה תטען לעונש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בנוגע לאופן עריכת התסקיר בבית המשפט המחוזי</w:t>
      </w:r>
      <w:r>
        <w:rPr>
          <w:rtl w:val="true"/>
        </w:rPr>
        <w:t xml:space="preserve">, </w:t>
      </w:r>
      <w:r>
        <w:rPr>
          <w:rtl w:val="true"/>
        </w:rPr>
        <w:t>מדגישה המדינה כי זוהדי דובר את השפה העברית</w:t>
      </w:r>
      <w:r>
        <w:rPr>
          <w:rtl w:val="true"/>
        </w:rPr>
        <w:t xml:space="preserve">, </w:t>
      </w:r>
      <w:r>
        <w:rPr>
          <w:rtl w:val="true"/>
        </w:rPr>
        <w:t>כי לא נזקק למתורגמן בבית המשפט</w:t>
      </w:r>
      <w:r>
        <w:rPr>
          <w:rtl w:val="true"/>
        </w:rPr>
        <w:t xml:space="preserve">, </w:t>
      </w:r>
      <w:r>
        <w:rPr>
          <w:rtl w:val="true"/>
        </w:rPr>
        <w:t>וכי לא צוין – לא בתסקיר בבית המשפט המחוזי</w:t>
      </w:r>
      <w:r>
        <w:rPr>
          <w:rtl w:val="true"/>
        </w:rPr>
        <w:t xml:space="preserve">, </w:t>
      </w:r>
      <w:r>
        <w:rPr>
          <w:rtl w:val="true"/>
        </w:rPr>
        <w:t>גם לא בזה שנערך לקראת הערעור דנן – כי שיחה עמו בשפה העברית היוותה בעיה לעריכת תסקיר מהימן בעניינו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לגבי התסקיר שנערך לקראת הדיון בערעור</w:t>
      </w:r>
      <w:r>
        <w:rPr>
          <w:rtl w:val="true"/>
        </w:rPr>
        <w:t xml:space="preserve">, </w:t>
      </w:r>
      <w:r>
        <w:rPr>
          <w:rtl w:val="true"/>
        </w:rPr>
        <w:t>נטען כי הגם</w:t>
      </w:r>
      <w:r>
        <w:rPr>
          <w:rtl w:val="true"/>
        </w:rPr>
        <w:t xml:space="preserve"> שהתסקיר </w:t>
      </w:r>
      <w:r>
        <w:rPr>
          <w:rtl w:val="true"/>
        </w:rPr>
        <w:t>–</w:t>
      </w:r>
      <w:r>
        <w:rPr>
          <w:rtl w:val="true"/>
        </w:rPr>
        <w:t xml:space="preserve"> שזו הפעם התבסס על שיחה בעברית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ככלל חיובי</w:t>
      </w:r>
      <w:r>
        <w:rPr>
          <w:rtl w:val="true"/>
        </w:rPr>
        <w:t xml:space="preserve">, </w:t>
      </w:r>
      <w:r>
        <w:rPr>
          <w:rtl w:val="true"/>
        </w:rPr>
        <w:t>הרי שבסופו של דבר לא בא שירות המבחן בהמלצה להפחתה בעונש</w:t>
      </w:r>
      <w:r>
        <w:rPr>
          <w:rtl w:val="true"/>
        </w:rPr>
        <w:t xml:space="preserve">, </w:t>
      </w:r>
      <w:r>
        <w:rPr>
          <w:rtl w:val="true"/>
        </w:rPr>
        <w:t>וממילא אין בתסקיר העדכני כדי ללמד על כשלים שנפלו בהליך לפני בית המשפט המחוזי</w:t>
      </w:r>
      <w:r>
        <w:rPr>
          <w:rtl w:val="true"/>
        </w:rPr>
        <w:t xml:space="preserve">. </w:t>
      </w:r>
      <w:r>
        <w:rPr>
          <w:rtl w:val="true"/>
        </w:rPr>
        <w:t>בכל הנוגע לטענות בדבר אכיפה או ענישה סלקטיבית</w:t>
      </w:r>
      <w:r>
        <w:rPr>
          <w:rtl w:val="true"/>
        </w:rPr>
        <w:t xml:space="preserve">, </w:t>
      </w:r>
      <w:r>
        <w:rPr>
          <w:rtl w:val="true"/>
        </w:rPr>
        <w:t>סבורה המדינה כי אין מקום למזער את חלקו של זוהדי בביצוע המעשים</w:t>
      </w:r>
      <w:r>
        <w:rPr>
          <w:rtl w:val="true"/>
        </w:rPr>
        <w:t xml:space="preserve">, </w:t>
      </w:r>
      <w:r>
        <w:rPr>
          <w:rtl w:val="true"/>
        </w:rPr>
        <w:t>באשר כעולה מעובדות כתב האישום</w:t>
      </w:r>
      <w:r>
        <w:rPr>
          <w:rtl w:val="true"/>
        </w:rPr>
        <w:t xml:space="preserve">, </w:t>
      </w:r>
      <w:r>
        <w:rPr>
          <w:rtl w:val="true"/>
        </w:rPr>
        <w:t>ברי כי נטל חלק משמעותי בביצוע העבירות</w:t>
      </w:r>
      <w:r>
        <w:rPr>
          <w:rtl w:val="true"/>
        </w:rPr>
        <w:t xml:space="preserve">. </w:t>
      </w:r>
      <w:r>
        <w:rPr>
          <w:rtl w:val="true"/>
        </w:rPr>
        <w:t>אשר לטענות ההגנה מן הצדק</w:t>
      </w:r>
      <w:r>
        <w:rPr>
          <w:rtl w:val="true"/>
        </w:rPr>
        <w:t xml:space="preserve">, </w:t>
      </w:r>
      <w:r>
        <w:rPr>
          <w:rtl w:val="true"/>
        </w:rPr>
        <w:t>מדגישה המדינה כי עניינו של זוהדי נדון כחלק מפרשה גדולה</w:t>
      </w:r>
      <w:r>
        <w:rPr>
          <w:rtl w:val="true"/>
        </w:rPr>
        <w:t xml:space="preserve">, </w:t>
      </w:r>
      <w:r>
        <w:rPr>
          <w:rtl w:val="true"/>
        </w:rPr>
        <w:t>והגם שאמנם חלק מהמעורבים לכאורה בפרשה לא הועמדו לדין בסופו של דבר</w:t>
      </w:r>
      <w:r>
        <w:rPr>
          <w:rtl w:val="true"/>
        </w:rPr>
        <w:t xml:space="preserve">, </w:t>
      </w:r>
      <w:r>
        <w:rPr>
          <w:rtl w:val="true"/>
        </w:rPr>
        <w:t>הרי שהדבר נעשה משיקולים לגיטימיים</w:t>
      </w:r>
      <w:r>
        <w:rPr>
          <w:rtl w:val="true"/>
        </w:rPr>
        <w:t xml:space="preserve">, </w:t>
      </w:r>
      <w:r>
        <w:rPr>
          <w:rtl w:val="true"/>
        </w:rPr>
        <w:t>דוגמת קשיים ראייתיים וכיוצא באלה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br/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</w:t>
      </w:r>
      <w:r>
        <w:rPr>
          <w:rtl w:val="true"/>
        </w:rPr>
        <w:t xml:space="preserve">תי </w:t>
      </w:r>
      <w:r>
        <w:rPr>
          <w:rtl w:val="true"/>
        </w:rPr>
        <w:t>את טענות הצדדים</w:t>
      </w:r>
      <w:r>
        <w:rPr>
          <w:rtl w:val="true"/>
        </w:rPr>
        <w:t xml:space="preserve">, </w:t>
      </w:r>
      <w:r>
        <w:rPr>
          <w:rtl w:val="true"/>
        </w:rPr>
        <w:t>מזה ומזה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ולאחר שבמהלך הדיון בערעור ניסינו להפך בזכותו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שמא יש מקום לנקוט כלפיו אמת מידה שלפנים משורת הדין </w:t>
      </w:r>
      <w:r>
        <w:rPr>
          <w:rtl w:val="true"/>
        </w:rPr>
        <w:t>–</w:t>
      </w:r>
      <w:r>
        <w:rPr>
          <w:rtl w:val="true"/>
        </w:rPr>
        <w:t xml:space="preserve"> באתי </w:t>
      </w:r>
      <w:r>
        <w:rPr>
          <w:rtl w:val="true"/>
        </w:rPr>
        <w:t>לכלל מסקנה כי אין מקום להעתר לערעור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עונש שהטילה הערכאה הדיונית – ערכאת הערעור תתערב בו במשורה</w:t>
      </w:r>
      <w:r>
        <w:rPr>
          <w:rtl w:val="true"/>
        </w:rPr>
        <w:t xml:space="preserve">, </w:t>
      </w:r>
      <w:r>
        <w:rPr>
          <w:rtl w:val="true"/>
        </w:rPr>
        <w:t>במקרים חריגים בלבד</w:t>
      </w:r>
      <w:r>
        <w:rPr>
          <w:rtl w:val="true"/>
        </w:rPr>
        <w:t xml:space="preserve">, </w:t>
      </w:r>
      <w:r>
        <w:rPr>
          <w:rtl w:val="true"/>
        </w:rPr>
        <w:t xml:space="preserve">בהינתן טעות מהותית שנפלה בפסק הדין או סטייה של ממש ממדיניות הענישה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רבים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אמסלם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7.6.2021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 ממש בטענות לפגמים בהליך</w:t>
      </w:r>
      <w:r>
        <w:rPr>
          <w:rtl w:val="true"/>
        </w:rPr>
        <w:t xml:space="preserve">; </w:t>
      </w:r>
      <w:r>
        <w:rPr>
          <w:rtl w:val="true"/>
        </w:rPr>
        <w:t>אם לגבי אכיפה או ענישה סלקטיבית</w:t>
      </w:r>
      <w:r>
        <w:rPr>
          <w:rtl w:val="true"/>
        </w:rPr>
        <w:t xml:space="preserve">, </w:t>
      </w:r>
      <w:r>
        <w:rPr>
          <w:rtl w:val="true"/>
        </w:rPr>
        <w:t>אם לגבי אי</w:t>
      </w:r>
      <w:r>
        <w:rPr>
          <w:rtl w:val="true"/>
        </w:rPr>
        <w:t>-</w:t>
      </w:r>
      <w:r>
        <w:rPr>
          <w:rtl w:val="true"/>
        </w:rPr>
        <w:t>שקילת התיקונים שהוטמעו בכתב האישום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בגזר הדין פירט בית המשפט המחוזי את העובדות כפי שנכתבו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והתייחס לעניינם של אחרים בפרשה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בדיון לפנינו הבהיר ב</w:t>
      </w:r>
      <w:r>
        <w:rPr>
          <w:rtl w:val="true"/>
        </w:rPr>
        <w:t>"</w:t>
      </w:r>
      <w:r>
        <w:rPr>
          <w:rtl w:val="true"/>
        </w:rPr>
        <w:t xml:space="preserve">כ המדינה כי עד כה ניתנו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גזרי דין במסגרת הפרשה – ולא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כפי שצוין בגזר הדין</w:t>
      </w:r>
      <w:r>
        <w:rPr>
          <w:rtl w:val="true"/>
        </w:rPr>
        <w:t xml:space="preserve">; </w:t>
      </w:r>
      <w:r>
        <w:rPr>
          <w:rtl w:val="true"/>
        </w:rPr>
        <w:t>אולם על כל פנים</w:t>
      </w:r>
      <w:r>
        <w:rPr>
          <w:rtl w:val="true"/>
        </w:rPr>
        <w:t xml:space="preserve">, </w:t>
      </w:r>
      <w:r>
        <w:rPr>
          <w:rtl w:val="true"/>
        </w:rPr>
        <w:t>אין לכך השלכה מהותית</w:t>
      </w:r>
      <w:r>
        <w:rPr>
          <w:rtl w:val="true"/>
        </w:rPr>
        <w:t xml:space="preserve">, </w:t>
      </w:r>
      <w:r>
        <w:rPr>
          <w:rtl w:val="true"/>
        </w:rPr>
        <w:t>והעיקר הריהו שהיבט זה לא נעלם מעינ</w:t>
      </w:r>
      <w:r>
        <w:rPr>
          <w:rtl w:val="true"/>
        </w:rPr>
        <w:t>י</w:t>
      </w:r>
      <w:r>
        <w:rPr>
          <w:rtl w:val="true"/>
        </w:rPr>
        <w:t>ו של בית המשפט</w:t>
      </w:r>
      <w:r>
        <w:rPr>
          <w:rtl w:val="true"/>
        </w:rPr>
        <w:t xml:space="preserve"> המחוזי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מכלול ההיבטים הללו – הובאו אפוא בחשבון</w:t>
      </w:r>
      <w:r>
        <w:rPr>
          <w:rtl w:val="true"/>
        </w:rPr>
        <w:t xml:space="preserve">, </w:t>
      </w:r>
      <w:r>
        <w:rPr>
          <w:rtl w:val="true"/>
        </w:rPr>
        <w:t>ולא שוכנע</w:t>
      </w:r>
      <w:r>
        <w:rPr>
          <w:rtl w:val="true"/>
        </w:rPr>
        <w:t>תי</w:t>
      </w:r>
      <w:r>
        <w:rPr>
          <w:rtl w:val="true"/>
        </w:rPr>
        <w:t xml:space="preserve"> כי זוהדי זכה ליחס בלתי שוויוני</w:t>
      </w:r>
      <w:r>
        <w:rPr>
          <w:rtl w:val="true"/>
        </w:rPr>
        <w:t xml:space="preserve">, </w:t>
      </w:r>
      <w:r>
        <w:rPr>
          <w:rtl w:val="true"/>
        </w:rPr>
        <w:t>או לא הוגן</w:t>
      </w:r>
      <w:r>
        <w:rPr>
          <w:rtl w:val="true"/>
        </w:rPr>
        <w:t xml:space="preserve">. </w:t>
      </w:r>
      <w:r>
        <w:rPr>
          <w:rtl w:val="true"/>
        </w:rPr>
        <w:t>הוא הדין בנוגע לטענה כי האשם בהימשכות ההליכים רובץ לפתחה של המדינה – עניין אשר צוין במפורש בגזר הדין</w:t>
      </w:r>
      <w:r>
        <w:rPr>
          <w:rtl w:val="true"/>
        </w:rPr>
        <w:t xml:space="preserve">, </w:t>
      </w:r>
      <w:r>
        <w:rPr>
          <w:rtl w:val="true"/>
        </w:rPr>
        <w:t>כשיקול לקולא</w:t>
      </w:r>
      <w:r>
        <w:rPr>
          <w:rtl w:val="true"/>
        </w:rPr>
        <w:t xml:space="preserve">, </w:t>
      </w:r>
      <w:r>
        <w:rPr>
          <w:rtl w:val="true"/>
        </w:rPr>
        <w:t>אם כי באופן מסוים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לנסיבותיו האישיות של זוהדי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אפילו </w:t>
      </w:r>
      <w:r>
        <w:rPr>
          <w:rtl w:val="true"/>
        </w:rPr>
        <w:t>א</w:t>
      </w:r>
      <w:r>
        <w:rPr>
          <w:rtl w:val="true"/>
        </w:rPr>
        <w:t>ניח – ולא בלי ספק – כי יש ממש בטענותיו של זוהדי בדבר עריכת התסקיר בעברית ולא בערבית</w:t>
      </w:r>
      <w:r>
        <w:rPr>
          <w:rtl w:val="true"/>
        </w:rPr>
        <w:t xml:space="preserve">, </w:t>
      </w:r>
      <w:r>
        <w:rPr>
          <w:rtl w:val="true"/>
        </w:rPr>
        <w:t>וכי הדבר פעל לרעתו</w:t>
      </w:r>
      <w:r>
        <w:rPr>
          <w:rtl w:val="true"/>
        </w:rPr>
        <w:t xml:space="preserve">, </w:t>
      </w:r>
      <w:r>
        <w:rPr>
          <w:rtl w:val="true"/>
        </w:rPr>
        <w:t>הרי שבהליך הכנת התסקיר לקראת הדיון בערעור דנן נעשו השיחות עם זוהדי בערבית</w:t>
      </w:r>
      <w:r>
        <w:rPr>
          <w:rtl w:val="true"/>
        </w:rPr>
        <w:t xml:space="preserve">;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אפילו היתה תקלה</w:t>
      </w:r>
      <w:r>
        <w:rPr>
          <w:rtl w:val="true"/>
        </w:rPr>
        <w:t xml:space="preserve">, </w:t>
      </w:r>
      <w:r>
        <w:rPr>
          <w:rtl w:val="true"/>
        </w:rPr>
        <w:t>נראה כי עניין זה בא על תיקונו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והוא העיקר</w:t>
      </w:r>
      <w:r>
        <w:rPr>
          <w:rtl w:val="true"/>
        </w:rPr>
        <w:t xml:space="preserve">, </w:t>
      </w:r>
      <w:r>
        <w:rPr>
          <w:rtl w:val="true"/>
        </w:rPr>
        <w:t>הגם שאין חולק כי התסקיר הנוכחי חיובי – לא שוכנע</w:t>
      </w:r>
      <w:r>
        <w:rPr>
          <w:rtl w:val="true"/>
        </w:rPr>
        <w:t>תי</w:t>
      </w:r>
      <w:r>
        <w:rPr>
          <w:rtl w:val="true"/>
        </w:rPr>
        <w:t xml:space="preserve"> כי הדבר מצדיק את התערבותנו</w:t>
      </w:r>
      <w:r>
        <w:rPr>
          <w:rtl w:val="true"/>
        </w:rPr>
        <w:t xml:space="preserve">. </w:t>
      </w:r>
      <w:r>
        <w:rPr>
          <w:rtl w:val="true"/>
        </w:rPr>
        <w:t>זוהדי הפנים את חומרת מעשיו</w:t>
      </w:r>
      <w:r>
        <w:rPr>
          <w:rtl w:val="true"/>
        </w:rPr>
        <w:t xml:space="preserve">, </w:t>
      </w:r>
      <w:r>
        <w:rPr>
          <w:rtl w:val="true"/>
        </w:rPr>
        <w:t>ההליך הפלילי הרתיעו</w:t>
      </w:r>
      <w:r>
        <w:rPr>
          <w:rtl w:val="true"/>
        </w:rPr>
        <w:t xml:space="preserve">, </w:t>
      </w:r>
      <w:r>
        <w:rPr>
          <w:rtl w:val="true"/>
        </w:rPr>
        <w:t>הוא עושה מאמצים לחזור למוטב – וטוב שכך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בית משפט זה עמד לא פעם על החומרה בעבירות המס</w:t>
      </w:r>
      <w:r>
        <w:rPr>
          <w:rtl w:val="true"/>
        </w:rPr>
        <w:t xml:space="preserve">, </w:t>
      </w:r>
      <w:r>
        <w:rPr>
          <w:rtl w:val="true"/>
        </w:rPr>
        <w:t>בפרט כאשר הן נעשות לאורך תקופה</w:t>
      </w:r>
      <w:r>
        <w:rPr>
          <w:rtl w:val="true"/>
        </w:rPr>
        <w:t xml:space="preserve">, </w:t>
      </w:r>
      <w:r>
        <w:rPr>
          <w:rtl w:val="true"/>
        </w:rPr>
        <w:t xml:space="preserve">בסכומים גדולים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381</w:t>
      </w:r>
      <w:r>
        <w:rPr>
          <w:rtl w:val="true"/>
        </w:rPr>
        <w:t xml:space="preserve">, </w:t>
      </w:r>
      <w:r>
        <w:rPr/>
        <w:t>384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)); </w:t>
      </w:r>
      <w:r>
        <w:rPr>
          <w:rtl w:val="true"/>
        </w:rPr>
        <w:t xml:space="preserve">ועל הצורך בהטלת עונש מאסר בפועל בגינן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624/80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ארנסט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211</w:t>
      </w:r>
      <w:r>
        <w:rPr>
          <w:rtl w:val="true"/>
        </w:rPr>
        <w:t xml:space="preserve">, </w:t>
      </w:r>
      <w:r>
        <w:rPr/>
        <w:t>218-217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17.3.2020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3.3.2020</w:t>
      </w:r>
      <w:r>
        <w:rPr>
          <w:rtl w:val="true"/>
        </w:rPr>
        <w:t>)[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  <w:r>
        <w:rPr>
          <w:rtl w:val="true"/>
        </w:rPr>
        <w:t>כאמור בגזר הדין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זוהדי נשקלו</w:t>
      </w:r>
      <w:r>
        <w:rPr>
          <w:rtl w:val="true"/>
        </w:rPr>
        <w:t xml:space="preserve">, </w:t>
      </w:r>
      <w:r>
        <w:rPr>
          <w:rtl w:val="true"/>
        </w:rPr>
        <w:t>הביאו להקלה בעונשו בגדרי המתחם</w:t>
      </w:r>
      <w:r>
        <w:rPr>
          <w:rtl w:val="true"/>
        </w:rPr>
        <w:t xml:space="preserve">. </w:t>
      </w:r>
      <w:r>
        <w:rPr>
          <w:rtl w:val="true"/>
        </w:rPr>
        <w:t>אולם שיקול זה איננו חזות הכל</w:t>
      </w:r>
      <w:r>
        <w:rPr>
          <w:rtl w:val="true"/>
        </w:rPr>
        <w:t xml:space="preserve">; </w:t>
      </w:r>
      <w:r>
        <w:rPr>
          <w:rtl w:val="true"/>
        </w:rPr>
        <w:t>אין להקל ראש בסכומים הגבוהים שזוהדי חמק מלשלמם</w:t>
      </w:r>
      <w:r>
        <w:rPr>
          <w:rtl w:val="true"/>
        </w:rPr>
        <w:t xml:space="preserve">, </w:t>
      </w:r>
      <w:r>
        <w:rPr>
          <w:rtl w:val="true"/>
        </w:rPr>
        <w:t>ובהינתן שהכסף לא הוחזר</w:t>
      </w:r>
      <w:r>
        <w:rPr>
          <w:rtl w:val="true"/>
        </w:rPr>
        <w:t xml:space="preserve">, </w:t>
      </w:r>
      <w:r>
        <w:rPr>
          <w:rtl w:val="true"/>
        </w:rPr>
        <w:t>כך שבסופו של יום הציבור הוא זה שנושא בנזק – בדין קבע בית המשפט המחוזי כי מתחייב עונש מאסר בפועל</w:t>
      </w:r>
      <w:r>
        <w:rPr>
          <w:rtl w:val="true"/>
        </w:rPr>
        <w:t xml:space="preserve">. </w:t>
      </w:r>
      <w:r>
        <w:rPr>
          <w:rtl w:val="true"/>
        </w:rPr>
        <w:t>גם לא מצא</w:t>
      </w:r>
      <w:r>
        <w:rPr>
          <w:rtl w:val="true"/>
        </w:rPr>
        <w:t>תי</w:t>
      </w:r>
      <w:r>
        <w:rPr>
          <w:rtl w:val="true"/>
        </w:rPr>
        <w:t xml:space="preserve"> כי העונש שהושת</w:t>
      </w:r>
      <w:r>
        <w:rPr>
          <w:rtl w:val="true"/>
        </w:rPr>
        <w:t xml:space="preserve">, </w:t>
      </w:r>
      <w:r>
        <w:rPr>
          <w:rtl w:val="true"/>
        </w:rPr>
        <w:t>חורג באופן משמעותי ממדיניות הענישה בהשוואה למקרים דומים אחרים</w:t>
      </w:r>
      <w:r>
        <w:rPr>
          <w:rtl w:val="true"/>
        </w:rPr>
        <w:t xml:space="preserve">, </w:t>
      </w:r>
      <w:r>
        <w:rPr>
          <w:rtl w:val="true"/>
        </w:rPr>
        <w:t>לא כל שכן בהשוואה לעניינם של אחרים בפרשה דנן</w:t>
      </w:r>
      <w:r>
        <w:rPr>
          <w:rtl w:val="true"/>
        </w:rPr>
        <w:t xml:space="preserve">;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אסמכתאות </w:t>
      </w:r>
      <w:r>
        <w:rPr>
          <w:rtl w:val="true"/>
        </w:rPr>
        <w:t xml:space="preserve">משכנעות </w:t>
      </w:r>
      <w:r>
        <w:rPr>
          <w:rtl w:val="true"/>
        </w:rPr>
        <w:t>לתמיכה בטענות הללו – לא הובאו לפנינו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בית המשפט המחוזי – שקל את המכלול</w:t>
      </w:r>
      <w:r>
        <w:rPr>
          <w:rtl w:val="true"/>
        </w:rPr>
        <w:t xml:space="preserve">; </w:t>
      </w:r>
      <w:r>
        <w:rPr>
          <w:rtl w:val="true"/>
        </w:rPr>
        <w:t>פגמים של ממש בניהול ההליך – לא מצא</w:t>
      </w:r>
      <w:r>
        <w:rPr>
          <w:rtl w:val="true"/>
        </w:rPr>
        <w:t>תי</w:t>
      </w:r>
      <w:r>
        <w:rPr>
          <w:rtl w:val="true"/>
        </w:rPr>
        <w:t xml:space="preserve">; </w:t>
      </w:r>
      <w:r>
        <w:rPr>
          <w:rtl w:val="true"/>
        </w:rPr>
        <w:t>והעונש שנגזר על זוהדי –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מתחשב בנסיבותיו האישיות</w:t>
      </w:r>
      <w:r>
        <w:rPr>
          <w:rtl w:val="true"/>
        </w:rPr>
        <w:t xml:space="preserve">, </w:t>
      </w:r>
      <w:r>
        <w:rPr>
          <w:rtl w:val="true"/>
        </w:rPr>
        <w:t>כמו גם בנסיבות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אין עילה להתערבות</w:t>
      </w:r>
      <w:r>
        <w:rPr>
          <w:rtl w:val="true"/>
        </w:rPr>
        <w:t xml:space="preserve"> בשלב הערעור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אציע אפוא לחברותי לדחות את הערעור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  <w:bookmarkStart w:id="15" w:name="Start_Write"/>
            <w:bookmarkStart w:id="16" w:name="Start_Write"/>
            <w:bookmarkEnd w:id="16"/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להקפדה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מיטבית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שפתם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ביום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4.7.2021</w:t>
      </w:r>
      <w:r>
        <w:rPr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בשעה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09:00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פי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החלטת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כשברשותו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תעודת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זהות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דרכון</w:t>
      </w:r>
      <w:r>
        <w:rPr>
          <w:sz w:val="24"/>
          <w:szCs w:val="30"/>
          <w:rtl w:val="true"/>
        </w:rPr>
        <w:t xml:space="preserve">.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לתאם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הכניסה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למאסר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כולל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האפשרות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מוקדם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עם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ענף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אבחון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ומיון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בטלפונים</w:t>
      </w:r>
      <w:r>
        <w:rPr>
          <w:sz w:val="24"/>
          <w:szCs w:val="30"/>
          <w:rtl w:val="true"/>
        </w:rPr>
        <w:t xml:space="preserve">: </w:t>
      </w:r>
      <w:r>
        <w:rPr>
          <w:sz w:val="24"/>
          <w:szCs w:val="30"/>
        </w:rPr>
        <w:t>08-9787377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Cs w:val="30"/>
        </w:rPr>
        <w:t>08-9787336</w:t>
      </w:r>
      <w:r>
        <w:rPr>
          <w:sz w:val="24"/>
          <w:szCs w:val="30"/>
          <w:rtl w:val="true"/>
        </w:rPr>
        <w:t>.</w:t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17.6.2021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20066430</w:t>
      </w:r>
      <w:r>
        <w:rPr>
          <w:sz w:val="16"/>
          <w:rtl w:val="true"/>
        </w:rPr>
        <w:t>_</w:t>
      </w:r>
      <w:r>
        <w:rPr>
          <w:sz w:val="16"/>
        </w:rPr>
        <w:t>O15.docx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עד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54678313-6643/20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6643/20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עמירה זוהדי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295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23" TargetMode="External"/><Relationship Id="rId5" Type="http://schemas.openxmlformats.org/officeDocument/2006/relationships/hyperlink" Target="http://www.nevo.co.il/law/70301/499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law/72813/117.b.1" TargetMode="External"/><Relationship Id="rId8" Type="http://schemas.openxmlformats.org/officeDocument/2006/relationships/hyperlink" Target="http://www.nevo.co.il/law/72813/117.b.3" TargetMode="External"/><Relationship Id="rId9" Type="http://schemas.openxmlformats.org/officeDocument/2006/relationships/hyperlink" Target="http://www.nevo.co.il/law/72813/117.b.5" TargetMode="External"/><Relationship Id="rId10" Type="http://schemas.openxmlformats.org/officeDocument/2006/relationships/hyperlink" Target="http://www.nevo.co.il/law/72813/117.b.6" TargetMode="External"/><Relationship Id="rId11" Type="http://schemas.openxmlformats.org/officeDocument/2006/relationships/hyperlink" Target="http://www.nevo.co.il/law/72813/117.b.8" TargetMode="External"/><Relationship Id="rId12" Type="http://schemas.openxmlformats.org/officeDocument/2006/relationships/hyperlink" Target="http://www.nevo.co.il/law/72813/117.b1.2." TargetMode="External"/><Relationship Id="rId13" Type="http://schemas.openxmlformats.org/officeDocument/2006/relationships/hyperlink" Target="http://www.nevo.co.il/law/72813/117.b1.3" TargetMode="External"/><Relationship Id="rId14" Type="http://schemas.openxmlformats.org/officeDocument/2006/relationships/hyperlink" Target="http://www.nevo.co.il/law/84255" TargetMode="External"/><Relationship Id="rId15" Type="http://schemas.openxmlformats.org/officeDocument/2006/relationships/hyperlink" Target="http://www.nevo.co.il/law/84255/220.2" TargetMode="External"/><Relationship Id="rId16" Type="http://schemas.openxmlformats.org/officeDocument/2006/relationships/hyperlink" Target="http://www.nevo.co.il/law/84255/220.4" TargetMode="External"/><Relationship Id="rId17" Type="http://schemas.openxmlformats.org/officeDocument/2006/relationships/hyperlink" Target="http://www.nevo.co.il/law/84255/220.5" TargetMode="External"/><Relationship Id="rId18" Type="http://schemas.openxmlformats.org/officeDocument/2006/relationships/hyperlink" Target="http://www.nevo.co.il/case/21629593" TargetMode="External"/><Relationship Id="rId19" Type="http://schemas.openxmlformats.org/officeDocument/2006/relationships/hyperlink" Target="http://www.nevo.co.il/law/70301/423" TargetMode="External"/><Relationship Id="rId20" Type="http://schemas.openxmlformats.org/officeDocument/2006/relationships/hyperlink" Target="http://www.nevo.co.il/law/70301/49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2813/117.b.1" TargetMode="External"/><Relationship Id="rId23" Type="http://schemas.openxmlformats.org/officeDocument/2006/relationships/hyperlink" Target="http://www.nevo.co.il/law/72813/117.b.3" TargetMode="External"/><Relationship Id="rId24" Type="http://schemas.openxmlformats.org/officeDocument/2006/relationships/hyperlink" Target="http://www.nevo.co.il/law/72813/117.b.5" TargetMode="External"/><Relationship Id="rId25" Type="http://schemas.openxmlformats.org/officeDocument/2006/relationships/hyperlink" Target="http://www.nevo.co.il/law/72813/117.b.6" TargetMode="External"/><Relationship Id="rId26" Type="http://schemas.openxmlformats.org/officeDocument/2006/relationships/hyperlink" Target="http://www.nevo.co.il/law/72813/117.b.8" TargetMode="External"/><Relationship Id="rId27" Type="http://schemas.openxmlformats.org/officeDocument/2006/relationships/hyperlink" Target="http://www.nevo.co.il/law/72813/117.b1.2.;117.b1.3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84255/220.2" TargetMode="External"/><Relationship Id="rId30" Type="http://schemas.openxmlformats.org/officeDocument/2006/relationships/hyperlink" Target="http://www.nevo.co.il/law/84255/220.4" TargetMode="External"/><Relationship Id="rId31" Type="http://schemas.openxmlformats.org/officeDocument/2006/relationships/hyperlink" Target="http://www.nevo.co.il/law/84255/220.5" TargetMode="External"/><Relationship Id="rId32" Type="http://schemas.openxmlformats.org/officeDocument/2006/relationships/hyperlink" Target="http://www.nevo.co.il/law/84255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case/27210766" TargetMode="External"/><Relationship Id="rId36" Type="http://schemas.openxmlformats.org/officeDocument/2006/relationships/hyperlink" Target="http://www.nevo.co.il/case/5706979" TargetMode="External"/><Relationship Id="rId37" Type="http://schemas.openxmlformats.org/officeDocument/2006/relationships/hyperlink" Target="http://www.nevo.co.il/case/17946174" TargetMode="External"/><Relationship Id="rId38" Type="http://schemas.openxmlformats.org/officeDocument/2006/relationships/hyperlink" Target="http://www.nevo.co.il/case/25912919" TargetMode="External"/><Relationship Id="rId39" Type="http://schemas.openxmlformats.org/officeDocument/2006/relationships/hyperlink" Target="http://www.nevo.co.il/case/23850982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2021-06-20T11:49:00Z</dcterms:created>
  <dc:creator>h4</dc:creator>
  <dc:description/>
  <cp:keywords/>
  <dc:language>en-IL</dc:language>
  <cp:lastModifiedBy>hofit</cp:lastModifiedBy>
  <cp:lastPrinted>2021-06-17T14:31:00Z</cp:lastPrinted>
  <dcterms:modified xsi:type="dcterms:W3CDTF">2021-06-20T11:49:00Z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עמירה זוהדי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21629593:2;27210766;5706979;17946174;25912919;23850982</vt:lpwstr>
  </property>
  <property fmtid="{D5CDD505-2E9C-101B-9397-08002B2CF9AE}" pid="9" name="CITY">
    <vt:lpwstr/>
  </property>
  <property fmtid="{D5CDD505-2E9C-101B-9397-08002B2CF9AE}" pid="10" name="DATE">
    <vt:lpwstr>20210617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ברק ארז;ע' ברון</vt:lpwstr>
  </property>
  <property fmtid="{D5CDD505-2E9C-101B-9397-08002B2CF9AE}" pid="14" name="LAWLISTTMP1">
    <vt:lpwstr>70301/423;499</vt:lpwstr>
  </property>
  <property fmtid="{D5CDD505-2E9C-101B-9397-08002B2CF9AE}" pid="15" name="LAWLISTTMP2">
    <vt:lpwstr>72813/117.b.1;117.b.3;117.b.5;117.b.6;117.b.8;117.b1.2;117.b1.3</vt:lpwstr>
  </property>
  <property fmtid="{D5CDD505-2E9C-101B-9397-08002B2CF9AE}" pid="16" name="LAWLISTTMP3">
    <vt:lpwstr>84255/220.2;220.4;220.5</vt:lpwstr>
  </property>
  <property fmtid="{D5CDD505-2E9C-101B-9397-08002B2CF9AE}" pid="17" name="LAWYER">
    <vt:lpwstr>יורם הירשברג;יונתן קיוול;שירות המבחן גב' 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</vt:lpwstr>
  </property>
  <property fmtid="{D5CDD505-2E9C-101B-9397-08002B2CF9AE}" pid="50" name="NOSE31">
    <vt:lpwstr>אי-התערבות בחומרת העונש</vt:lpwstr>
  </property>
  <property fmtid="{D5CDD505-2E9C-101B-9397-08002B2CF9AE}" pid="51" name="NOSE310">
    <vt:lpwstr/>
  </property>
  <property fmtid="{D5CDD505-2E9C-101B-9397-08002B2CF9AE}" pid="52" name="NOSE32">
    <vt:lpwstr>תסקיר שירות מבחן</vt:lpwstr>
  </property>
  <property fmtid="{D5CDD505-2E9C-101B-9397-08002B2CF9AE}" pid="53" name="NOSE33">
    <vt:lpwstr>מדיניות ענישה: עבירות מס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17692;13182;12048</vt:lpwstr>
  </property>
  <property fmtid="{D5CDD505-2E9C-101B-9397-08002B2CF9AE}" pid="61" name="PADIDATE">
    <vt:lpwstr>20210620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6643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410120210617</vt:lpwstr>
  </property>
  <property fmtid="{D5CDD505-2E9C-101B-9397-08002B2CF9AE}" pid="71" name="TYPE_N_DATE">
    <vt:lpwstr>41020210617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