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8363" w:type="dxa"/>
            <w:gridSpan w:val="2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gridSpan w:val="2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667/21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14"/>
          <w:szCs w:val="20"/>
        </w:rPr>
      </w:pPr>
      <w:r>
        <w:rPr>
          <w:rFonts w:cs="Miriam"/>
          <w:b/>
          <w:bCs/>
          <w:sz w:val="14"/>
          <w:szCs w:val="20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המערערת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14"/>
          <w:szCs w:val="20"/>
        </w:rPr>
      </w:pPr>
      <w:r>
        <w:rPr>
          <w:rFonts w:cs="Miriam"/>
          <w:b/>
          <w:bCs/>
          <w:sz w:val="14"/>
          <w:szCs w:val="20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14"/>
          <w:szCs w:val="20"/>
        </w:rPr>
      </w:pPr>
      <w:r>
        <w:rPr>
          <w:rFonts w:cs="Miriam"/>
          <w:b/>
          <w:bCs/>
          <w:sz w:val="14"/>
          <w:szCs w:val="20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המשיבים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מנשה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פורת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יעקב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פרנקפורטר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14"/>
          <w:szCs w:val="20"/>
        </w:rPr>
      </w:pPr>
      <w:r>
        <w:rPr>
          <w:rFonts w:cs="Miriam"/>
          <w:b/>
          <w:bCs/>
          <w:sz w:val="14"/>
          <w:szCs w:val="20"/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22992-09-18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17.12.2020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מרדכי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3.3.2021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7"/>
        <w:gridCol w:w="5146"/>
      </w:tblGrid>
      <w:tr>
        <w:trPr/>
        <w:tc>
          <w:tcPr>
            <w:tcW w:w="321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14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גדעוני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09"/>
        <w:gridCol w:w="5154"/>
      </w:tblGrid>
      <w:tr>
        <w:trPr/>
        <w:tc>
          <w:tcPr>
            <w:tcW w:w="3209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אייל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אבולעפיה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09"/>
        <w:gridCol w:w="5154"/>
      </w:tblGrid>
      <w:tr>
        <w:trPr/>
        <w:tc>
          <w:tcPr>
            <w:tcW w:w="320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גבאי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ברוך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זכאי</w:t>
            </w:r>
            <w:r>
              <w:rPr>
                <w:rFonts w:cs="Times New Roman;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3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1973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ג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13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;Times New Roman" w:hAnsi="FrankRuehl;Times New Roman" w:cs="FrankRuehl;Times New Roman"/>
          <w:color w:val="0000FF"/>
          <w:sz w:val="24"/>
        </w:rPr>
      </w:pP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Style15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bookmarkStart w:id="9" w:name="ABSTRACT_START"/>
      <w:bookmarkEnd w:id="9"/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Style15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החמיר בעונשי המאסר בפועל שהושתו על המשיבים בשל מעורבותם בפרשה של ייבוא והפצת עשרות ליטרים של סם מסוכן מסוג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GBL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המוכר כ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סם אונס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",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כך שיינתן ביטוי משמעותי יותר לחומרת מעשיהם והעבירות שבהן הורשעו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גם אם אין בכך כדי הענישה ההולמת במקרה דנן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כך שיכללו עונשי מאסר בפועל מאחורי סורג ובריח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חֶלֶף בעבודות שירות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). </w:t>
      </w:r>
    </w:p>
    <w:p>
      <w:pPr>
        <w:pStyle w:val="Style15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עבירות סמים</w:t>
      </w:r>
    </w:p>
    <w:p>
      <w:pPr>
        <w:pStyle w:val="Style15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שיקולים לחומרה</w:t>
      </w:r>
    </w:p>
    <w:p>
      <w:pPr>
        <w:pStyle w:val="Style15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התערבות ערכאת ערעור</w:t>
      </w:r>
    </w:p>
    <w:p>
      <w:pPr>
        <w:pStyle w:val="Style15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Style15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עסקינן בערעור המדינה על גזר דין של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המחוזי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בגדרו נגזרו על המשיבים עונשים של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9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חודשי מאסר בפועל בדרך של עבודות שירות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לצד ענישה נלווית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בשל מעורבותם בייבוא והפצת עשרות ליטרים של סם מסוכן מסוג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GBL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המוכר כ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סם אונס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",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והפצתם בישראל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 </w:t>
      </w:r>
    </w:p>
    <w:p>
      <w:pPr>
        <w:pStyle w:val="Style15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Style15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מפי השופט אלרון ובהסכמת השופטים מזוז ושטיין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קיבל את הערעור ופסק כי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Style15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ציין כי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אמנם ערכאת הערעור אינה נוטה למצות את הדין עם הנאשם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ואין זה מדרכה להתערב בעונש שנגזר עליו בערכאה הדיונית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אלא בנסיבות שבהן ניכרת בגזר הדין סטייה מהותית ובולטת מהענישה המקובלת במקרים דומים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או ממדיניות הענישה הראויה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אולם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זהו מקרה המצדיק התערבות בעונשים שנגזרו על המשיבים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Style15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עמד על החומרה הנלווית לעבירות הסמים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ולעבירות שעניינן בייבוא והפצת סמים מסוכנים בפרט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יש בהן כדי לסכן את שלום הציבור ולהרחיב את מעגל המשתמשים בסמים והמכורים להם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משכך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ובשים לב לרווח הכלכלי המשמעותי המופק לעיתים מביצוע עבירות אלו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נקבע כי יש לנקוט כלפיהן במדיניות ענישה מחמירה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שיהא בה כדי להרתיע עבריינים פוטנציאליים מלבצען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עוד נקבע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כי ככלל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נסיבותיו האישיות של נאשם ייסוגו בפני האינטרס הציבורי שבהחמרת הענישה בגין עבירות מסוג זה לשם הרתעת הרבים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זאת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שכן שיקולי שיקום אינם חזות הכול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ולצידם ניצבים שיקולי ענישה נוספים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ובהם עיקרון הגמול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שיקולי הרתעה והגנה על שלום הציבור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הדברים אמורים ביתר שאת ביחס לעבירות של יבוא והפצת סם 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GBL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כבענייננו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בשל מאפייניו הייחודיים קיים חשש של ממש כי ייעשה בו שימוש לביצוע עבירות מין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תוך סימום ואלחוש הקורבנות בלי שיבחינו בכך באופן שימנע מהם לזכור את אשר אירע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Style15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במקרה דנן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ייבוא סם 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GBL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הפצתו בהיקפים נרחבים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המספיקים להכנת כ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18,000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מנות סם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יש בהם כדי לייצר סיכון ממשי לשלום הציבור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בנסיבות אלו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מתחייבת ענישה מחמירה כלפי המשיבים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תכלול רכיב של עונש מאסר בפועל מאחורי סורג ובריח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חרף ההליך השיקומי שעברו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ענישה בגין המסכת העובדתית המתוארת בכתב האישום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שאינה כוללת רכיב של מאסר בפועל מאחורי סורג ובריח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תיעדר את ההלימה המתאימה מבחינה עונשית לחומרתן היתירה של הנסיבות והעבירות בהליך דנן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נוסף על כך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ראוי לקבוע מדרג בענישה בין המשיבים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תוך החמרה בעונשו של משיב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הורשע ביבוא הסם ארצה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לאור האמור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עונש המאסר בפועל שנגזר על משיב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יעמוד על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חודשי מאסר בפועל בניכוי ימי מעצרו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ועונשו של משיב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יעמוד על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16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חודשי מאסר בפועל בניכוי ימי מעצרו ותקופת ביצוע עונש המאסר בפועל שהחל לשאת בו בדרך עבודות שירות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ייפסקו לאלתר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ודוק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אלמלא הכלל שלפיו ערכאת הערעור אינה ממצה את הדין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ראוי היה להחמיר בעונשי המשיבים אף יותר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ואין בעונשים האמורים כדי להלום את חומרת העבירות שבהן הורשעו במלואה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יתר רכיבי הענישה יוותרו בעינם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/>
          <w:spacing w:val="0"/>
          <w:szCs w:val="26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bookmarkStart w:id="16" w:name="Start_Write"/>
      <w:bookmarkEnd w:id="16"/>
      <w:r>
        <w:rPr>
          <w:rtl w:val="true"/>
        </w:rPr>
        <w:t>לפנינו ערעור מטעם המדינה על גזר דינו של בית המשפט המחוזי בתל אביב</w:t>
      </w:r>
      <w:r>
        <w:rPr>
          <w:rtl w:val="true"/>
        </w:rPr>
        <w:t>-</w:t>
      </w:r>
      <w:r>
        <w:rPr>
          <w:rtl w:val="true"/>
        </w:rPr>
        <w:t xml:space="preserve">יפו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Style w:val="Emphasis"/>
          <w:rtl w:val="true"/>
        </w:rPr>
        <w:t>מ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לוי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22992-09-18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17.12.2020</w:t>
      </w:r>
      <w:r>
        <w:rPr>
          <w:rtl w:val="true"/>
        </w:rPr>
        <w:t xml:space="preserve">, </w:t>
      </w:r>
      <w:r>
        <w:rPr>
          <w:rtl w:val="true"/>
        </w:rPr>
        <w:t xml:space="preserve">בגדרו נגזרו על המשיבים עונשים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בפועל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, </w:t>
      </w:r>
      <w:r>
        <w:rPr>
          <w:rtl w:val="true"/>
        </w:rPr>
        <w:t xml:space="preserve">בשל מעורבותם בייבוא והפצת עשרות ליטרים של סם מסוכן מסוג </w:t>
      </w:r>
      <w:r>
        <w:rPr/>
        <w:t>GBL</w:t>
      </w:r>
      <w:r>
        <w:rPr>
          <w:rtl w:val="true"/>
        </w:rPr>
        <w:t xml:space="preserve"> </w:t>
      </w:r>
      <w:r>
        <w:rPr>
          <w:rtl w:val="true"/>
        </w:rPr>
        <w:t>והפצתם בישראל</w:t>
      </w:r>
      <w:r>
        <w:rPr>
          <w:rtl w:val="true"/>
        </w:rPr>
        <w:t>.</w:t>
      </w:r>
    </w:p>
    <w:p>
      <w:pPr>
        <w:pStyle w:val="Heading1"/>
        <w:spacing w:before="360" w:after="360"/>
        <w:ind w:hanging="0" w:start="0" w:end="0"/>
        <w:jc w:val="start"/>
        <w:rPr/>
      </w:pPr>
      <w:r>
        <w:rPr>
          <w:rtl w:val="true"/>
        </w:rPr>
        <w:t>עיקרי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הצריכות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לעניין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על פי המתואר בכתבי האישום המתוקנים שהוגשו נגד המשיבים</w:t>
      </w:r>
      <w:r>
        <w:rPr>
          <w:rtl w:val="true"/>
        </w:rPr>
        <w:t xml:space="preserve">, </w:t>
      </w:r>
      <w:r>
        <w:rPr>
          <w:rtl w:val="true"/>
        </w:rPr>
        <w:t xml:space="preserve">המשיב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Emphasis"/>
          <w:rtl w:val="true"/>
        </w:rPr>
        <w:t>פרנקפורטר</w:t>
      </w:r>
      <w:r>
        <w:rPr>
          <w:rtl w:val="true"/>
        </w:rPr>
        <w:t xml:space="preserve">) </w:t>
      </w:r>
      <w:r>
        <w:rPr>
          <w:rtl w:val="true"/>
        </w:rPr>
        <w:t>עבד מזה כמה שנים כמשגיח כשרות בצרפת</w:t>
      </w:r>
      <w:r>
        <w:rPr>
          <w:rtl w:val="true"/>
        </w:rPr>
        <w:t xml:space="preserve">, </w:t>
      </w:r>
      <w:r>
        <w:rPr>
          <w:rtl w:val="true"/>
        </w:rPr>
        <w:t>ובמסגרת עבודתו טס מישראל לצרפת וחזרה לעתים תכופות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 xml:space="preserve">בארבע מטיסותיו מצרפת לישראל במהלך שנת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 xml:space="preserve">פרנקפורטר הביא עימו בכליו מכלי סם מסוכן מסוג </w:t>
      </w:r>
      <w:r>
        <w:rPr/>
        <w:t>GBL</w:t>
      </w:r>
      <w:r>
        <w:rPr>
          <w:rtl w:val="true"/>
        </w:rPr>
        <w:t xml:space="preserve"> </w:t>
      </w:r>
      <w:r>
        <w:rPr>
          <w:rtl w:val="true"/>
        </w:rPr>
        <w:t xml:space="preserve">אשר רכש באמצעות המרשתת </w:t>
      </w:r>
      <w:r>
        <w:rPr>
          <w:rtl w:val="true"/>
        </w:rPr>
        <w:t>(</w:t>
      </w:r>
      <w:r>
        <w:rPr>
          <w:rtl w:val="true"/>
        </w:rPr>
        <w:t>רשת האינטרנט</w:t>
      </w:r>
      <w:r>
        <w:rPr>
          <w:rtl w:val="true"/>
        </w:rPr>
        <w:t xml:space="preserve">), </w:t>
      </w:r>
      <w:r>
        <w:rPr>
          <w:rtl w:val="true"/>
        </w:rPr>
        <w:t>בנפח כולל הנאמד בכ</w:t>
      </w:r>
      <w:r>
        <w:rPr>
          <w:rtl w:val="true"/>
        </w:rPr>
        <w:t>-</w:t>
      </w:r>
      <w:r>
        <w:rPr/>
        <w:t>73</w:t>
      </w:r>
      <w:r>
        <w:rPr>
          <w:rtl w:val="true"/>
        </w:rPr>
        <w:t xml:space="preserve"> </w:t>
      </w:r>
      <w:r>
        <w:rPr>
          <w:rtl w:val="true"/>
        </w:rPr>
        <w:t>ליטר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באותה שנה</w:t>
      </w:r>
      <w:r>
        <w:rPr>
          <w:rtl w:val="true"/>
        </w:rPr>
        <w:t xml:space="preserve">, </w:t>
      </w:r>
      <w:r>
        <w:rPr>
          <w:rtl w:val="true"/>
        </w:rPr>
        <w:t xml:space="preserve">פנה המשיב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Emphasis"/>
          <w:rtl w:val="true"/>
        </w:rPr>
        <w:t>בן פורת</w:t>
      </w:r>
      <w:r>
        <w:rPr>
          <w:rtl w:val="true"/>
        </w:rPr>
        <w:t xml:space="preserve">) </w:t>
      </w:r>
      <w:r>
        <w:rPr>
          <w:rtl w:val="true"/>
        </w:rPr>
        <w:t>לפרנקפורטר</w:t>
      </w:r>
      <w:r>
        <w:rPr>
          <w:rtl w:val="true"/>
        </w:rPr>
        <w:t xml:space="preserve">, </w:t>
      </w:r>
      <w:r>
        <w:rPr>
          <w:rtl w:val="true"/>
        </w:rPr>
        <w:t>עימו הייתה לו היכרות ארוכת שנים</w:t>
      </w:r>
      <w:r>
        <w:rPr>
          <w:rtl w:val="true"/>
        </w:rPr>
        <w:t xml:space="preserve">, </w:t>
      </w:r>
      <w:r>
        <w:rPr>
          <w:rtl w:val="true"/>
        </w:rPr>
        <w:t>וביקש ממנו בכמה הזדמנויות כי ימכור לו את הסם</w:t>
      </w:r>
      <w:r>
        <w:rPr>
          <w:rtl w:val="true"/>
        </w:rPr>
        <w:t xml:space="preserve">, </w:t>
      </w:r>
      <w:r>
        <w:rPr>
          <w:rtl w:val="true"/>
        </w:rPr>
        <w:t>ביודעו כי האחרון ניצל את טיסותיו לצרפת לייבוא הסם לישראל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באותם מקרים שבהם ייבא עימו פרנקפורטר את הסם לישראל</w:t>
      </w:r>
      <w:r>
        <w:rPr>
          <w:rtl w:val="true"/>
        </w:rPr>
        <w:t xml:space="preserve">, </w:t>
      </w:r>
      <w:r>
        <w:rPr>
          <w:rtl w:val="true"/>
        </w:rPr>
        <w:t>מסר את תחולת הסם</w:t>
      </w:r>
      <w:r>
        <w:rPr>
          <w:rtl w:val="true"/>
        </w:rPr>
        <w:t xml:space="preserve">, </w:t>
      </w:r>
      <w:r>
        <w:rPr>
          <w:rtl w:val="true"/>
        </w:rPr>
        <w:t>או את עיקרו</w:t>
      </w:r>
      <w:r>
        <w:rPr>
          <w:rtl w:val="true"/>
        </w:rPr>
        <w:t xml:space="preserve">, </w:t>
      </w:r>
      <w:r>
        <w:rPr>
          <w:rtl w:val="true"/>
        </w:rPr>
        <w:t>לידי בן פורת</w:t>
      </w:r>
      <w:r>
        <w:rPr>
          <w:rtl w:val="true"/>
        </w:rPr>
        <w:t xml:space="preserve">. </w:t>
      </w:r>
      <w:r>
        <w:rPr>
          <w:rtl w:val="true"/>
        </w:rPr>
        <w:t>פעמיים נמסר הסם בדירות מגוריהם או בסמוך להן</w:t>
      </w:r>
      <w:r>
        <w:rPr>
          <w:rtl w:val="true"/>
        </w:rPr>
        <w:t xml:space="preserve">, </w:t>
      </w:r>
      <w:r>
        <w:rPr>
          <w:rtl w:val="true"/>
        </w:rPr>
        <w:t>במקרה אחד נמסר הסם בשדה התעופה בישראל</w:t>
      </w:r>
      <w:r>
        <w:rPr>
          <w:rtl w:val="true"/>
        </w:rPr>
        <w:t xml:space="preserve">, </w:t>
      </w:r>
      <w:r>
        <w:rPr>
          <w:rtl w:val="true"/>
        </w:rPr>
        <w:t>ובמקרה נוסף מסר פרנקפורטר את הסם לידי מכר משותף</w:t>
      </w:r>
      <w:r>
        <w:rPr>
          <w:rtl w:val="true"/>
        </w:rPr>
        <w:t xml:space="preserve">, </w:t>
      </w:r>
      <w:r>
        <w:rPr>
          <w:rtl w:val="true"/>
        </w:rPr>
        <w:t>אשר העבירוֹ לידי בן פורת</w:t>
      </w:r>
      <w:r>
        <w:rPr>
          <w:rtl w:val="true"/>
        </w:rPr>
        <w:t>.</w:t>
      </w:r>
    </w:p>
    <w:p>
      <w:pPr>
        <w:pStyle w:val="Style14"/>
        <w:ind w:end="0"/>
        <w:jc w:val="both"/>
        <w:rPr>
          <w:spacing w:val="12"/>
        </w:rPr>
      </w:pPr>
      <w:r>
        <w:rPr>
          <w:spacing w:val="12"/>
          <w:rtl w:val="true"/>
        </w:rPr>
        <w:t>בן פורת שילם לפרנקפורטר סכום של כ</w:t>
      </w:r>
      <w:r>
        <w:rPr>
          <w:spacing w:val="12"/>
          <w:rtl w:val="true"/>
        </w:rPr>
        <w:t>-</w:t>
      </w:r>
      <w:r>
        <w:rPr>
          <w:spacing w:val="12"/>
        </w:rPr>
        <w:t>2,000</w:t>
      </w:r>
      <w:r>
        <w:rPr>
          <w:rFonts w:eastAsia="Garamond"/>
          <w:spacing w:val="12"/>
          <w:rtl w:val="true"/>
        </w:rPr>
        <w:t>–</w:t>
      </w:r>
      <w:r>
        <w:rPr>
          <w:spacing w:val="12"/>
        </w:rPr>
        <w:t>2,200</w:t>
      </w:r>
      <w:r>
        <w:rPr>
          <w:spacing w:val="12"/>
          <w:rtl w:val="true"/>
        </w:rPr>
        <w:t xml:space="preserve"> </w:t>
      </w:r>
      <w:r>
        <w:rPr>
          <w:spacing w:val="12"/>
          <w:rtl w:val="true"/>
        </w:rPr>
        <w:t>ש</w:t>
      </w:r>
      <w:r>
        <w:rPr>
          <w:spacing w:val="12"/>
          <w:rtl w:val="true"/>
        </w:rPr>
        <w:t>"</w:t>
      </w:r>
      <w:r>
        <w:rPr>
          <w:spacing w:val="12"/>
          <w:rtl w:val="true"/>
        </w:rPr>
        <w:t>ח בתמורה לכל ליטר סם</w:t>
      </w:r>
      <w:r>
        <w:rPr>
          <w:spacing w:val="12"/>
          <w:rtl w:val="true"/>
        </w:rPr>
        <w:t xml:space="preserve">; </w:t>
      </w:r>
      <w:r>
        <w:rPr>
          <w:spacing w:val="12"/>
          <w:rtl w:val="true"/>
        </w:rPr>
        <w:t>ולאחר מכן סחר והפיץ את הסם שרכש</w:t>
      </w:r>
      <w:r>
        <w:rPr>
          <w:spacing w:val="12"/>
          <w:rtl w:val="true"/>
        </w:rPr>
        <w:t xml:space="preserve">, </w:t>
      </w:r>
      <w:r>
        <w:rPr>
          <w:spacing w:val="12"/>
          <w:rtl w:val="true"/>
        </w:rPr>
        <w:t>תוך שמכרו לאחרים בתמורה לסכום של כ</w:t>
      </w:r>
      <w:r>
        <w:rPr>
          <w:spacing w:val="12"/>
          <w:rtl w:val="true"/>
        </w:rPr>
        <w:t>-</w:t>
      </w:r>
      <w:r>
        <w:rPr>
          <w:spacing w:val="12"/>
        </w:rPr>
        <w:t>10,000</w:t>
      </w:r>
      <w:r>
        <w:rPr>
          <w:spacing w:val="12"/>
          <w:rtl w:val="true"/>
        </w:rPr>
        <w:t xml:space="preserve"> </w:t>
      </w:r>
      <w:r>
        <w:rPr>
          <w:spacing w:val="12"/>
          <w:rtl w:val="true"/>
        </w:rPr>
        <w:t>ש</w:t>
      </w:r>
      <w:r>
        <w:rPr>
          <w:spacing w:val="12"/>
          <w:rtl w:val="true"/>
        </w:rPr>
        <w:t>"</w:t>
      </w:r>
      <w:r>
        <w:rPr>
          <w:spacing w:val="12"/>
          <w:rtl w:val="true"/>
        </w:rPr>
        <w:t>ח לליטר</w:t>
      </w:r>
      <w:r>
        <w:rPr>
          <w:spacing w:val="12"/>
          <w:rtl w:val="true"/>
        </w:rPr>
        <w:t xml:space="preserve">. </w:t>
      </w:r>
      <w:r>
        <w:rPr>
          <w:spacing w:val="12"/>
          <w:rtl w:val="true"/>
        </w:rPr>
        <w:t>הכספים שולמו לפרנקפורטר במזומן</w:t>
      </w:r>
      <w:r>
        <w:rPr>
          <w:spacing w:val="12"/>
          <w:rtl w:val="true"/>
        </w:rPr>
        <w:t xml:space="preserve">, </w:t>
      </w:r>
      <w:r>
        <w:rPr>
          <w:spacing w:val="12"/>
          <w:rtl w:val="true"/>
        </w:rPr>
        <w:t>או בהפקדת מזומן במעטפה לחשבון הבנק של האחרון</w:t>
      </w:r>
      <w:r>
        <w:rPr>
          <w:spacing w:val="12"/>
          <w:rtl w:val="true"/>
        </w:rPr>
        <w:t xml:space="preserve">, </w:t>
      </w:r>
      <w:r>
        <w:rPr>
          <w:spacing w:val="12"/>
          <w:rtl w:val="true"/>
        </w:rPr>
        <w:t>תוך שבן פורת רשם באופן כוזב בטופס ההפקדה כי הכספים הופקדו על ידי אשתו של פרנקפורטר</w:t>
      </w:r>
      <w:r>
        <w:rPr>
          <w:spacing w:val="12"/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>
          <w:spacing w:val="12"/>
        </w:rPr>
      </w:pPr>
      <w:r>
        <w:rPr>
          <w:spacing w:val="12"/>
          <w:rtl w:val="true"/>
        </w:rPr>
        <w:t>בפעם הרביעית שייבא פרנקפורטר את הסם באופן האמור</w:t>
      </w:r>
      <w:r>
        <w:rPr>
          <w:spacing w:val="12"/>
          <w:rtl w:val="true"/>
        </w:rPr>
        <w:t xml:space="preserve">, </w:t>
      </w:r>
      <w:r>
        <w:rPr>
          <w:spacing w:val="12"/>
          <w:rtl w:val="true"/>
        </w:rPr>
        <w:t xml:space="preserve">ביום </w:t>
      </w:r>
      <w:r>
        <w:rPr>
          <w:spacing w:val="12"/>
        </w:rPr>
        <w:t>28.8.2018</w:t>
      </w:r>
      <w:r>
        <w:rPr>
          <w:spacing w:val="12"/>
          <w:rtl w:val="true"/>
        </w:rPr>
        <w:t xml:space="preserve">, </w:t>
      </w:r>
      <w:r>
        <w:rPr>
          <w:spacing w:val="12"/>
          <w:rtl w:val="true"/>
        </w:rPr>
        <w:t xml:space="preserve">נתפסו בכליו </w:t>
      </w:r>
      <w:r>
        <w:rPr>
          <w:spacing w:val="12"/>
        </w:rPr>
        <w:t>28</w:t>
      </w:r>
      <w:r>
        <w:rPr>
          <w:spacing w:val="12"/>
          <w:rtl w:val="true"/>
        </w:rPr>
        <w:t xml:space="preserve"> </w:t>
      </w:r>
      <w:r>
        <w:rPr>
          <w:spacing w:val="12"/>
          <w:rtl w:val="true"/>
        </w:rPr>
        <w:t xml:space="preserve">ליטר סם </w:t>
      </w:r>
      <w:r>
        <w:rPr>
          <w:spacing w:val="12"/>
        </w:rPr>
        <w:t>GBL</w:t>
      </w:r>
      <w:r>
        <w:rPr>
          <w:spacing w:val="12"/>
          <w:rtl w:val="true"/>
        </w:rPr>
        <w:t xml:space="preserve"> </w:t>
      </w:r>
      <w:r>
        <w:rPr>
          <w:spacing w:val="12"/>
          <w:rtl w:val="true"/>
        </w:rPr>
        <w:t>על ידי הרשויות בעודו בשדה התעופה בישראל</w:t>
      </w:r>
      <w:r>
        <w:rPr>
          <w:spacing w:val="12"/>
          <w:rtl w:val="true"/>
        </w:rPr>
        <w:t xml:space="preserve">, </w:t>
      </w:r>
      <w:r>
        <w:rPr>
          <w:spacing w:val="12"/>
          <w:rtl w:val="true"/>
        </w:rPr>
        <w:t>וכן סם מסוכן מסוג קטמין שהחזיק על גופו</w:t>
      </w:r>
      <w:r>
        <w:rPr>
          <w:spacing w:val="12"/>
          <w:rtl w:val="true"/>
        </w:rPr>
        <w:t xml:space="preserve">, </w:t>
      </w:r>
      <w:r>
        <w:rPr>
          <w:spacing w:val="12"/>
          <w:rtl w:val="true"/>
        </w:rPr>
        <w:t xml:space="preserve">בנפח כולל של </w:t>
      </w:r>
      <w:r>
        <w:rPr>
          <w:spacing w:val="12"/>
        </w:rPr>
        <w:t>11.5</w:t>
      </w:r>
      <w:r>
        <w:rPr>
          <w:spacing w:val="12"/>
          <w:rtl w:val="true"/>
        </w:rPr>
        <w:t xml:space="preserve"> </w:t>
      </w:r>
      <w:r>
        <w:rPr>
          <w:spacing w:val="12"/>
          <w:rtl w:val="true"/>
        </w:rPr>
        <w:t>מ</w:t>
      </w:r>
      <w:r>
        <w:rPr>
          <w:spacing w:val="12"/>
          <w:rtl w:val="true"/>
        </w:rPr>
        <w:t>"</w:t>
      </w:r>
      <w:r>
        <w:rPr>
          <w:spacing w:val="12"/>
          <w:rtl w:val="true"/>
        </w:rPr>
        <w:t>ל</w:t>
      </w:r>
      <w:r>
        <w:rPr>
          <w:spacing w:val="12"/>
          <w:rtl w:val="true"/>
        </w:rPr>
        <w:t xml:space="preserve">, </w:t>
      </w:r>
      <w:r>
        <w:rPr>
          <w:spacing w:val="12"/>
          <w:rtl w:val="true"/>
        </w:rPr>
        <w:t>לשימוש עצמי</w:t>
      </w:r>
      <w:r>
        <w:rPr>
          <w:spacing w:val="12"/>
          <w:rtl w:val="true"/>
        </w:rPr>
        <w:t xml:space="preserve">. </w:t>
      </w:r>
      <w:r>
        <w:rPr>
          <w:spacing w:val="12"/>
          <w:rtl w:val="true"/>
        </w:rPr>
        <w:t>על רקע זה</w:t>
      </w:r>
      <w:r>
        <w:rPr>
          <w:spacing w:val="12"/>
          <w:rtl w:val="true"/>
        </w:rPr>
        <w:t xml:space="preserve">, </w:t>
      </w:r>
      <w:r>
        <w:rPr>
          <w:spacing w:val="12"/>
          <w:rtl w:val="true"/>
        </w:rPr>
        <w:t>פרנקפורטר הסכים לשתף פעולה עם משטרת ישראל</w:t>
      </w:r>
      <w:r>
        <w:rPr>
          <w:spacing w:val="12"/>
          <w:rtl w:val="true"/>
        </w:rPr>
        <w:t xml:space="preserve">, </w:t>
      </w:r>
      <w:r>
        <w:rPr>
          <w:spacing w:val="12"/>
          <w:rtl w:val="true"/>
        </w:rPr>
        <w:t xml:space="preserve">ועוד באותו יום מכר בשליחותה </w:t>
      </w:r>
      <w:r>
        <w:rPr>
          <w:spacing w:val="12"/>
        </w:rPr>
        <w:t>11.4</w:t>
      </w:r>
      <w:r>
        <w:rPr>
          <w:spacing w:val="12"/>
          <w:rtl w:val="true"/>
        </w:rPr>
        <w:t xml:space="preserve"> </w:t>
      </w:r>
      <w:r>
        <w:rPr>
          <w:spacing w:val="12"/>
          <w:rtl w:val="true"/>
        </w:rPr>
        <w:t xml:space="preserve">ליטר סם </w:t>
      </w:r>
      <w:r>
        <w:rPr>
          <w:spacing w:val="12"/>
        </w:rPr>
        <w:t>GBL</w:t>
      </w:r>
      <w:r>
        <w:rPr>
          <w:spacing w:val="12"/>
          <w:rtl w:val="true"/>
        </w:rPr>
        <w:t xml:space="preserve"> </w:t>
      </w:r>
      <w:r>
        <w:rPr>
          <w:spacing w:val="12"/>
          <w:rtl w:val="true"/>
        </w:rPr>
        <w:t>לבן פורת</w:t>
      </w:r>
      <w:r>
        <w:rPr>
          <w:spacing w:val="12"/>
          <w:rtl w:val="true"/>
        </w:rPr>
        <w:t xml:space="preserve">, </w:t>
      </w:r>
      <w:r>
        <w:rPr>
          <w:spacing w:val="12"/>
          <w:rtl w:val="true"/>
        </w:rPr>
        <w:t>בתמורה ל</w:t>
      </w:r>
      <w:r>
        <w:rPr>
          <w:spacing w:val="12"/>
          <w:rtl w:val="true"/>
        </w:rPr>
        <w:t>-</w:t>
      </w:r>
      <w:r>
        <w:rPr>
          <w:spacing w:val="12"/>
        </w:rPr>
        <w:t>10,000</w:t>
      </w:r>
      <w:r>
        <w:rPr>
          <w:spacing w:val="12"/>
          <w:rtl w:val="true"/>
        </w:rPr>
        <w:t xml:space="preserve"> </w:t>
      </w:r>
      <w:r>
        <w:rPr>
          <w:spacing w:val="12"/>
          <w:rtl w:val="true"/>
        </w:rPr>
        <w:t>ש</w:t>
      </w:r>
      <w:r>
        <w:rPr>
          <w:spacing w:val="12"/>
          <w:rtl w:val="true"/>
        </w:rPr>
        <w:t>"</w:t>
      </w:r>
      <w:r>
        <w:rPr>
          <w:spacing w:val="12"/>
          <w:rtl w:val="true"/>
        </w:rPr>
        <w:t xml:space="preserve">ח </w:t>
      </w:r>
      <w:r>
        <w:rPr>
          <w:spacing w:val="12"/>
          <w:rtl w:val="true"/>
        </w:rPr>
        <w:t>"</w:t>
      </w:r>
      <w:r>
        <w:rPr>
          <w:spacing w:val="12"/>
          <w:rtl w:val="true"/>
        </w:rPr>
        <w:t>על חשבון תמורת העסקה</w:t>
      </w:r>
      <w:r>
        <w:rPr>
          <w:spacing w:val="12"/>
          <w:rtl w:val="true"/>
        </w:rPr>
        <w:t xml:space="preserve">", </w:t>
      </w:r>
      <w:r>
        <w:rPr>
          <w:spacing w:val="12"/>
          <w:rtl w:val="true"/>
        </w:rPr>
        <w:t>לשון כתבי האישום המתוקנים</w:t>
      </w:r>
      <w:r>
        <w:rPr>
          <w:spacing w:val="12"/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עם השלמת העסקה</w:t>
      </w:r>
      <w:r>
        <w:rPr>
          <w:rtl w:val="true"/>
        </w:rPr>
        <w:t xml:space="preserve">, </w:t>
      </w:r>
      <w:r>
        <w:rPr>
          <w:rtl w:val="true"/>
        </w:rPr>
        <w:t>נתפס על גופו של בן פורת הסם האמור</w:t>
      </w:r>
      <w:r>
        <w:rPr>
          <w:rtl w:val="true"/>
        </w:rPr>
        <w:t xml:space="preserve">, </w:t>
      </w:r>
      <w:r>
        <w:rPr>
          <w:rtl w:val="true"/>
        </w:rPr>
        <w:t xml:space="preserve">וכן סם מסוכן מסוג קטמין בנפח של </w:t>
      </w:r>
      <w:r>
        <w:rPr/>
        <w:t>11.5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ל לשימוש עצמי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נתפסו במועד זה בביתו של בן פורת </w:t>
      </w:r>
      <w:r>
        <w:rPr/>
        <w:t>130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ל סם </w:t>
      </w:r>
      <w:r>
        <w:rPr/>
        <w:t>GBL</w:t>
      </w:r>
      <w:r>
        <w:rPr>
          <w:rtl w:val="true"/>
        </w:rPr>
        <w:t xml:space="preserve"> </w:t>
      </w:r>
      <w:r>
        <w:rPr>
          <w:rtl w:val="true"/>
        </w:rPr>
        <w:t>שלא לשימוש עצמי</w:t>
      </w:r>
      <w:r>
        <w:rPr>
          <w:rtl w:val="true"/>
        </w:rPr>
        <w:t xml:space="preserve">, </w:t>
      </w:r>
      <w:r>
        <w:rPr>
          <w:rtl w:val="true"/>
        </w:rPr>
        <w:t xml:space="preserve">סם מסוג קוקאין במשקל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גרם לשימוש עצמי</w:t>
      </w:r>
      <w:r>
        <w:rPr>
          <w:rtl w:val="true"/>
        </w:rPr>
        <w:t xml:space="preserve">, </w:t>
      </w:r>
      <w:r>
        <w:rPr>
          <w:rtl w:val="true"/>
        </w:rPr>
        <w:t>ומאזניים לשקילת הסם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סך הכל</w:t>
      </w:r>
      <w:r>
        <w:rPr>
          <w:rtl w:val="true"/>
        </w:rPr>
        <w:t xml:space="preserve">, </w:t>
      </w:r>
      <w:r>
        <w:rPr>
          <w:rtl w:val="true"/>
        </w:rPr>
        <w:t>רכש בן פורת מפרנקפורטר כ</w:t>
      </w:r>
      <w:r>
        <w:rPr>
          <w:rtl w:val="true"/>
        </w:rPr>
        <w:t>-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 xml:space="preserve">ליטר סם </w:t>
      </w:r>
      <w:r>
        <w:rPr/>
        <w:t>GBL</w:t>
      </w:r>
      <w:r>
        <w:rPr>
          <w:rtl w:val="true"/>
        </w:rPr>
        <w:t xml:space="preserve">, </w:t>
      </w:r>
      <w:r>
        <w:rPr>
          <w:rtl w:val="true"/>
        </w:rPr>
        <w:t>בתמורה ליותר מ</w:t>
      </w:r>
      <w:r>
        <w:rPr>
          <w:rtl w:val="true"/>
        </w:rPr>
        <w:t>-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 xml:space="preserve">וניסה לרכוש ממנו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ליטר נוספים מסם זה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כעולה מהכרעת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המשיבים הורשעו בעבירות הבאות</w:t>
      </w:r>
      <w:r>
        <w:rPr>
          <w:rtl w:val="true"/>
        </w:rPr>
        <w:t xml:space="preserve">: </w:t>
      </w:r>
    </w:p>
    <w:p>
      <w:pPr>
        <w:pStyle w:val="Style14"/>
        <w:ind w:end="0"/>
        <w:jc w:val="both"/>
        <w:rPr/>
      </w:pPr>
      <w:r>
        <w:rPr>
          <w:rtl w:val="true"/>
        </w:rPr>
        <w:t xml:space="preserve">פרנקפורטר הורשע בריבוי עבירות של יבוא וסחר בסם מסוכן לפי </w:t>
      </w:r>
      <w:hyperlink r:id="rId9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0">
        <w:r>
          <w:rPr>
            <w:rStyle w:val="Hyperlink"/>
          </w:rPr>
          <w:t>19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</w:t>
      </w:r>
      <w:hyperlink r:id="rId1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ascii="FrankRuehl;Times New Roman" w:hAnsi="FrankRuehl;Times New Roman"/>
          <w:rtl w:val="true"/>
        </w:rPr>
        <w:t>–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Emphasis"/>
          <w:rtl w:val="true"/>
        </w:rPr>
        <w:t>הפקודה</w:t>
      </w:r>
      <w:r>
        <w:rPr>
          <w:rtl w:val="true"/>
        </w:rPr>
        <w:t xml:space="preserve">); </w:t>
      </w:r>
      <w:r>
        <w:rPr>
          <w:rtl w:val="true"/>
        </w:rPr>
        <w:t xml:space="preserve">עבירת החזקת סם מסוכן שלא לצריכה עצמית לפי </w:t>
      </w:r>
      <w:hyperlink r:id="rId1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 זו</w:t>
      </w:r>
      <w:r>
        <w:rPr>
          <w:rtl w:val="true"/>
        </w:rPr>
        <w:t xml:space="preserve">; </w:t>
      </w:r>
      <w:r>
        <w:rPr>
          <w:rtl w:val="true"/>
        </w:rPr>
        <w:t xml:space="preserve">ועבירה של החזקת סם מסוכן לצריכה עצמית לפי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 xml:space="preserve">בן פורת הורשע בריבוי עבירות של </w:t>
      </w:r>
      <w:r>
        <w:rPr>
          <w:rtl w:val="true"/>
        </w:rPr>
        <w:t>"</w:t>
      </w:r>
      <w:r>
        <w:rPr>
          <w:rtl w:val="true"/>
        </w:rPr>
        <w:t>עסקה אחרת</w:t>
      </w:r>
      <w:r>
        <w:rPr>
          <w:rtl w:val="true"/>
        </w:rPr>
        <w:t xml:space="preserve">" </w:t>
      </w:r>
      <w:r>
        <w:rPr>
          <w:rtl w:val="true"/>
        </w:rPr>
        <w:t xml:space="preserve">בסם מסוכן לפי </w:t>
      </w:r>
      <w:hyperlink r:id="rId14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5">
        <w:r>
          <w:rPr>
            <w:rStyle w:val="Hyperlink"/>
          </w:rPr>
          <w:t>19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לפקודה</w:t>
      </w:r>
      <w:r>
        <w:rPr>
          <w:rtl w:val="true"/>
        </w:rPr>
        <w:t xml:space="preserve">; </w:t>
      </w:r>
      <w:r>
        <w:rPr>
          <w:rtl w:val="true"/>
        </w:rPr>
        <w:t>ניסיון נוסף לביצוע עבירה זו</w:t>
      </w:r>
      <w:r>
        <w:rPr>
          <w:rtl w:val="true"/>
        </w:rPr>
        <w:t xml:space="preserve">; </w:t>
      </w:r>
      <w:r>
        <w:rPr>
          <w:rtl w:val="true"/>
        </w:rPr>
        <w:t>ריבוי עבירות של סחר בסם מסוכן</w:t>
      </w:r>
      <w:r>
        <w:rPr>
          <w:rtl w:val="true"/>
        </w:rPr>
        <w:t xml:space="preserve">; </w:t>
      </w:r>
      <w:r>
        <w:rPr>
          <w:rtl w:val="true"/>
        </w:rPr>
        <w:t>ובעבירות של החזקת סם מסוכן לצריכה עצמית ושלא לצריכה עצמית</w:t>
      </w:r>
      <w:r>
        <w:rPr>
          <w:rtl w:val="true"/>
        </w:rPr>
        <w:t>.</w:t>
      </w:r>
    </w:p>
    <w:p>
      <w:pPr>
        <w:pStyle w:val="Heading1"/>
        <w:spacing w:before="360" w:after="360"/>
        <w:ind w:hanging="0" w:start="0" w:end="0"/>
        <w:jc w:val="start"/>
        <w:rPr/>
      </w:pPr>
      <w:r>
        <w:rPr>
          <w:rtl w:val="true"/>
        </w:rPr>
        <w:t>ההליך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המחוזי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המשיבים הורשעו במיוחס להם על פי הודאותיהם במסגרת הסדרי טיעון</w:t>
      </w:r>
      <w:r>
        <w:rPr>
          <w:rtl w:val="true"/>
        </w:rPr>
        <w:t xml:space="preserve">, </w:t>
      </w:r>
      <w:r>
        <w:rPr>
          <w:rtl w:val="true"/>
        </w:rPr>
        <w:t>אשר אף שלא כללו הסכמה לעניין העונש</w:t>
      </w:r>
      <w:r>
        <w:rPr>
          <w:rtl w:val="true"/>
        </w:rPr>
        <w:t xml:space="preserve">, </w:t>
      </w:r>
      <w:r>
        <w:rPr>
          <w:rtl w:val="true"/>
        </w:rPr>
        <w:t>כללו הסכמה כי יוגשו בעניינם תסקירים מטעם שירות המבחן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בתסקירי שירות המבחן שהוגשו בעניינו של פרנקפורטר</w:t>
      </w:r>
      <w:r>
        <w:rPr>
          <w:rtl w:val="true"/>
        </w:rPr>
        <w:t xml:space="preserve">, </w:t>
      </w:r>
      <w:r>
        <w:rPr>
          <w:rtl w:val="true"/>
        </w:rPr>
        <w:t>צוין כי חווה בשנים האחרונות משברים שונים</w:t>
      </w:r>
      <w:r>
        <w:rPr>
          <w:rtl w:val="true"/>
        </w:rPr>
        <w:t xml:space="preserve">, </w:t>
      </w:r>
      <w:r>
        <w:rPr>
          <w:rtl w:val="true"/>
        </w:rPr>
        <w:t>אשר לא יפורטו מפאת צנעת הפרט</w:t>
      </w:r>
      <w:r>
        <w:rPr>
          <w:rtl w:val="true"/>
        </w:rPr>
        <w:t xml:space="preserve">, </w:t>
      </w:r>
      <w:r>
        <w:rPr>
          <w:rtl w:val="true"/>
        </w:rPr>
        <w:t>שבעטיים החל לעשות שימוש מופרז באלכוהול וסמים</w:t>
      </w:r>
      <w:r>
        <w:rPr>
          <w:rtl w:val="true"/>
        </w:rPr>
        <w:t xml:space="preserve">, </w:t>
      </w:r>
      <w:r>
        <w:rPr>
          <w:rtl w:val="true"/>
        </w:rPr>
        <w:t>עד שלבסוף התמכר לשימוש בסמים מסוכנים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בתסקיר הראשון שהוגש בעניינו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18.2.2020</w:t>
      </w:r>
      <w:r>
        <w:rPr>
          <w:rtl w:val="true"/>
        </w:rPr>
        <w:t xml:space="preserve">, </w:t>
      </w:r>
      <w:r>
        <w:rPr>
          <w:rtl w:val="true"/>
        </w:rPr>
        <w:t>צוין כי הלה לא הכיר במלוא חומרת העבירות בהן הורשע</w:t>
      </w:r>
      <w:r>
        <w:rPr>
          <w:rtl w:val="true"/>
        </w:rPr>
        <w:t xml:space="preserve">, </w:t>
      </w:r>
      <w:r>
        <w:rPr>
          <w:rtl w:val="true"/>
        </w:rPr>
        <w:t xml:space="preserve">עד כי ביטא </w:t>
      </w:r>
      <w:r>
        <w:rPr>
          <w:rtl w:val="true"/>
        </w:rPr>
        <w:t>"</w:t>
      </w:r>
      <w:r>
        <w:rPr>
          <w:rtl w:val="true"/>
        </w:rPr>
        <w:t>עמדה מטשטשת</w:t>
      </w:r>
      <w:r>
        <w:rPr>
          <w:rtl w:val="true"/>
        </w:rPr>
        <w:t xml:space="preserve">" </w:t>
      </w:r>
      <w:r>
        <w:rPr>
          <w:rtl w:val="true"/>
        </w:rPr>
        <w:t>באשר לידיעתו כי להיות מעורב בעסקת סמים</w:t>
      </w:r>
      <w:r>
        <w:rPr>
          <w:rtl w:val="true"/>
        </w:rPr>
        <w:t xml:space="preserve">, </w:t>
      </w:r>
      <w:r>
        <w:rPr>
          <w:rtl w:val="true"/>
        </w:rPr>
        <w:t>וכי הסמים אותם העביר לישראל הוצגו בפניו על ידי אחר כ</w:t>
      </w:r>
      <w:r>
        <w:rPr>
          <w:rtl w:val="true"/>
        </w:rPr>
        <w:t>"</w:t>
      </w:r>
      <w:r>
        <w:rPr>
          <w:rtl w:val="true"/>
        </w:rPr>
        <w:t>חומרי ניקוי</w:t>
      </w:r>
      <w:r>
        <w:rPr>
          <w:rtl w:val="true"/>
        </w:rPr>
        <w:t xml:space="preserve">".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בתסקיר המשלים השלישי שהוכן בעניינו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27.7.2020</w:t>
      </w:r>
      <w:r>
        <w:rPr>
          <w:rtl w:val="true"/>
        </w:rPr>
        <w:t xml:space="preserve">, </w:t>
      </w:r>
      <w:r>
        <w:rPr>
          <w:rtl w:val="true"/>
        </w:rPr>
        <w:t xml:space="preserve">צוין כי הוא </w:t>
      </w:r>
      <w:r>
        <w:rPr>
          <w:rtl w:val="true"/>
        </w:rPr>
        <w:t>"</w:t>
      </w:r>
      <w:r>
        <w:rPr>
          <w:rtl w:val="true"/>
        </w:rPr>
        <w:t>לוקח אחריות מלאה על מעשיו ומגלה הבנה לחומרתן</w:t>
      </w:r>
      <w:r>
        <w:rPr>
          <w:rtl w:val="true"/>
        </w:rPr>
        <w:t>".</w:t>
      </w:r>
    </w:p>
    <w:p>
      <w:pPr>
        <w:pStyle w:val="Style14"/>
        <w:ind w:end="0"/>
        <w:jc w:val="both"/>
        <w:rPr/>
      </w:pPr>
      <w:r>
        <w:rPr>
          <w:rtl w:val="true"/>
        </w:rPr>
        <w:t xml:space="preserve">שירות המבחן העריך כי הוא </w:t>
      </w:r>
      <w:r>
        <w:rPr>
          <w:rtl w:val="true"/>
        </w:rPr>
        <w:t>"</w:t>
      </w:r>
      <w:r>
        <w:rPr>
          <w:rtl w:val="true"/>
        </w:rPr>
        <w:t>אינו מחזיק בדפוסי עבריינות מושרשים ומוטמעים</w:t>
      </w:r>
      <w:r>
        <w:rPr>
          <w:rtl w:val="true"/>
        </w:rPr>
        <w:t xml:space="preserve">"; </w:t>
      </w:r>
      <w:r>
        <w:rPr>
          <w:rtl w:val="true"/>
        </w:rPr>
        <w:t>כי יש בהליך בו החל בקבוצה טיפולית מאז מעצרו</w:t>
      </w:r>
      <w:r>
        <w:rPr>
          <w:rtl w:val="true"/>
        </w:rPr>
        <w:t xml:space="preserve">, </w:t>
      </w:r>
      <w:r>
        <w:rPr>
          <w:rtl w:val="true"/>
        </w:rPr>
        <w:t>ובטיפול הפסיכולוגי בו הוא משתתף כדי להפחית את הסיכון הנשקף ממנו לפעילות עבריינית</w:t>
      </w:r>
      <w:r>
        <w:rPr>
          <w:rtl w:val="true"/>
        </w:rPr>
        <w:t xml:space="preserve">; </w:t>
      </w:r>
      <w:r>
        <w:rPr>
          <w:rtl w:val="true"/>
        </w:rPr>
        <w:t>וכי אם יוטל עליו עונש מאסר מאחורי כותלי הכלא</w:t>
      </w:r>
      <w:r>
        <w:rPr>
          <w:rtl w:val="true"/>
        </w:rPr>
        <w:t xml:space="preserve">, </w:t>
      </w:r>
      <w:r>
        <w:rPr>
          <w:rtl w:val="true"/>
        </w:rPr>
        <w:t>הדבר עלול לפגוע בהליך השיקום בו החל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הומלץ להטיל על פרנקפורטר עונש מאסר בפועל בדרך של עבודות שירות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צו מבחן למשך שנה</w:t>
      </w:r>
      <w:r>
        <w:rPr>
          <w:rtl w:val="true"/>
        </w:rPr>
        <w:t xml:space="preserve">, </w:t>
      </w:r>
      <w:r>
        <w:rPr>
          <w:rtl w:val="true"/>
        </w:rPr>
        <w:t>שבמהלכה ישולב במסגרת טיפולית מטעם שירות המבחן</w:t>
      </w:r>
      <w:r>
        <w:rPr>
          <w:rtl w:val="true"/>
        </w:rPr>
        <w:t xml:space="preserve">, </w:t>
      </w:r>
      <w:r>
        <w:rPr>
          <w:rtl w:val="true"/>
        </w:rPr>
        <w:t>וימשיך בטיפול פסיכולוגי אשר יש גם בו כדי סייע להציב לו גבולות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בתסקירי שירות המבחן בעניין בן פורת</w:t>
      </w:r>
      <w:r>
        <w:rPr>
          <w:rtl w:val="true"/>
        </w:rPr>
        <w:t xml:space="preserve">, </w:t>
      </w:r>
      <w:r>
        <w:rPr>
          <w:rtl w:val="true"/>
        </w:rPr>
        <w:t>צוין כי אף הוא חווה משברים קשים במהלך חייו</w:t>
      </w:r>
      <w:r>
        <w:rPr>
          <w:rtl w:val="true"/>
        </w:rPr>
        <w:t xml:space="preserve">, </w:t>
      </w:r>
      <w:r>
        <w:rPr>
          <w:rtl w:val="true"/>
        </w:rPr>
        <w:t xml:space="preserve">אשר בעקבותיהם חלה התדרדרות קשה בהתנהלותו תוך כדי התמכרות לסמים מסוכנים </w:t>
      </w:r>
      <w:r>
        <w:rPr>
          <w:rtl w:val="true"/>
        </w:rPr>
        <w:t>–</w:t>
      </w:r>
      <w:r>
        <w:rPr>
          <w:rtl w:val="true"/>
        </w:rPr>
        <w:t xml:space="preserve"> בהם </w:t>
      </w:r>
      <w:r>
        <w:rPr/>
        <w:t>GBL</w:t>
      </w:r>
      <w:r>
        <w:rPr>
          <w:rtl w:val="true"/>
        </w:rPr>
        <w:t xml:space="preserve">; </w:t>
      </w:r>
      <w:r>
        <w:rPr>
          <w:rtl w:val="true"/>
        </w:rPr>
        <w:t>כי מאז מעצרו</w:t>
      </w:r>
      <w:r>
        <w:rPr>
          <w:rtl w:val="true"/>
        </w:rPr>
        <w:t xml:space="preserve">, </w:t>
      </w:r>
      <w:r>
        <w:rPr>
          <w:rtl w:val="true"/>
        </w:rPr>
        <w:t>החל בהליך טיפולי מוצלח בקהילה סגורה ובהוסטל</w:t>
      </w:r>
      <w:r>
        <w:rPr>
          <w:rtl w:val="true"/>
        </w:rPr>
        <w:t xml:space="preserve">, </w:t>
      </w:r>
      <w:r>
        <w:rPr>
          <w:rtl w:val="true"/>
        </w:rPr>
        <w:t>בגדרו נגמל מסמים</w:t>
      </w:r>
      <w:r>
        <w:rPr>
          <w:rtl w:val="true"/>
        </w:rPr>
        <w:t xml:space="preserve">; </w:t>
      </w:r>
      <w:r>
        <w:rPr>
          <w:rtl w:val="true"/>
        </w:rPr>
        <w:t>וכי הוא מביע רצון לשנות את אורחות חייו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עוד העריך שירות המבחן כי אם ייגזר על בן פורת עונש מאסר בפועל מאחורי סורג ובריח</w:t>
      </w:r>
      <w:r>
        <w:rPr>
          <w:rtl w:val="true"/>
        </w:rPr>
        <w:t xml:space="preserve">, </w:t>
      </w:r>
      <w:r>
        <w:rPr>
          <w:rtl w:val="true"/>
        </w:rPr>
        <w:t>הדבר עלול לקטוע ההליך השיקומי בו החל</w:t>
      </w:r>
      <w:r>
        <w:rPr>
          <w:rtl w:val="true"/>
        </w:rPr>
        <w:t xml:space="preserve">, </w:t>
      </w:r>
      <w:r>
        <w:rPr>
          <w:rtl w:val="true"/>
        </w:rPr>
        <w:t>ולהביא לחשיפתו לנורמות עברייניות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הומלץ להטיל גם עליו עונש מאסר בפועל בדרך של עבודות שירות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צו מבחן למשך שנתיים במקביל להשתתפות בהליך טיפולי מטעם שירות המבחן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בגזר דינו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 כי יש לראות בעבירות שבהן הורשע כל אחד מהמשיבים כ</w:t>
      </w:r>
      <w:r>
        <w:rPr>
          <w:rtl w:val="true"/>
        </w:rPr>
        <w:t>"</w:t>
      </w:r>
      <w:r>
        <w:rPr>
          <w:rtl w:val="true"/>
        </w:rPr>
        <w:t>אירוע אחד</w:t>
      </w:r>
      <w:r>
        <w:rPr>
          <w:rtl w:val="true"/>
        </w:rPr>
        <w:t xml:space="preserve">", </w:t>
      </w:r>
      <w:r>
        <w:rPr>
          <w:rtl w:val="true"/>
        </w:rPr>
        <w:t>ובהתאם לכך</w:t>
      </w:r>
      <w:r>
        <w:rPr>
          <w:rtl w:val="true"/>
        </w:rPr>
        <w:t xml:space="preserve">, </w:t>
      </w:r>
      <w:r>
        <w:rPr>
          <w:rtl w:val="true"/>
        </w:rPr>
        <w:t>קבע מתחם עונש הולם אחד לאירועים כולם ביחס לכל אחד מהשניים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בקביעת מתחמי הענישה</w:t>
      </w:r>
      <w:r>
        <w:rPr>
          <w:rtl w:val="true"/>
        </w:rPr>
        <w:t xml:space="preserve">, </w:t>
      </w:r>
      <w:r>
        <w:rPr>
          <w:rtl w:val="true"/>
        </w:rPr>
        <w:t>בית המשפט המחוזי עמד על חומרת העבירות שבהן הורשעו המשיבים</w:t>
      </w:r>
      <w:r>
        <w:rPr>
          <w:rtl w:val="true"/>
        </w:rPr>
        <w:t xml:space="preserve">, </w:t>
      </w:r>
      <w:r>
        <w:rPr>
          <w:rtl w:val="true"/>
        </w:rPr>
        <w:t>תוך שהתייחס בין היתר לפגיעה שיש במעשיהם בערכים המוגנים של שלום הציבור ובריאותו</w:t>
      </w:r>
      <w:r>
        <w:rPr>
          <w:rtl w:val="true"/>
        </w:rPr>
        <w:t xml:space="preserve">; </w:t>
      </w:r>
      <w:r>
        <w:rPr>
          <w:rtl w:val="true"/>
        </w:rPr>
        <w:t>להיקף הסם המשמעותי שיובא והופץ במעורבותם בישראל</w:t>
      </w:r>
      <w:r>
        <w:rPr>
          <w:rtl w:val="true"/>
        </w:rPr>
        <w:t xml:space="preserve">; </w:t>
      </w:r>
      <w:r>
        <w:rPr>
          <w:rtl w:val="true"/>
        </w:rPr>
        <w:t>לסוג הסם</w:t>
      </w:r>
      <w:r>
        <w:rPr>
          <w:rtl w:val="true"/>
        </w:rPr>
        <w:t xml:space="preserve">, </w:t>
      </w:r>
      <w:r>
        <w:rPr>
          <w:rtl w:val="true"/>
        </w:rPr>
        <w:t xml:space="preserve">המכונה גם </w:t>
      </w:r>
      <w:r>
        <w:rPr>
          <w:rtl w:val="true"/>
        </w:rPr>
        <w:t>"</w:t>
      </w:r>
      <w:r>
        <w:rPr>
          <w:rtl w:val="true"/>
        </w:rPr>
        <w:t>סם אונס</w:t>
      </w:r>
      <w:r>
        <w:rPr>
          <w:rtl w:val="true"/>
        </w:rPr>
        <w:t xml:space="preserve">", </w:t>
      </w:r>
      <w:r>
        <w:rPr>
          <w:rtl w:val="true"/>
        </w:rPr>
        <w:t>אשר קיים חשש כי רוכשיו יעשו בו שימוש לביצוע עבירות מין</w:t>
      </w:r>
      <w:r>
        <w:rPr>
          <w:rtl w:val="true"/>
        </w:rPr>
        <w:t xml:space="preserve">; </w:t>
      </w:r>
      <w:r>
        <w:rPr>
          <w:rtl w:val="true"/>
        </w:rPr>
        <w:t>ולעובדה כי המשיבים שבו על מעשיהם פעמים מספר על פני פרק זמן משמעותי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נקבע כי מעשי המשיבים בוצעו </w:t>
      </w:r>
      <w:r>
        <w:rPr>
          <w:rtl w:val="true"/>
        </w:rPr>
        <w:t>"</w:t>
      </w:r>
      <w:r>
        <w:rPr>
          <w:rtl w:val="true"/>
        </w:rPr>
        <w:t>מתוך מצוקה נפשית ומתוך התמכרות לסמים ולא למען תאוות התעשרות ובצע כסף</w:t>
      </w:r>
      <w:r>
        <w:rPr>
          <w:rtl w:val="true"/>
        </w:rPr>
        <w:t xml:space="preserve">"; </w:t>
      </w:r>
      <w:r>
        <w:rPr>
          <w:rtl w:val="true"/>
        </w:rPr>
        <w:t>כי הסם נרכש בחו</w:t>
      </w:r>
      <w:r>
        <w:rPr>
          <w:rtl w:val="true"/>
        </w:rPr>
        <w:t>"</w:t>
      </w:r>
      <w:r>
        <w:rPr>
          <w:rtl w:val="true"/>
        </w:rPr>
        <w:t>ל באופן חוקי</w:t>
      </w:r>
      <w:r>
        <w:rPr>
          <w:rtl w:val="true"/>
        </w:rPr>
        <w:t xml:space="preserve">; </w:t>
      </w:r>
      <w:r>
        <w:rPr>
          <w:rtl w:val="true"/>
        </w:rPr>
        <w:t xml:space="preserve">וכי </w:t>
      </w:r>
      <w:r>
        <w:rPr>
          <w:rtl w:val="true"/>
        </w:rPr>
        <w:t>"</w:t>
      </w:r>
      <w:r>
        <w:rPr>
          <w:rtl w:val="true"/>
        </w:rPr>
        <w:t>אין מדובר במעשי עבירות מתוחכמים יחסית</w:t>
      </w:r>
      <w:r>
        <w:rPr>
          <w:rtl w:val="true"/>
        </w:rPr>
        <w:t>".</w:t>
      </w:r>
    </w:p>
    <w:p>
      <w:pPr>
        <w:pStyle w:val="Style14"/>
        <w:ind w:end="0"/>
        <w:jc w:val="both"/>
        <w:rPr/>
      </w:pPr>
      <w:r>
        <w:rPr>
          <w:rtl w:val="true"/>
        </w:rPr>
        <w:t>לאחר שעמד על מדיניות הענישה הנוהגת כלפי העבירות שבהן הורשעו המשיבים בנסיבות דומות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 כי מתחם העונש ההולם את מעשי כל אחד מהמשיבים</w:t>
      </w:r>
      <w:r>
        <w:rPr>
          <w:rtl w:val="true"/>
        </w:rPr>
        <w:t xml:space="preserve">, </w:t>
      </w:r>
      <w:r>
        <w:rPr>
          <w:rtl w:val="true"/>
        </w:rPr>
        <w:t xml:space="preserve">הוא בין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בית המשפט המחוזי קבע כי יש לחרוג לקולא ממתחם הענישה שנקבע בשל נסיבותיהם האישיות של המשיבים</w:t>
      </w:r>
      <w:r>
        <w:rPr>
          <w:rtl w:val="true"/>
        </w:rPr>
        <w:t xml:space="preserve">, </w:t>
      </w:r>
      <w:r>
        <w:rPr>
          <w:rtl w:val="true"/>
        </w:rPr>
        <w:t>תוך שקבע כי</w:t>
      </w:r>
      <w:r>
        <w:rPr>
          <w:rtl w:val="true"/>
        </w:rPr>
        <w:t>:</w:t>
      </w:r>
    </w:p>
    <w:p>
      <w:pPr>
        <w:pStyle w:val="Quote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י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א</w:t>
      </w:r>
      <w:r>
        <w:rPr>
          <w:rStyle w:val="Emphasis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נמצאים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בעיצומו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מוצלח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ולתפקד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כראוי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נעזרים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ובמשפחתם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המלך</w:t>
      </w:r>
      <w:r>
        <w:rPr>
          <w:rtl w:val="true"/>
        </w:rPr>
        <w:t xml:space="preserve">; </w:t>
      </w:r>
      <w:r>
        <w:rPr>
          <w:rStyle w:val="Emphasis"/>
          <w:rtl w:val="true"/>
        </w:rPr>
        <w:t>וקיים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חשש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ממשי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שמאסר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מאחורי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סורג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ובריח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יסכל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את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הליך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השיקום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וידרדר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את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מצבם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של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הנאשמים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י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א</w:t>
      </w:r>
      <w:r>
        <w:rPr>
          <w:rStyle w:val="Emphasis"/>
          <w:rtl w:val="true"/>
        </w:rPr>
        <w:t>'</w:t>
      </w:r>
      <w:r>
        <w:rPr>
          <w:rtl w:val="true"/>
        </w:rPr>
        <w:t>).</w:t>
      </w:r>
    </w:p>
    <w:p>
      <w:pPr>
        <w:pStyle w:val="Style14"/>
        <w:ind w:end="0"/>
        <w:jc w:val="both"/>
        <w:rPr/>
      </w:pPr>
      <w:r>
        <w:rPr>
          <w:rtl w:val="true"/>
        </w:rPr>
        <w:t>בנסיבות אלו החליט בית המשפט</w:t>
      </w:r>
      <w:r>
        <w:rPr>
          <w:rtl w:val="true"/>
        </w:rPr>
        <w:t>, "</w:t>
      </w:r>
      <w:r>
        <w:rPr>
          <w:rtl w:val="true"/>
        </w:rPr>
        <w:t>לא בלי התלבטות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לאמץ את המלצת שירות המבחן</w:t>
      </w:r>
      <w:r>
        <w:rPr>
          <w:rtl w:val="true"/>
        </w:rPr>
        <w:t xml:space="preserve">, </w:t>
      </w:r>
      <w:r>
        <w:rPr>
          <w:rtl w:val="true"/>
        </w:rPr>
        <w:t>ולהימנע מהטלת עונש מאסר בפועל על המשיבים מאחורי סורג ובריח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נגזרו על כל אחד מהמשיבים עונשים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בפועל אותם יישאו בדרך של עבודות שירות בלי שינוכו ימי מעצרם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לבל יעברו עבירת סמים </w:t>
      </w:r>
      <w:r>
        <w:rPr>
          <w:rtl w:val="true"/>
        </w:rPr>
        <w:t>"</w:t>
      </w:r>
      <w:r>
        <w:rPr>
          <w:rtl w:val="true"/>
        </w:rPr>
        <w:t>מלבד החזקה לצריכה עצמית או שימוש עצמי</w:t>
      </w:r>
      <w:r>
        <w:rPr>
          <w:rtl w:val="true"/>
        </w:rPr>
        <w:t xml:space="preserve">" </w:t>
      </w:r>
      <w:r>
        <w:rPr>
          <w:rtl w:val="true"/>
        </w:rPr>
        <w:t xml:space="preserve">לתקופה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 xml:space="preserve">קנס בסך </w:t>
      </w:r>
      <w:r>
        <w:rPr/>
        <w:t>15,000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או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; </w:t>
      </w:r>
      <w:r>
        <w:rPr>
          <w:rtl w:val="true"/>
        </w:rPr>
        <w:t xml:space="preserve">ופסילת רישיון נהיגה למשך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>הורה בית המשפט המחוזי על חילוט רכוש מכל אחד מהשניים</w:t>
      </w:r>
      <w:r>
        <w:rPr>
          <w:rtl w:val="true"/>
        </w:rPr>
        <w:t xml:space="preserve">, </w:t>
      </w:r>
      <w:r>
        <w:rPr>
          <w:rtl w:val="true"/>
        </w:rPr>
        <w:t>בהתאם לבקשת החילוט שצורפה לכתב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לרבות סך של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במזומן שנתפסו ברשות פרנקפורטר</w:t>
      </w:r>
      <w:r>
        <w:rPr>
          <w:rtl w:val="true"/>
        </w:rPr>
        <w:t xml:space="preserve">; </w:t>
      </w:r>
      <w:r>
        <w:rPr>
          <w:rtl w:val="true"/>
        </w:rPr>
        <w:t>והטיל על בן פורת צו מבחן למשך שנתיים</w:t>
      </w:r>
      <w:r>
        <w:rPr>
          <w:rtl w:val="true"/>
        </w:rPr>
        <w:t xml:space="preserve">, </w:t>
      </w:r>
      <w:r>
        <w:rPr>
          <w:rtl w:val="true"/>
        </w:rPr>
        <w:t>ואילו על פרנקפורטר צו מבחן למשך שנה אחת</w:t>
      </w:r>
      <w:r>
        <w:rPr>
          <w:rtl w:val="true"/>
        </w:rPr>
        <w:t xml:space="preserve">. </w:t>
      </w:r>
      <w:r>
        <w:rPr>
          <w:rtl w:val="true"/>
        </w:rPr>
        <w:t>אף זאת</w:t>
      </w:r>
      <w:r>
        <w:rPr>
          <w:rtl w:val="true"/>
        </w:rPr>
        <w:t xml:space="preserve">, </w:t>
      </w:r>
      <w:r>
        <w:rPr>
          <w:rtl w:val="true"/>
        </w:rPr>
        <w:t>בהתאם להמלצת שירות המבחן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ערעור המדינה שלפנינו נסוב על קולת גזר דינו של בית המשפט המחוזי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 עוד בטרם הוגש הערעור החל בן פורת לשאת בעונש המאסר בפועל שנגזר עליו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והספיק לבצע למעלה מחודש ימים במסגרת זו</w:t>
      </w:r>
      <w:r>
        <w:rPr>
          <w:rtl w:val="true"/>
        </w:rPr>
        <w:t>.</w:t>
      </w:r>
    </w:p>
    <w:p>
      <w:pPr>
        <w:pStyle w:val="Heading1"/>
        <w:spacing w:before="360" w:after="360"/>
        <w:ind w:hanging="0" w:start="0" w:end="0"/>
        <w:jc w:val="start"/>
        <w:rPr/>
      </w:pPr>
      <w:r>
        <w:rPr>
          <w:rtl w:val="true"/>
        </w:rPr>
        <w:t>הערעור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 xml:space="preserve">בערעור שהוגש מטעם המדינה על גזר הדין </w:t>
      </w:r>
      <w:r>
        <w:rPr>
          <w:rtl w:val="true"/>
        </w:rPr>
        <w:t>(</w:t>
      </w:r>
      <w:r>
        <w:rPr>
          <w:rtl w:val="true"/>
        </w:rPr>
        <w:t>עונש המאסר בעבודות שירות</w:t>
      </w:r>
      <w:r>
        <w:rPr>
          <w:rtl w:val="true"/>
        </w:rPr>
        <w:t xml:space="preserve">, </w:t>
      </w:r>
      <w:r>
        <w:rPr>
          <w:rtl w:val="true"/>
        </w:rPr>
        <w:t>וגובה הקנס</w:t>
      </w:r>
      <w:r>
        <w:rPr>
          <w:rtl w:val="true"/>
        </w:rPr>
        <w:t xml:space="preserve">), </w:t>
      </w:r>
      <w:r>
        <w:rPr>
          <w:rtl w:val="true"/>
        </w:rPr>
        <w:t xml:space="preserve">נטען כי מדובר בפרשה חריגה בחומרתה של יבוא רחב היקף באופן חסר תקדים וסחר בכמות עצומה של סם מסוג </w:t>
      </w:r>
      <w:r>
        <w:rPr/>
        <w:t>GBL</w:t>
      </w:r>
      <w:r>
        <w:rPr>
          <w:rtl w:val="true"/>
        </w:rPr>
        <w:t xml:space="preserve">, </w:t>
      </w:r>
      <w:r>
        <w:rPr>
          <w:rtl w:val="true"/>
        </w:rPr>
        <w:t>המוכר כ</w:t>
      </w:r>
      <w:r>
        <w:rPr>
          <w:rtl w:val="true"/>
        </w:rPr>
        <w:t>"</w:t>
      </w:r>
      <w:r>
        <w:rPr>
          <w:rtl w:val="true"/>
        </w:rPr>
        <w:t>סם אונס</w:t>
      </w:r>
      <w:r>
        <w:rPr>
          <w:rtl w:val="true"/>
        </w:rPr>
        <w:t xml:space="preserve">", </w:t>
      </w:r>
      <w:r>
        <w:rPr>
          <w:rtl w:val="true"/>
        </w:rPr>
        <w:t>והפצתו בישראל</w:t>
      </w:r>
      <w:r>
        <w:rPr>
          <w:rtl w:val="true"/>
        </w:rPr>
        <w:t xml:space="preserve">, </w:t>
      </w:r>
      <w:r>
        <w:rPr>
          <w:rtl w:val="true"/>
        </w:rPr>
        <w:t>פעילות שבוצעה על ידי שני המשיבים בצורה שיטתית ומתוכננת</w:t>
      </w:r>
      <w:r>
        <w:rPr>
          <w:rtl w:val="true"/>
        </w:rPr>
        <w:t xml:space="preserve">, </w:t>
      </w:r>
      <w:r>
        <w:rPr>
          <w:rtl w:val="true"/>
        </w:rPr>
        <w:t>ואשר נפרסה על פני תקופה ממושכת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עוד הודגש</w:t>
      </w:r>
      <w:r>
        <w:rPr>
          <w:rtl w:val="true"/>
        </w:rPr>
        <w:t xml:space="preserve">, </w:t>
      </w:r>
      <w:r>
        <w:rPr>
          <w:rtl w:val="true"/>
        </w:rPr>
        <w:t xml:space="preserve">כי פרנקפורטר ייבא לישראל במספר הזדמנויות סם מסוג </w:t>
      </w:r>
      <w:r>
        <w:rPr/>
        <w:t>GBL</w:t>
      </w:r>
      <w:r>
        <w:rPr>
          <w:rtl w:val="true"/>
        </w:rPr>
        <w:t xml:space="preserve"> </w:t>
      </w:r>
      <w:r>
        <w:rPr>
          <w:rtl w:val="true"/>
        </w:rPr>
        <w:t xml:space="preserve">בנפח כולל של </w:t>
      </w:r>
      <w:r>
        <w:rPr/>
        <w:t>73</w:t>
      </w:r>
      <w:r>
        <w:rPr>
          <w:rtl w:val="true"/>
        </w:rPr>
        <w:t xml:space="preserve"> </w:t>
      </w:r>
      <w:r>
        <w:rPr>
          <w:rtl w:val="true"/>
        </w:rPr>
        <w:t>ליטר סם</w:t>
      </w:r>
      <w:r>
        <w:rPr>
          <w:rtl w:val="true"/>
        </w:rPr>
        <w:t xml:space="preserve">, </w:t>
      </w:r>
      <w:r>
        <w:rPr>
          <w:rtl w:val="true"/>
        </w:rPr>
        <w:t>כמות ש</w:t>
      </w:r>
      <w:r>
        <w:rPr>
          <w:rtl w:val="true"/>
        </w:rPr>
        <w:t>"</w:t>
      </w:r>
      <w:r>
        <w:rPr>
          <w:rtl w:val="true"/>
        </w:rPr>
        <w:t>על פי אומדן זהיר</w:t>
      </w:r>
      <w:r>
        <w:rPr>
          <w:rtl w:val="true"/>
        </w:rPr>
        <w:t xml:space="preserve">", </w:t>
      </w:r>
      <w:r>
        <w:rPr>
          <w:rtl w:val="true"/>
        </w:rPr>
        <w:t>כך נכתב</w:t>
      </w:r>
      <w:r>
        <w:rPr>
          <w:rtl w:val="true"/>
        </w:rPr>
        <w:t xml:space="preserve">, </w:t>
      </w:r>
      <w:r>
        <w:rPr>
          <w:rtl w:val="true"/>
        </w:rPr>
        <w:t>ניתן להכין ממנו לא פחות מ</w:t>
      </w:r>
      <w:r>
        <w:rPr>
          <w:rtl w:val="true"/>
        </w:rPr>
        <w:t>-</w:t>
      </w:r>
      <w:r>
        <w:rPr/>
        <w:t>18,000</w:t>
      </w:r>
      <w:r>
        <w:rPr>
          <w:rtl w:val="true"/>
        </w:rPr>
        <w:t xml:space="preserve"> </w:t>
      </w:r>
      <w:r>
        <w:rPr>
          <w:rtl w:val="true"/>
        </w:rPr>
        <w:t>מנות סם</w:t>
      </w:r>
      <w:r>
        <w:rPr>
          <w:rtl w:val="true"/>
        </w:rPr>
        <w:t xml:space="preserve">. </w:t>
      </w:r>
      <w:r>
        <w:rPr>
          <w:rtl w:val="true"/>
        </w:rPr>
        <w:t>את רוב כמות הסם</w:t>
      </w:r>
      <w:r>
        <w:rPr>
          <w:rtl w:val="true"/>
        </w:rPr>
        <w:t xml:space="preserve">, </w:t>
      </w:r>
      <w:r>
        <w:rPr>
          <w:rtl w:val="true"/>
        </w:rPr>
        <w:t xml:space="preserve">מכר לבן פורת </w:t>
      </w:r>
      <w:r>
        <w:rPr>
          <w:rtl w:val="true"/>
        </w:rPr>
        <w:t>–</w:t>
      </w:r>
      <w:r>
        <w:rPr>
          <w:rtl w:val="true"/>
        </w:rPr>
        <w:t xml:space="preserve"> וזה האחרון סחר בסם והפיץ אותו בקרב השוק הישראלי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משכך נטען</w:t>
      </w:r>
      <w:r>
        <w:rPr>
          <w:rtl w:val="true"/>
        </w:rPr>
        <w:t xml:space="preserve">, </w:t>
      </w:r>
      <w:r>
        <w:rPr>
          <w:rtl w:val="true"/>
        </w:rPr>
        <w:t>כי הענישה מקילה</w:t>
      </w:r>
      <w:r>
        <w:rPr>
          <w:rtl w:val="true"/>
        </w:rPr>
        <w:t xml:space="preserve">, </w:t>
      </w:r>
      <w:r>
        <w:rPr>
          <w:rtl w:val="true"/>
        </w:rPr>
        <w:t>אינה עונה על הדרישה להלימה בין העונש לבין החומרה היתירה של המעשים</w:t>
      </w:r>
      <w:r>
        <w:rPr>
          <w:rtl w:val="true"/>
        </w:rPr>
        <w:t xml:space="preserve">, </w:t>
      </w:r>
      <w:r>
        <w:rPr>
          <w:rtl w:val="true"/>
        </w:rPr>
        <w:t>אינה מביאה לידי ביטוי את מידת האשם הגבוה הגלומה במעשים</w:t>
      </w:r>
      <w:r>
        <w:rPr>
          <w:rtl w:val="true"/>
        </w:rPr>
        <w:t xml:space="preserve">, </w:t>
      </w:r>
      <w:r>
        <w:rPr>
          <w:rtl w:val="true"/>
        </w:rPr>
        <w:t>ואף אינה מרתיעה דיה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לגישת באי כוח המדינה</w:t>
      </w:r>
      <w:r>
        <w:rPr>
          <w:rtl w:val="true"/>
        </w:rPr>
        <w:t xml:space="preserve">, </w:t>
      </w:r>
      <w:r>
        <w:rPr>
          <w:rtl w:val="true"/>
        </w:rPr>
        <w:t>יש לקבוע כלל שלפיו ייבוא וסחר בסמים בהיקף משמעותי</w:t>
      </w:r>
      <w:r>
        <w:rPr>
          <w:rtl w:val="true"/>
        </w:rPr>
        <w:t xml:space="preserve">, </w:t>
      </w:r>
      <w:r>
        <w:rPr>
          <w:rtl w:val="true"/>
        </w:rPr>
        <w:t>כבמקרה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מחייב מאסר מאחורי סורג ובריח </w:t>
      </w:r>
      <w:r>
        <w:rPr>
          <w:rtl w:val="true"/>
        </w:rPr>
        <w:t>–</w:t>
      </w:r>
      <w:r>
        <w:rPr>
          <w:rtl w:val="true"/>
        </w:rPr>
        <w:t xml:space="preserve"> ואין בשיקולי שיקום כשלעצמם כדי להימנע מכך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נטען כי ראוי היה ליצור מדרג בענישת המשיבים</w:t>
      </w:r>
      <w:r>
        <w:rPr>
          <w:rtl w:val="true"/>
        </w:rPr>
        <w:t xml:space="preserve">, </w:t>
      </w:r>
      <w:r>
        <w:rPr>
          <w:rtl w:val="true"/>
        </w:rPr>
        <w:t>תוך הקלה עם בן פורת ביחס לפרנקפורטר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 היתר בשים לב להבדלים בנסיבותיהם האישיות של השניים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>טוענים באי כוח המדינה כי ראוי היה להטיל על המשיבים קנס בסכום גבוה מזה שנפסק לחובתם</w:t>
      </w:r>
      <w:r>
        <w:rPr>
          <w:rtl w:val="true"/>
        </w:rPr>
        <w:t xml:space="preserve">, </w:t>
      </w:r>
      <w:r>
        <w:rPr>
          <w:rtl w:val="true"/>
        </w:rPr>
        <w:t>אשר ישקף את הרווח שהפיקו כתוצאה מייבוא הסם והפצתו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באי כוח המשיבים טענו כל אשר יכלו דברי זכות לטובת מרשיהם וביקשו לדחות את הערעור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 שהדגישו</w:t>
      </w:r>
      <w:r>
        <w:rPr>
          <w:rtl w:val="true"/>
        </w:rPr>
        <w:t xml:space="preserve">, </w:t>
      </w:r>
      <w:r>
        <w:rPr>
          <w:rtl w:val="true"/>
        </w:rPr>
        <w:t>כל אחד בדרכו</w:t>
      </w:r>
      <w:r>
        <w:rPr>
          <w:rtl w:val="true"/>
        </w:rPr>
        <w:t xml:space="preserve">, </w:t>
      </w:r>
      <w:r>
        <w:rPr>
          <w:rtl w:val="true"/>
        </w:rPr>
        <w:t>נימוקים אשר בנסיבות העניין</w:t>
      </w:r>
      <w:r>
        <w:rPr>
          <w:rtl w:val="true"/>
        </w:rPr>
        <w:t xml:space="preserve">, </w:t>
      </w:r>
      <w:r>
        <w:rPr>
          <w:rtl w:val="true"/>
        </w:rPr>
        <w:t>לגישתם</w:t>
      </w:r>
      <w:r>
        <w:rPr>
          <w:rtl w:val="true"/>
        </w:rPr>
        <w:t xml:space="preserve">, </w:t>
      </w:r>
      <w:r>
        <w:rPr>
          <w:rtl w:val="true"/>
        </w:rPr>
        <w:t xml:space="preserve">נכון עשה בית המשפט המחוזי בכך שהסתפק בעונשי מאסר לביצוע במסגרת של עבודות שירות </w:t>
      </w:r>
      <w:r>
        <w:rPr>
          <w:rtl w:val="true"/>
        </w:rPr>
        <w:t>–</w:t>
      </w:r>
      <w:r>
        <w:rPr>
          <w:rtl w:val="true"/>
        </w:rPr>
        <w:t xml:space="preserve"> ולא מעבר לכך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בכלל זה</w:t>
      </w:r>
      <w:r>
        <w:rPr>
          <w:rtl w:val="true"/>
        </w:rPr>
        <w:t xml:space="preserve">, </w:t>
      </w:r>
      <w:r>
        <w:rPr>
          <w:rtl w:val="true"/>
        </w:rPr>
        <w:t>בא כוחו של בן פורת סמך את טיעוניו על תסקירי שירות המבחן שהוגשו בעניינו</w:t>
      </w:r>
      <w:r>
        <w:rPr>
          <w:rtl w:val="true"/>
        </w:rPr>
        <w:t xml:space="preserve">, </w:t>
      </w:r>
      <w:r>
        <w:rPr>
          <w:rtl w:val="true"/>
        </w:rPr>
        <w:t>ועל החשש כי שליחתו למאסר בפועל מאחורי סורג ובריח עלול לקטוע את הליך השיקום המוצלח שבו החל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מעורבותו בפרשה נבעה מהתמכרותו לקוקאין</w:t>
      </w:r>
      <w:r>
        <w:rPr>
          <w:rtl w:val="true"/>
        </w:rPr>
        <w:t xml:space="preserve">; </w:t>
      </w:r>
      <w:r>
        <w:rPr>
          <w:rtl w:val="true"/>
        </w:rPr>
        <w:t>הרווחים אותם הפיק ממכירת הסם הופנו לרכישת קוקאין לשימושו העצמי</w:t>
      </w:r>
      <w:r>
        <w:rPr>
          <w:rtl w:val="true"/>
        </w:rPr>
        <w:t xml:space="preserve">; </w:t>
      </w:r>
      <w:r>
        <w:rPr>
          <w:rtl w:val="true"/>
        </w:rPr>
        <w:t>הוא מצוי כיום בחובות כבדים</w:t>
      </w:r>
      <w:r>
        <w:rPr>
          <w:rtl w:val="true"/>
        </w:rPr>
        <w:t xml:space="preserve">, </w:t>
      </w:r>
      <w:r>
        <w:rPr>
          <w:rtl w:val="true"/>
        </w:rPr>
        <w:t>והוא מתקיים הודות לסיוע כלכלי מהוריו אצלם הוא מתגורר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כך גם טען בא כוחו של פרנקפורטר</w:t>
      </w:r>
      <w:r>
        <w:rPr>
          <w:rtl w:val="true"/>
        </w:rPr>
        <w:t xml:space="preserve">, </w:t>
      </w:r>
      <w:r>
        <w:rPr>
          <w:rtl w:val="true"/>
        </w:rPr>
        <w:t>תוך שהדגיש את שיקולי השיקום בעניינו</w:t>
      </w:r>
      <w:r>
        <w:rPr>
          <w:rtl w:val="true"/>
        </w:rPr>
        <w:t xml:space="preserve">, </w:t>
      </w:r>
      <w:r>
        <w:rPr>
          <w:rtl w:val="true"/>
        </w:rPr>
        <w:t>לנוכח המשברים שחווה במהלך חייו</w:t>
      </w:r>
      <w:r>
        <w:rPr>
          <w:rtl w:val="true"/>
        </w:rPr>
        <w:t xml:space="preserve">, </w:t>
      </w:r>
      <w:r>
        <w:rPr>
          <w:rtl w:val="true"/>
        </w:rPr>
        <w:t>וכן הרחיב על נסיבותיו האישיות והמשפחתיות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בתסקירים המשלימים שהוגשו לפנינו ובדברי נציגת שירות המבחן בדיון שהתקיים בערעור</w:t>
      </w:r>
      <w:r>
        <w:rPr>
          <w:rtl w:val="true"/>
        </w:rPr>
        <w:t xml:space="preserve">, </w:t>
      </w:r>
      <w:r>
        <w:rPr>
          <w:rtl w:val="true"/>
        </w:rPr>
        <w:t>פורטו פעם נוספת הליכי הטיפול והשיקום שעברו המשיבים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נציגת שירות המבחן הדגישה כי אף אם יוחמרו עונשי המשיבים</w:t>
      </w:r>
      <w:r>
        <w:rPr>
          <w:rtl w:val="true"/>
        </w:rPr>
        <w:t xml:space="preserve">, </w:t>
      </w:r>
      <w:r>
        <w:rPr>
          <w:rtl w:val="true"/>
        </w:rPr>
        <w:t>והם יישאו בעונשי מאסר מאחורי סורג ובריח</w:t>
      </w:r>
      <w:r>
        <w:rPr>
          <w:rtl w:val="true"/>
        </w:rPr>
        <w:t xml:space="preserve">, </w:t>
      </w:r>
      <w:r>
        <w:rPr>
          <w:rtl w:val="true"/>
        </w:rPr>
        <w:t xml:space="preserve">לא יהיה בכך כדי </w:t>
      </w:r>
      <w:r>
        <w:rPr>
          <w:rtl w:val="true"/>
        </w:rPr>
        <w:t>"</w:t>
      </w:r>
      <w:r>
        <w:rPr>
          <w:rtl w:val="true"/>
        </w:rPr>
        <w:t>לטרוף את כל הקלפים ולקלקל</w:t>
      </w:r>
      <w:r>
        <w:rPr>
          <w:rtl w:val="true"/>
        </w:rPr>
        <w:t xml:space="preserve">", </w:t>
      </w:r>
      <w:r>
        <w:rPr>
          <w:rtl w:val="true"/>
        </w:rPr>
        <w:t>כלשונה</w:t>
      </w:r>
      <w:r>
        <w:rPr>
          <w:rtl w:val="true"/>
        </w:rPr>
        <w:t xml:space="preserve">, </w:t>
      </w:r>
      <w:r>
        <w:rPr>
          <w:rtl w:val="true"/>
        </w:rPr>
        <w:t xml:space="preserve">ולהתרשמותה </w:t>
      </w:r>
      <w:r>
        <w:rPr>
          <w:rtl w:val="true"/>
        </w:rPr>
        <w:t>"</w:t>
      </w:r>
      <w:r>
        <w:rPr>
          <w:rtl w:val="true"/>
        </w:rPr>
        <w:t>שניהם יתמודדו</w:t>
      </w:r>
      <w:r>
        <w:rPr>
          <w:rtl w:val="true"/>
        </w:rPr>
        <w:t>".</w:t>
      </w:r>
    </w:p>
    <w:p>
      <w:pPr>
        <w:pStyle w:val="Heading1"/>
        <w:spacing w:before="360" w:after="360"/>
        <w:ind w:hanging="0" w:start="0" w:end="0"/>
        <w:jc w:val="start"/>
        <w:rPr/>
      </w:pPr>
      <w:r>
        <w:rPr>
          <w:rtl w:val="true"/>
        </w:rPr>
        <w:t>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לאחר שעיינו בטענות המדינה</w:t>
      </w:r>
      <w:r>
        <w:rPr>
          <w:rtl w:val="true"/>
        </w:rPr>
        <w:t xml:space="preserve">, </w:t>
      </w:r>
      <w:r>
        <w:rPr>
          <w:rtl w:val="true"/>
        </w:rPr>
        <w:t>שמענו את טיעוני הצדדים בדיון שהתקיים לפנינו ועיינו בפסק דינו של בית המשפט המחוזי ובתסקירים שהוגשו בעניינם של המשיבים</w:t>
      </w:r>
      <w:r>
        <w:rPr>
          <w:rtl w:val="true"/>
        </w:rPr>
        <w:t xml:space="preserve">, </w:t>
      </w:r>
      <w:r>
        <w:rPr>
          <w:rtl w:val="true"/>
        </w:rPr>
        <w:t xml:space="preserve">הגענו לכלל מסקנה כי דין הערעור להתקבל </w:t>
      </w:r>
      <w:r>
        <w:rPr>
          <w:rtl w:val="true"/>
        </w:rPr>
        <w:t>–</w:t>
      </w:r>
      <w:r>
        <w:rPr>
          <w:rtl w:val="true"/>
        </w:rPr>
        <w:t xml:space="preserve"> במובן זה שעונשי המשיבים יוחמרו כך שיישאו בעונשי מאסר בפועל מאחורי סורג ובריח</w:t>
      </w:r>
      <w:r>
        <w:rPr>
          <w:rtl w:val="true"/>
        </w:rPr>
        <w:t xml:space="preserve">, </w:t>
      </w:r>
      <w:r>
        <w:rPr>
          <w:rtl w:val="true"/>
        </w:rPr>
        <w:t>כך שיינתן ביטוי משמעותי יותר לחומרת מעשיהם והעבירות שבהן הורשעו</w:t>
      </w:r>
      <w:r>
        <w:rPr>
          <w:rtl w:val="true"/>
        </w:rPr>
        <w:t xml:space="preserve">, </w:t>
      </w:r>
      <w:r>
        <w:rPr>
          <w:rtl w:val="true"/>
        </w:rPr>
        <w:t>גם אם אין בכך כדי הענישה ההולמת במקרה דנן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ערכאת הערעור אינה נוטה למצות את הדין עם הנאשם</w:t>
      </w:r>
      <w:r>
        <w:rPr>
          <w:rtl w:val="true"/>
        </w:rPr>
        <w:t xml:space="preserve">, </w:t>
      </w:r>
      <w:r>
        <w:rPr>
          <w:rtl w:val="true"/>
        </w:rPr>
        <w:t xml:space="preserve">ואין </w:t>
      </w:r>
      <w:r>
        <w:rPr>
          <w:rtl w:val="true"/>
        </w:rPr>
        <w:t>זה מדרכה</w:t>
      </w:r>
      <w:r>
        <w:rPr>
          <w:rtl w:val="true"/>
        </w:rPr>
        <w:t xml:space="preserve"> להתערב בעונש שנגזר עליו בערכאה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בנסיבות </w:t>
      </w:r>
      <w:r>
        <w:rPr>
          <w:rtl w:val="true"/>
        </w:rPr>
        <w:t>ש</w:t>
      </w:r>
      <w:r>
        <w:rPr>
          <w:rtl w:val="true"/>
        </w:rPr>
        <w:t xml:space="preserve">בהן </w:t>
      </w:r>
      <w:r>
        <w:rPr>
          <w:rtl w:val="true"/>
        </w:rPr>
        <w:t>ניכרת ב</w:t>
      </w:r>
      <w:r>
        <w:rPr>
          <w:rtl w:val="true"/>
        </w:rPr>
        <w:t>גזר הדין סטייה מהותית ובולטת מהענישה המקובלת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או ממדיניות הענישה הראויה </w:t>
      </w:r>
      <w:r>
        <w:rPr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1465/20</w:t>
        </w:r>
      </w:hyperlink>
      <w:r>
        <w:rPr>
          <w:rtl w:val="true"/>
        </w:rPr>
        <w:t xml:space="preserve"> </w:t>
      </w:r>
      <w:r>
        <w:rPr>
          <w:rStyle w:val="Emphasis"/>
          <w:rtl w:val="true"/>
        </w:rPr>
        <w:t>מדינת ישראל נ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19.3.2020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Style14"/>
        <w:ind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המקרה שלפנינו נמנה עם אותם מקרים המצדיקים התערבות בעונשים שנגזרו על המשיבים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בית משפט זה שב והדגיש לא אחת את החומרה הנלווית לעבירות הסמים</w:t>
      </w:r>
      <w:r>
        <w:rPr>
          <w:rtl w:val="true"/>
        </w:rPr>
        <w:t xml:space="preserve">, </w:t>
      </w:r>
      <w:r>
        <w:rPr>
          <w:rtl w:val="true"/>
        </w:rPr>
        <w:t>ולעבירות שעניינן בייבוא והפצת סמים מסוכנים בפרט</w:t>
      </w:r>
      <w:r>
        <w:rPr>
          <w:rtl w:val="true"/>
        </w:rPr>
        <w:t xml:space="preserve">, </w:t>
      </w:r>
      <w:r>
        <w:rPr>
          <w:rtl w:val="true"/>
        </w:rPr>
        <w:t>אשר יש בהן כדי לסכן את שלום הציבור ולהרחיב את מעגל המשתמשים בסמים והמכורים להם</w:t>
      </w:r>
      <w:r>
        <w:rPr>
          <w:rtl w:val="true"/>
        </w:rPr>
        <w:t xml:space="preserve">. </w:t>
      </w:r>
    </w:p>
    <w:p>
      <w:pPr>
        <w:pStyle w:val="Style14"/>
        <w:ind w:end="0"/>
        <w:jc w:val="both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ובשים לב לרווח הכלכלי המשמעותי המופק לעיתים מביצוע עבירות אלו</w:t>
      </w:r>
      <w:r>
        <w:rPr>
          <w:rtl w:val="true"/>
        </w:rPr>
        <w:t xml:space="preserve">, </w:t>
      </w:r>
      <w:r>
        <w:rPr>
          <w:rtl w:val="true"/>
        </w:rPr>
        <w:t>נקבע לא אחת כי יש לנקוט כלפיהן במדיניות ענישה מחמירה</w:t>
      </w:r>
      <w:r>
        <w:rPr>
          <w:rtl w:val="true"/>
        </w:rPr>
        <w:t xml:space="preserve">, </w:t>
      </w:r>
      <w:r>
        <w:rPr>
          <w:rtl w:val="true"/>
        </w:rPr>
        <w:t>שיהא בה כדי להרתיע עבריינים פוטנציאליים מלבצען</w:t>
      </w:r>
      <w:r>
        <w:rPr>
          <w:rtl w:val="true"/>
        </w:rPr>
        <w:t xml:space="preserve">. </w:t>
      </w: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>כי על דרך הכלל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סיבותיו האישיות של נאשם ייסוגו בפני האינטרס הציבורי שבהחמרת הענישה בגין עבירות מסוג זה</w:t>
      </w:r>
      <w:r>
        <w:rPr>
          <w:rtl w:val="true"/>
        </w:rPr>
        <w:t xml:space="preserve"> לשם הרתעת הרבים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>שהרי כידוע</w:t>
      </w:r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>שיקולי השיקום</w:t>
      </w:r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>הם אינם חזות הכול</w:t>
      </w:r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>ולצידם ניצבים שיקולי ענישה נוספים</w:t>
      </w:r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>וביניהם עיקרון הגמול</w:t>
      </w:r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>שיקולי הרתעה והגנה על שלום הציבור</w:t>
      </w:r>
      <w:r>
        <w:rPr>
          <w:rFonts w:ascii="FrankRuehl;Times New Roman" w:hAnsi="FrankRuehl;Times New Roman" w:cs="FrankRuehl;Times New Roman"/>
          <w:color w:val="000000"/>
          <w:sz w:val="28"/>
          <w:sz w:val="28"/>
          <w:rtl w:val="true"/>
        </w:rPr>
        <w:t xml:space="preserve"> </w:t>
      </w:r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>(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8048/19</w:t>
        </w:r>
      </w:hyperlink>
      <w:r>
        <w:rPr>
          <w:rtl w:val="true"/>
        </w:rPr>
        <w:t xml:space="preserve"> </w:t>
      </w:r>
      <w:r>
        <w:rPr>
          <w:rStyle w:val="Emphasis"/>
          <w:rtl w:val="true"/>
        </w:rPr>
        <w:t>פיצ</w:t>
      </w:r>
      <w:r>
        <w:rPr>
          <w:rStyle w:val="Emphasis"/>
          <w:rtl w:val="true"/>
        </w:rPr>
        <w:t>'</w:t>
      </w:r>
      <w:r>
        <w:rPr>
          <w:rStyle w:val="Emphasis"/>
          <w:rtl w:val="true"/>
        </w:rPr>
        <w:t>חדזה נ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לפסק דיני </w:t>
      </w:r>
      <w:r>
        <w:rPr>
          <w:rtl w:val="true"/>
        </w:rPr>
        <w:t>(</w:t>
      </w:r>
      <w:r>
        <w:rPr/>
        <w:t>4.6.2020</w:t>
      </w:r>
      <w:r>
        <w:rPr>
          <w:rtl w:val="true"/>
        </w:rPr>
        <w:t>)</w:t>
      </w:r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>).</w:t>
      </w:r>
    </w:p>
    <w:p>
      <w:pPr>
        <w:pStyle w:val="Style14"/>
        <w:ind w:end="0"/>
        <w:jc w:val="both"/>
        <w:rPr/>
      </w:pPr>
      <w:r>
        <w:rPr>
          <w:rtl w:val="true"/>
        </w:rPr>
        <w:t>הדברים אמורים ביתר שאת ביחס לעבירות של יבוא והפצת סם ה</w:t>
      </w:r>
      <w:r>
        <w:rPr>
          <w:rtl w:val="true"/>
        </w:rPr>
        <w:t>-</w:t>
      </w:r>
      <w:r>
        <w:rPr/>
        <w:t>GBL</w:t>
      </w:r>
      <w:r>
        <w:rPr>
          <w:rtl w:val="true"/>
        </w:rPr>
        <w:t xml:space="preserve">, </w:t>
      </w:r>
      <w:r>
        <w:rPr>
          <w:rtl w:val="true"/>
        </w:rPr>
        <w:t>כבענייננו</w:t>
      </w:r>
      <w:r>
        <w:rPr>
          <w:rtl w:val="true"/>
        </w:rPr>
        <w:t xml:space="preserve">, </w:t>
      </w:r>
      <w:r>
        <w:rPr>
          <w:rtl w:val="true"/>
        </w:rPr>
        <w:t>אשר בשל מאפייניו הייחודיים קיים חשש של ממש כי ייעשה בו שימוש לביצוע עבירות מין</w:t>
      </w:r>
      <w:r>
        <w:rPr>
          <w:rtl w:val="true"/>
        </w:rPr>
        <w:t xml:space="preserve">, </w:t>
      </w:r>
      <w:r>
        <w:rPr>
          <w:rtl w:val="true"/>
        </w:rPr>
        <w:t xml:space="preserve">תוך סימום ואלחוש הקורבנות בלי שיבחינו בכך באופן שימנע מהם לזכור את אשר אירע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5826/19</w:t>
        </w:r>
      </w:hyperlink>
      <w:r>
        <w:rPr>
          <w:rtl w:val="true"/>
        </w:rPr>
        <w:t xml:space="preserve"> </w:t>
      </w:r>
      <w:r>
        <w:rPr>
          <w:rStyle w:val="Emphasis"/>
          <w:rtl w:val="true"/>
        </w:rPr>
        <w:t>מדינת ישראל נ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רפאל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12</w:t>
      </w:r>
      <w:r>
        <w:rPr>
          <w:rFonts w:eastAsia="Garamond"/>
          <w:rtl w:val="true"/>
        </w:rPr>
        <w:t>–</w:t>
      </w:r>
      <w:r>
        <w:rPr/>
        <w:t>15</w:t>
      </w:r>
      <w:r>
        <w:rPr>
          <w:rtl w:val="true"/>
        </w:rPr>
        <w:t xml:space="preserve"> (</w:t>
      </w:r>
      <w:r>
        <w:rPr/>
        <w:t>21.1.2020</w:t>
      </w:r>
      <w:r>
        <w:rPr>
          <w:rtl w:val="true"/>
        </w:rPr>
        <w:t>)).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bookmarkStart w:id="17" w:name="_Ref66090587"/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ייבוא סם ה</w:t>
      </w:r>
      <w:r>
        <w:rPr>
          <w:rtl w:val="true"/>
        </w:rPr>
        <w:t>-</w:t>
      </w:r>
      <w:r>
        <w:rPr/>
        <w:t>GBL</w:t>
      </w:r>
      <w:r>
        <w:rPr>
          <w:rtl w:val="true"/>
        </w:rPr>
        <w:t xml:space="preserve"> </w:t>
      </w:r>
      <w:r>
        <w:rPr>
          <w:rtl w:val="true"/>
        </w:rPr>
        <w:t>הפצתו בהיקפים נרחבים</w:t>
      </w:r>
      <w:r>
        <w:rPr>
          <w:rtl w:val="true"/>
        </w:rPr>
        <w:t xml:space="preserve">, </w:t>
      </w:r>
      <w:r>
        <w:rPr>
          <w:rtl w:val="true"/>
        </w:rPr>
        <w:t xml:space="preserve">המספיקים </w:t>
      </w:r>
      <w:r>
        <w:rPr>
          <w:rtl w:val="true"/>
        </w:rPr>
        <w:t>–</w:t>
      </w:r>
      <w:r>
        <w:rPr>
          <w:rtl w:val="true"/>
        </w:rPr>
        <w:t xml:space="preserve"> כטענת המדינה </w:t>
      </w:r>
      <w:r>
        <w:rPr>
          <w:rtl w:val="true"/>
        </w:rPr>
        <w:t>–</w:t>
      </w:r>
      <w:r>
        <w:rPr>
          <w:rtl w:val="true"/>
        </w:rPr>
        <w:t xml:space="preserve"> להכנת כ</w:t>
      </w:r>
      <w:r>
        <w:rPr>
          <w:rtl w:val="true"/>
        </w:rPr>
        <w:t>-</w:t>
      </w:r>
      <w:r>
        <w:rPr/>
        <w:t>18,000</w:t>
      </w:r>
      <w:r>
        <w:rPr>
          <w:rtl w:val="true"/>
        </w:rPr>
        <w:t xml:space="preserve"> </w:t>
      </w:r>
      <w:r>
        <w:rPr>
          <w:rtl w:val="true"/>
        </w:rPr>
        <w:t>מנות סם</w:t>
      </w:r>
      <w:r>
        <w:rPr>
          <w:rtl w:val="true"/>
        </w:rPr>
        <w:t xml:space="preserve">, </w:t>
      </w:r>
      <w:r>
        <w:rPr>
          <w:rtl w:val="true"/>
        </w:rPr>
        <w:t>יש בהם כדי לייצר סיכון ממשי לשלום הציבור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לא נטען כי המשיבים עצמם ביקשו לעשות שימוש בסם כ</w:t>
      </w:r>
      <w:r>
        <w:rPr>
          <w:rtl w:val="true"/>
        </w:rPr>
        <w:t>"</w:t>
      </w:r>
      <w:r>
        <w:rPr>
          <w:rtl w:val="true"/>
        </w:rPr>
        <w:t>סם אונס</w:t>
      </w:r>
      <w:r>
        <w:rPr>
          <w:rtl w:val="true"/>
        </w:rPr>
        <w:t xml:space="preserve">", </w:t>
      </w:r>
      <w:r>
        <w:rPr>
          <w:rtl w:val="true"/>
        </w:rPr>
        <w:t>אולם ברי כי משנמכר הסם לאחרים</w:t>
      </w:r>
      <w:r>
        <w:rPr>
          <w:rtl w:val="true"/>
        </w:rPr>
        <w:t xml:space="preserve">, </w:t>
      </w:r>
      <w:r>
        <w:rPr>
          <w:rtl w:val="true"/>
        </w:rPr>
        <w:t>אין בידי המשיבים כל שליטה באשר לאופן שבו ייעשה שימוש בסם</w:t>
      </w:r>
      <w:r>
        <w:rPr>
          <w:rtl w:val="true"/>
        </w:rPr>
        <w:t>.</w:t>
      </w:r>
      <w:bookmarkEnd w:id="17"/>
    </w:p>
    <w:p>
      <w:pPr>
        <w:pStyle w:val="Style14"/>
        <w:ind w:end="0"/>
        <w:jc w:val="both"/>
        <w:rPr/>
      </w:pP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מתחייבת ענישה מחמירה כלפי המשיבים</w:t>
      </w:r>
      <w:r>
        <w:rPr>
          <w:rtl w:val="true"/>
        </w:rPr>
        <w:t xml:space="preserve">, </w:t>
      </w:r>
      <w:r>
        <w:rPr>
          <w:rtl w:val="true"/>
        </w:rPr>
        <w:t xml:space="preserve">אשר תכלול רכיב של עונש מאסר בפועל מאחורי סורג ובריח </w:t>
      </w:r>
      <w:r>
        <w:rPr>
          <w:rFonts w:ascii="FrankRuehl;Times New Roman" w:hAnsi="FrankRuehl;Times New Roman"/>
          <w:rtl w:val="true"/>
        </w:rPr>
        <w:t>–</w:t>
      </w:r>
      <w:r>
        <w:rPr>
          <w:rtl w:val="true"/>
        </w:rPr>
        <w:t xml:space="preserve"> חרף ההליך השיקומי הראוי לכל שבח שעברו השניים</w:t>
      </w:r>
      <w:r>
        <w:rPr>
          <w:rtl w:val="true"/>
        </w:rPr>
        <w:t xml:space="preserve">, </w:t>
      </w:r>
      <w:r>
        <w:rPr>
          <w:rtl w:val="true"/>
        </w:rPr>
        <w:t>אשר יש לקוות כי ימשיכו בו אף מבין כותלי בית הסוהר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ענישה בגין המסכת העובדתית המתוארת בכתב האישום</w:t>
      </w:r>
      <w:r>
        <w:rPr>
          <w:rtl w:val="true"/>
        </w:rPr>
        <w:t xml:space="preserve">, </w:t>
      </w:r>
      <w:r>
        <w:rPr>
          <w:rtl w:val="true"/>
        </w:rPr>
        <w:t>שאינה כוללת רכיב של מאסר בפועל מאחורי סורג ובריח</w:t>
      </w:r>
      <w:r>
        <w:rPr>
          <w:rtl w:val="true"/>
        </w:rPr>
        <w:t xml:space="preserve">, </w:t>
      </w:r>
      <w:r>
        <w:rPr>
          <w:rtl w:val="true"/>
        </w:rPr>
        <w:t>תהא נעדרת את ההלימה המתאימה מבחינה עונשית לחומרתן היתירה של הנסיבות והעבירות בהליך הפלילי שלפנינו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>ראוי לקבוע מדרג בענישה בין המשיבים</w:t>
      </w:r>
      <w:r>
        <w:rPr>
          <w:rtl w:val="true"/>
        </w:rPr>
        <w:t xml:space="preserve">, </w:t>
      </w:r>
      <w:r>
        <w:rPr>
          <w:rtl w:val="true"/>
        </w:rPr>
        <w:t xml:space="preserve">תוך החמרה בעונשו של פרנקפורטר אשר הורשע ביבוא הסם ארצה </w:t>
      </w:r>
      <w:r>
        <w:rPr>
          <w:rtl w:val="true"/>
        </w:rPr>
        <w:t>(</w:t>
      </w:r>
      <w:r>
        <w:rPr>
          <w:rtl w:val="true"/>
        </w:rPr>
        <w:t xml:space="preserve">ראו גם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1548/18</w:t>
        </w:r>
      </w:hyperlink>
      <w:r>
        <w:rPr>
          <w:rtl w:val="true"/>
        </w:rPr>
        <w:t xml:space="preserve"> </w:t>
      </w:r>
      <w:r>
        <w:rPr>
          <w:rStyle w:val="Emphasis"/>
          <w:rtl w:val="true"/>
        </w:rPr>
        <w:t>גיא נ</w:t>
      </w:r>
      <w:r>
        <w:rPr>
          <w:rStyle w:val="Emphasis"/>
          <w:rtl w:val="true"/>
        </w:rPr>
        <w:t xml:space="preserve">' </w:t>
      </w:r>
      <w:r>
        <w:rPr>
          <w:rStyle w:val="Emphasis"/>
          <w:rtl w:val="true"/>
        </w:rPr>
        <w:t>מדינת ישראל</w:t>
      </w:r>
      <w:r>
        <w:rPr>
          <w:rStyle w:val="Style13"/>
          <w:rtl w:val="true"/>
        </w:rPr>
        <w:t xml:space="preserve">, </w:t>
      </w:r>
      <w:r>
        <w:rPr>
          <w:rStyle w:val="Style13"/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Style w:val="Style13"/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Style w:val="Style13"/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yle13"/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Style w:val="Style13"/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Style w:val="Style13"/>
          <w:rtl w:val="true"/>
        </w:rPr>
        <w:t xml:space="preserve">פסקה </w:t>
      </w:r>
      <w:r>
        <w:rPr>
          <w:rStyle w:val="Style13"/>
        </w:rPr>
        <w:t>25</w:t>
      </w:r>
      <w:r>
        <w:rPr>
          <w:rStyle w:val="Style13"/>
          <w:rtl w:val="true"/>
        </w:rPr>
        <w:t xml:space="preserve"> (</w:t>
      </w:r>
      <w:r>
        <w:rPr>
          <w:rStyle w:val="Style13"/>
        </w:rPr>
        <w:t>28.11.2018</w:t>
      </w:r>
      <w:r>
        <w:rPr>
          <w:rStyle w:val="Style13"/>
          <w:rtl w:val="true"/>
        </w:rPr>
        <w:t>)).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/>
      </w:pPr>
      <w:r>
        <w:rPr>
          <w:rtl w:val="true"/>
        </w:rPr>
        <w:t>בסופו של יום</w:t>
      </w:r>
      <w:r>
        <w:rPr>
          <w:rtl w:val="true"/>
        </w:rPr>
        <w:t xml:space="preserve">, </w:t>
      </w:r>
      <w:r>
        <w:rPr>
          <w:rtl w:val="true"/>
        </w:rPr>
        <w:t>אנו מקבלים את הערעור</w:t>
      </w:r>
      <w:r>
        <w:rPr>
          <w:rtl w:val="true"/>
        </w:rPr>
        <w:t xml:space="preserve">, </w:t>
      </w:r>
      <w:r>
        <w:rPr>
          <w:rtl w:val="true"/>
        </w:rPr>
        <w:t xml:space="preserve">באופן שעונש המאסר בפועל שנגזר על פרנקפורטר יעמוד על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 בניכוי ימי מעצרו</w:t>
      </w:r>
      <w:r>
        <w:rPr>
          <w:rtl w:val="true"/>
        </w:rPr>
        <w:t xml:space="preserve">; </w:t>
      </w:r>
      <w:r>
        <w:rPr>
          <w:rtl w:val="true"/>
        </w:rPr>
        <w:t xml:space="preserve">ואילו עונשו של בן פורת יעמוד על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בניכוי ימי מעצרו ותקופת ביצוע עונש המאסר בפועל שהחל לשאת בו בדרך עבודות שירות </w:t>
      </w:r>
      <w:r>
        <w:rPr>
          <w:rtl w:val="true"/>
        </w:rPr>
        <w:t>–</w:t>
      </w:r>
      <w:r>
        <w:rPr>
          <w:rtl w:val="true"/>
        </w:rPr>
        <w:t xml:space="preserve"> אשר ייפסקו לאלתר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כי אלמלא הכלל שלפיו ערכאת הערעור אינה ממצה את הדין</w:t>
      </w:r>
      <w:r>
        <w:rPr>
          <w:rtl w:val="true"/>
        </w:rPr>
        <w:t xml:space="preserve">, </w:t>
      </w:r>
      <w:r>
        <w:rPr>
          <w:rtl w:val="true"/>
        </w:rPr>
        <w:t>ראוי היה להחמיר בעונשי המשיבים אף במידה רבה יותר</w:t>
      </w:r>
      <w:r>
        <w:rPr>
          <w:rtl w:val="true"/>
        </w:rPr>
        <w:t xml:space="preserve">, </w:t>
      </w:r>
      <w:r>
        <w:rPr>
          <w:rtl w:val="true"/>
        </w:rPr>
        <w:t>ואין בעונשים האמורים כדי להלום את חומרת העבירות שבהן הורשעו במלואה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חזקה על שירות בתי הסוהר כי ייתן דעתו להליך השיקומי שבו החלו המשיבים</w:t>
      </w:r>
      <w:r>
        <w:rPr>
          <w:rtl w:val="true"/>
        </w:rPr>
        <w:t xml:space="preserve">, </w:t>
      </w:r>
      <w:r>
        <w:rPr>
          <w:rtl w:val="true"/>
        </w:rPr>
        <w:t>ויפעל להמשך התהליך המרשים אותו עברו מאז מעצרם</w:t>
      </w:r>
      <w:r>
        <w:rPr>
          <w:rtl w:val="true"/>
        </w:rPr>
        <w:t xml:space="preserve">. </w:t>
      </w:r>
      <w:r>
        <w:rPr>
          <w:rtl w:val="true"/>
        </w:rPr>
        <w:t>לצורך האמור</w:t>
      </w:r>
      <w:r>
        <w:rPr>
          <w:rtl w:val="true"/>
        </w:rPr>
        <w:t xml:space="preserve">, </w:t>
      </w:r>
      <w:r>
        <w:rPr>
          <w:rtl w:val="true"/>
        </w:rPr>
        <w:t>שירות המבחן יעדכן את שירות בתי הסוהר על מכלול נסיבותיהם האישיות והמשפחתיות של שני המשיבים</w:t>
      </w:r>
      <w:r>
        <w:rPr>
          <w:rtl w:val="true"/>
        </w:rPr>
        <w:t xml:space="preserve">, </w:t>
      </w:r>
      <w:r>
        <w:rPr>
          <w:rtl w:val="true"/>
        </w:rPr>
        <w:t>וההליך הטיפולי אותו עברו עד עתה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בשים לב למצבם הכלכלי של המשיבים כפי שהוצג לפנינו בדיון</w:t>
      </w:r>
      <w:r>
        <w:rPr>
          <w:rtl w:val="true"/>
        </w:rPr>
        <w:t xml:space="preserve">, </w:t>
      </w:r>
      <w:r>
        <w:rPr>
          <w:rtl w:val="true"/>
        </w:rPr>
        <w:t>לא מצאנו להחמיר בקנסות שהוטלו על המשיבים</w:t>
      </w:r>
      <w:r>
        <w:rPr>
          <w:rtl w:val="true"/>
        </w:rPr>
        <w:t xml:space="preserve">.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>יתר רכיבי הענישה</w:t>
      </w:r>
      <w:r>
        <w:rPr>
          <w:rtl w:val="true"/>
        </w:rPr>
        <w:t xml:space="preserve">, </w:t>
      </w:r>
      <w:r>
        <w:rPr>
          <w:rtl w:val="true"/>
        </w:rPr>
        <w:t>מלבד עונשי המאסר בפועל שנגזרו על המשיבים</w:t>
      </w:r>
      <w:r>
        <w:rPr>
          <w:rtl w:val="true"/>
        </w:rPr>
        <w:t xml:space="preserve">, </w:t>
      </w:r>
      <w:r>
        <w:rPr>
          <w:rtl w:val="true"/>
        </w:rPr>
        <w:t>יוותרו בעינם</w:t>
      </w:r>
      <w:r>
        <w:rPr>
          <w:rtl w:val="true"/>
        </w:rPr>
        <w:t>.</w:t>
      </w:r>
    </w:p>
    <w:p>
      <w:pPr>
        <w:pStyle w:val="Style15"/>
        <w:numPr>
          <w:ilvl w:val="0"/>
          <w:numId w:val="2"/>
        </w:numPr>
        <w:ind w:hanging="0" w:start="0" w:end="0"/>
        <w:jc w:val="both"/>
        <w:rPr>
          <w:rFonts w:ascii="FrankRuehl;Times New Roman" w:hAnsi="FrankRuehl;Times New Roman" w:cs="FrankRuehl;Times New Roman"/>
          <w:sz w:val="28"/>
        </w:rPr>
      </w:pP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הערעור מתקבל אפוא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כאמור לעיל בפסקה </w:t>
      </w:r>
      <w:r>
        <w:rPr>
          <w:rFonts w:cs="FrankRuehl;Times New Roman" w:ascii="FrankRuehl;Times New Roman" w:hAnsi="FrankRuehl;Times New Roman"/>
          <w:sz w:val="28"/>
        </w:rPr>
        <w:t>20</w:t>
      </w:r>
      <w:r>
        <w:rPr>
          <w:rFonts w:cs="FrankRuehl;Times New Roman" w:ascii="FrankRuehl;Times New Roman" w:hAnsi="FrankRuehl;Times New Roman"/>
          <w:sz w:val="28"/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על מנת לאפשר למשיבים לפנות להליך מיון מוקדם</w:t>
      </w:r>
      <w:r>
        <w:rPr>
          <w:rtl w:val="true"/>
        </w:rPr>
        <w:t xml:space="preserve">, </w:t>
      </w:r>
      <w:r>
        <w:rPr>
          <w:rtl w:val="true"/>
        </w:rPr>
        <w:t xml:space="preserve">אנו דוחים את תאריך התייצבותם למאסר בפועל ליום </w:t>
      </w:r>
      <w:r>
        <w:rPr/>
        <w:t>1.4.2021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משיבים </w:t>
      </w:r>
      <w:r>
        <w:rPr>
          <w:rtl w:val="true"/>
        </w:rPr>
        <w:t>יתייצב</w:t>
      </w:r>
      <w:r>
        <w:rPr>
          <w:rtl w:val="true"/>
        </w:rPr>
        <w:t>ו</w:t>
      </w:r>
      <w:r>
        <w:rPr>
          <w:rtl w:val="true"/>
        </w:rPr>
        <w:t xml:space="preserve"> לשאת בעונש</w:t>
      </w:r>
      <w:r>
        <w:rPr>
          <w:rtl w:val="true"/>
        </w:rPr>
        <w:t>י</w:t>
      </w:r>
      <w:r>
        <w:rPr>
          <w:rtl w:val="true"/>
        </w:rPr>
        <w:t xml:space="preserve"> המאסר בפועל שהוטל</w:t>
      </w:r>
      <w:r>
        <w:rPr>
          <w:rtl w:val="true"/>
        </w:rPr>
        <w:t>ו</w:t>
      </w:r>
      <w:r>
        <w:rPr>
          <w:rtl w:val="true"/>
        </w:rPr>
        <w:t xml:space="preserve"> עלי</w:t>
      </w:r>
      <w:r>
        <w:rPr>
          <w:rtl w:val="true"/>
        </w:rPr>
        <w:t>הם</w:t>
      </w:r>
      <w:r>
        <w:rPr>
          <w:rtl w:val="true"/>
        </w:rPr>
        <w:t xml:space="preserve"> ביום </w:t>
      </w:r>
      <w:r>
        <w:rPr/>
        <w:t>1.4.2021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 </w:t>
      </w:r>
      <w:r>
        <w:rPr>
          <w:rtl w:val="true"/>
        </w:rPr>
        <w:t>ניצן</w:t>
      </w:r>
      <w:r>
        <w:rPr>
          <w:rtl w:val="true"/>
        </w:rPr>
        <w:t xml:space="preserve">, </w:t>
      </w:r>
      <w:r>
        <w:rPr>
          <w:rtl w:val="true"/>
        </w:rPr>
        <w:t>או על פי החלטת שירות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</w:t>
      </w:r>
      <w:r>
        <w:rPr>
          <w:rtl w:val="true"/>
        </w:rPr>
        <w:t>ם</w:t>
      </w:r>
      <w:r>
        <w:rPr>
          <w:rtl w:val="true"/>
        </w:rPr>
        <w:t xml:space="preserve">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המ</w:t>
      </w:r>
      <w:r>
        <w:rPr>
          <w:rtl w:val="true"/>
        </w:rPr>
        <w:t>שיבים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שירות בתי הסוהר</w:t>
      </w:r>
      <w:r>
        <w:rPr>
          <w:rtl w:val="true"/>
        </w:rPr>
        <w:t xml:space="preserve">, </w:t>
      </w:r>
      <w:r>
        <w:rPr>
          <w:rtl w:val="true"/>
        </w:rPr>
        <w:t>בטלפונים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 xml:space="preserve">או  </w:t>
      </w:r>
      <w:r>
        <w:rPr/>
        <w:t>08-9787336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עד להתייצבות המשיבים למאסר</w:t>
      </w:r>
      <w:r>
        <w:rPr>
          <w:rtl w:val="true"/>
        </w:rPr>
        <w:t xml:space="preserve">, </w:t>
      </w:r>
      <w:r>
        <w:rPr>
          <w:rtl w:val="true"/>
        </w:rPr>
        <w:t>יחולו תנאי מעצר הבית שנקבעו בעניינם עובר למתן גזר הדין בבית המשפט המחוזי</w:t>
      </w:r>
      <w:r>
        <w:rPr>
          <w:rtl w:val="true"/>
        </w:rPr>
        <w:t>.</w:t>
      </w:r>
    </w:p>
    <w:p>
      <w:pPr>
        <w:pStyle w:val="Style14"/>
        <w:ind w:end="0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/>
      </w:pP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באדר</w:t>
      </w:r>
      <w:r>
        <w:rPr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 </w:t>
      </w:r>
      <w:r>
        <w:rPr>
          <w:rtl w:val="true"/>
        </w:rPr>
        <w:t>(‏</w:t>
      </w:r>
      <w:r>
        <w:rPr/>
        <w:t>10.3.2021</w:t>
      </w:r>
      <w:r>
        <w:rPr>
          <w:rtl w:val="true"/>
        </w:rPr>
        <w:t xml:space="preserve">). </w:t>
      </w:r>
      <w:r>
        <w:rPr>
          <w:rtl w:val="true"/>
        </w:rPr>
        <w:t>ש ו פ ט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bookmarkStart w:id="18" w:name="Nitan"/>
            <w:r>
              <w:rPr>
                <w:rFonts w:cs="Garamond" w:ascii="Garamond" w:hAnsi="Garamond"/>
                <w:color w:val="FFFFFF"/>
                <w:sz w:val="2"/>
                <w:szCs w:val="2"/>
              </w:rPr>
              <w:t>54678313</w:t>
            </w:r>
            <w:r>
              <w:rPr>
                <w:rFonts w:cs="Garamond" w:ascii="Garamond" w:hAnsi="Garamond"/>
                <w:sz w:val="24"/>
                <w:rtl w:val="true"/>
              </w:rPr>
              <w:t xml:space="preserve"> </w:t>
            </w:r>
            <w:bookmarkEnd w:id="18"/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21006670</w:t>
      </w:r>
      <w:r>
        <w:rPr>
          <w:sz w:val="16"/>
          <w:rtl w:val="true"/>
        </w:rPr>
        <w:t>_</w:t>
      </w:r>
      <w:r>
        <w:rPr>
          <w:sz w:val="16"/>
        </w:rPr>
        <w:t>J04.docx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0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מ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מזוז </w:t>
      </w:r>
      <w:r>
        <w:rPr>
          <w:rFonts w:cs="David;Times New Roman" w:ascii="David;Times New Roman" w:hAnsi="David;Times New Roman"/>
          <w:color w:val="000000"/>
          <w:szCs w:val="22"/>
        </w:rPr>
        <w:t>54678313-667/21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13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667/21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מנשה בן פורת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rFonts w:cs="FrankRuehl;Times New Roman"/>
        <w:lang w:val="en-US" w:bidi="he-I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Ruller4"/>
    <w:next w:val="Normal"/>
    <w:qFormat/>
    <w:pPr>
      <w:keepNext w:val="true"/>
      <w:numPr>
        <w:ilvl w:val="0"/>
        <w:numId w:val="1"/>
      </w:numPr>
      <w:spacing w:before="150" w:after="150"/>
      <w:jc w:val="start"/>
      <w:outlineLvl w:val="0"/>
    </w:pPr>
    <w:rPr>
      <w:rFonts w:ascii="Century" w:hAnsi="Century" w:cs="Miriam"/>
      <w:b/>
      <w:spacing w:val="0"/>
      <w:sz w:val="24"/>
      <w:szCs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cs="FrankRuehl;Times New Roman"/>
      <w:lang w:val="en-US"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rFonts w:ascii="Century" w:hAnsi="Century" w:cs="Miriam"/>
      <w:b/>
      <w:sz w:val="24"/>
      <w:szCs w:val="24"/>
    </w:rPr>
  </w:style>
  <w:style w:type="character" w:styleId="Emphasis">
    <w:name w:val="Emphasis"/>
    <w:qFormat/>
    <w:rPr>
      <w:rFonts w:ascii="Century" w:hAnsi="Century" w:cs="Miriam"/>
      <w:b/>
      <w:spacing w:val="0"/>
      <w:szCs w:val="24"/>
    </w:rPr>
  </w:style>
  <w:style w:type="character" w:styleId="QuoteChar">
    <w:name w:val="Quote Char"/>
    <w:qFormat/>
    <w:rPr>
      <w:rFonts w:ascii="Arial TUR;Arial" w:hAnsi="Arial TUR;Arial" w:cs="FrankRuehl;Times New Roman"/>
      <w:spacing w:val="10"/>
      <w:sz w:val="22"/>
      <w:szCs w:val="28"/>
    </w:rPr>
  </w:style>
  <w:style w:type="character" w:styleId="Style13">
    <w:name w:val="גופן_רגיל"/>
    <w:qFormat/>
    <w:rPr>
      <w:rFonts w:ascii="Garamond" w:hAnsi="Garamond" w:cs="Garamond"/>
      <w:sz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Quote">
    <w:name w:val="Quote"/>
    <w:basedOn w:val="Normal"/>
    <w:next w:val="Normal"/>
    <w:qFormat/>
    <w:pPr>
      <w:spacing w:before="0" w:after="420"/>
      <w:ind w:hanging="0" w:start="1644" w:end="1276"/>
      <w:contextualSpacing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Style14">
    <w:name w:val="פסקה לא ממוספרת"/>
    <w:basedOn w:val="Ruller4"/>
    <w:qFormat/>
    <w:pPr>
      <w:spacing w:before="0" w:after="420"/>
      <w:ind w:firstLine="799" w:start="0" w:end="0"/>
    </w:pPr>
    <w:rPr>
      <w:rFonts w:ascii="Garamond" w:hAnsi="Garamond" w:cs="Garamond"/>
      <w:sz w:val="24"/>
    </w:rPr>
  </w:style>
  <w:style w:type="paragraph" w:styleId="Style15">
    <w:name w:val="פסקה ממוספרת"/>
    <w:basedOn w:val="Style14"/>
    <w:next w:val="Style14"/>
    <w:qFormat/>
    <w:pPr>
      <w:numPr>
        <w:ilvl w:val="0"/>
        <w:numId w:val="2"/>
      </w:numPr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984246" TargetMode="External"/><Relationship Id="rId3" Type="http://schemas.openxmlformats.org/officeDocument/2006/relationships/hyperlink" Target="http://www.nevo.co.il/law/4216" TargetMode="External"/><Relationship Id="rId4" Type="http://schemas.openxmlformats.org/officeDocument/2006/relationships/hyperlink" Target="http://www.nevo.co.il/law/4216/7.a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4216/13" TargetMode="External"/><Relationship Id="rId7" Type="http://schemas.openxmlformats.org/officeDocument/2006/relationships/hyperlink" Target="http://www.nevo.co.il/law/4216/19a" TargetMode="External"/><Relationship Id="rId8" Type="http://schemas.openxmlformats.org/officeDocument/2006/relationships/hyperlink" Target="http://www.nevo.co.il/case/24984246" TargetMode="External"/><Relationship Id="rId9" Type="http://schemas.openxmlformats.org/officeDocument/2006/relationships/hyperlink" Target="http://www.nevo.co.il/law/4216/13" TargetMode="External"/><Relationship Id="rId10" Type="http://schemas.openxmlformats.org/officeDocument/2006/relationships/hyperlink" Target="http://www.nevo.co.il/law/4216/19a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7.a" TargetMode="External"/><Relationship Id="rId13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4216/13" TargetMode="External"/><Relationship Id="rId15" Type="http://schemas.openxmlformats.org/officeDocument/2006/relationships/hyperlink" Target="http://www.nevo.co.il/law/4216/19a" TargetMode="External"/><Relationship Id="rId16" Type="http://schemas.openxmlformats.org/officeDocument/2006/relationships/hyperlink" Target="http://www.nevo.co.il/case/26489414" TargetMode="External"/><Relationship Id="rId17" Type="http://schemas.openxmlformats.org/officeDocument/2006/relationships/hyperlink" Target="http://www.nevo.co.il/case/26246488" TargetMode="External"/><Relationship Id="rId18" Type="http://schemas.openxmlformats.org/officeDocument/2006/relationships/hyperlink" Target="http://www.nevo.co.il/case/26019135" TargetMode="External"/><Relationship Id="rId19" Type="http://schemas.openxmlformats.org/officeDocument/2006/relationships/hyperlink" Target="http://www.nevo.co.il/case/23751050" TargetMode="External"/><Relationship Id="rId20" Type="http://schemas.openxmlformats.org/officeDocument/2006/relationships/hyperlink" Target="http://supreme.court.gov.il/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2021-03-14T10:45:00Z</dcterms:created>
  <dc:creator>h4</dc:creator>
  <dc:description/>
  <cp:keywords/>
  <dc:language>en-IL</dc:language>
  <cp:lastModifiedBy>orly</cp:lastModifiedBy>
  <cp:lastPrinted>2021-03-10T09:07:00Z</cp:lastPrinted>
  <dcterms:modified xsi:type="dcterms:W3CDTF">2021-03-14T10:45:00Z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מנשה בן פורת;יעקב פרנקפורטר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24984246:2;26489414;26246488;26019135;23751050</vt:lpwstr>
  </property>
  <property fmtid="{D5CDD505-2E9C-101B-9397-08002B2CF9AE}" pid="9" name="CITY">
    <vt:lpwstr/>
  </property>
  <property fmtid="{D5CDD505-2E9C-101B-9397-08002B2CF9AE}" pid="10" name="DATE">
    <vt:lpwstr>20210310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מ' מזוז;י' אלרון;א' שטיין</vt:lpwstr>
  </property>
  <property fmtid="{D5CDD505-2E9C-101B-9397-08002B2CF9AE}" pid="14" name="LAWLISTTMP1">
    <vt:lpwstr>4216/013:2;019a:2;007.a;007.c</vt:lpwstr>
  </property>
  <property fmtid="{D5CDD505-2E9C-101B-9397-08002B2CF9AE}" pid="15" name="LAWYER">
    <vt:lpwstr>אייל אבולעפיה;טל גבאי;ברוך זכאי;עינת גדעוני;שירות המבחן למבוגרים גב' 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</vt:lpwstr>
  </property>
  <property fmtid="{D5CDD505-2E9C-101B-9397-08002B2CF9AE}" pid="48" name="NOSE31">
    <vt:lpwstr>מדיניות ענישה: עבירות סמים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 לחומרה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8991;8995;8982</vt:lpwstr>
  </property>
  <property fmtid="{D5CDD505-2E9C-101B-9397-08002B2CF9AE}" pid="59" name="PADIDATE">
    <vt:lpwstr>20210314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667</vt:lpwstr>
  </property>
  <property fmtid="{D5CDD505-2E9C-101B-9397-08002B2CF9AE}" pid="65" name="PROCYEAR">
    <vt:lpwstr>21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410120210310</vt:lpwstr>
  </property>
  <property fmtid="{D5CDD505-2E9C-101B-9397-08002B2CF9AE}" pid="69" name="TYPE_N_DATE">
    <vt:lpwstr>41020210310</vt:lpwstr>
  </property>
  <property fmtid="{D5CDD505-2E9C-101B-9397-08002B2CF9AE}" pid="70" name="VOLUME">
    <vt:lpwstr/>
  </property>
  <property fmtid="{D5CDD505-2E9C-101B-9397-08002B2CF9AE}" pid="71" name="WORDNUMPAGES">
    <vt:lpwstr>11</vt:lpwstr>
  </property>
</Properties>
</file>