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6692/23</w:t>
            </w:r>
          </w:p>
        </w:tc>
      </w:tr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6708/23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אלרון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שטיין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כנפי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שטייניץ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 ב</w:t>
            </w:r>
            <w:r>
              <w:rPr>
                <w:rFonts w:cs="David" w:ascii="David" w:hAnsi="David"/>
                <w:rtl w:val="true"/>
              </w:rPr>
              <w:t>-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6692/23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והמשיב ב</w:t>
            </w:r>
            <w:r>
              <w:rPr>
                <w:rFonts w:cs="David" w:ascii="David" w:hAnsi="David"/>
                <w:rtl w:val="true"/>
              </w:rPr>
              <w:t>-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6708/23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גאורגי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זלקוב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המשיבה ב</w:t>
            </w:r>
            <w:r>
              <w:rPr>
                <w:rFonts w:cs="David" w:ascii="David" w:hAnsi="David"/>
                <w:rtl w:val="true"/>
              </w:rPr>
              <w:t>-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6692/23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Fonts w:ascii="David" w:hAnsi="David"/>
                <w:rtl w:val="true"/>
              </w:rPr>
              <w:t>ו</w:t>
            </w:r>
            <w:r>
              <w:rPr>
                <w:rFonts w:ascii="David" w:hAnsi="David"/>
                <w:rtl w:val="true"/>
              </w:rPr>
              <w:t>המערערת בע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6708/23</w:t>
            </w:r>
            <w:r>
              <w:rPr>
                <w:rFonts w:cs="David" w:ascii="David" w:hAnsi="David"/>
                <w:rtl w:val="true"/>
              </w:rPr>
              <w:t>:</w:t>
            </w:r>
          </w:p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>
          <w:sz w:val="16"/>
          <w:szCs w:val="16"/>
        </w:rPr>
      </w:pPr>
      <w:r>
        <w:rPr>
          <w:sz w:val="16"/>
          <w:szCs w:val="16"/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חיפה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Cs w:val="24"/>
                <w:rtl w:val="true"/>
              </w:rPr>
              <w:t>-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תפ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ח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18956-09-21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[</w:t>
            </w:r>
            <w:r>
              <w:rPr>
                <w:sz w:val="24"/>
                <w:sz w:val="24"/>
                <w:szCs w:val="24"/>
                <w:rtl w:val="true"/>
              </w:rPr>
              <w:t>נבו</w:t>
            </w:r>
            <w:r>
              <w:rPr>
                <w:sz w:val="24"/>
                <w:szCs w:val="24"/>
                <w:rtl w:val="true"/>
              </w:rPr>
              <w:t>]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13.6.2023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אשר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לוי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ע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קוטון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ע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וינברגר</w:t>
            </w:r>
          </w:p>
        </w:tc>
      </w:tr>
    </w:tbl>
    <w:p>
      <w:pPr>
        <w:pStyle w:val="Ruller31"/>
        <w:ind w:end="0"/>
        <w:jc w:val="start"/>
        <w:rPr>
          <w:sz w:val="16"/>
          <w:szCs w:val="16"/>
        </w:rPr>
      </w:pPr>
      <w:r>
        <w:rPr>
          <w:sz w:val="16"/>
          <w:szCs w:val="16"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Times New Roman"/>
                <w:sz w:val="24"/>
                <w:szCs w:val="24"/>
                <w:rtl w:val="true"/>
              </w:rPr>
              <w:t>‏</w:t>
            </w: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>'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בסיון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18"/>
                <w:szCs w:val="24"/>
                <w:rtl w:val="true"/>
              </w:rPr>
              <w:t>(‏</w:t>
            </w:r>
            <w:r>
              <w:rPr>
                <w:sz w:val="18"/>
                <w:szCs w:val="24"/>
              </w:rPr>
              <w:t>26</w:t>
            </w:r>
            <w:r>
              <w:rPr>
                <w:sz w:val="18"/>
                <w:szCs w:val="24"/>
              </w:rPr>
              <w:t>.6.2024</w:t>
            </w:r>
            <w:r>
              <w:rPr>
                <w:sz w:val="18"/>
                <w:szCs w:val="24"/>
                <w:rtl w:val="true"/>
              </w:rPr>
              <w:t>)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2"/>
        <w:gridCol w:w="5151"/>
      </w:tblGrid>
      <w:tr>
        <w:trPr/>
        <w:tc>
          <w:tcPr>
            <w:tcW w:w="3212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6692/23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והמשיב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6708/23</w:t>
            </w:r>
            <w:r>
              <w:rPr>
                <w:rtl w:val="true"/>
              </w:rPr>
              <w:t>:</w:t>
            </w:r>
          </w:p>
        </w:tc>
        <w:tc>
          <w:tcPr>
            <w:tcW w:w="5151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ליאוניד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פרחובניק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יגאל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בלפור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>
          <w:sz w:val="16"/>
          <w:szCs w:val="16"/>
        </w:rPr>
      </w:pPr>
      <w:r>
        <w:rPr>
          <w:sz w:val="16"/>
          <w:szCs w:val="16"/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3"/>
        <w:gridCol w:w="5150"/>
      </w:tblGrid>
      <w:tr>
        <w:trPr/>
        <w:tc>
          <w:tcPr>
            <w:tcW w:w="3213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המשיבה ב</w:t>
            </w:r>
            <w:r>
              <w:rPr>
                <w:rFonts w:cs="David" w:ascii="David" w:hAnsi="David"/>
                <w:rtl w:val="true"/>
              </w:rPr>
              <w:t>-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6692/23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Fonts w:ascii="David" w:hAnsi="David"/>
                <w:rtl w:val="true"/>
              </w:rPr>
              <w:t>ו</w:t>
            </w:r>
            <w:r>
              <w:rPr>
                <w:rFonts w:ascii="David" w:hAnsi="David"/>
                <w:rtl w:val="true"/>
              </w:rPr>
              <w:t>המערערת ב</w:t>
            </w:r>
            <w:r>
              <w:rPr>
                <w:rFonts w:cs="David" w:ascii="David" w:hAnsi="David"/>
                <w:rtl w:val="true"/>
              </w:rPr>
              <w:t>-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6708/23</w:t>
            </w:r>
            <w:r>
              <w:rPr>
                <w:rtl w:val="true"/>
              </w:rPr>
              <w:t>:</w:t>
            </w:r>
          </w:p>
        </w:tc>
        <w:tc>
          <w:tcPr>
            <w:tcW w:w="515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עדי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שגב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3"/>
        <w:gridCol w:w="5150"/>
      </w:tblGrid>
      <w:tr>
        <w:trPr/>
        <w:tc>
          <w:tcPr>
            <w:tcW w:w="3213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משפחת המנוח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מורן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נירשברג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דרורי</w:t>
            </w:r>
          </w:p>
        </w:tc>
      </w:tr>
    </w:tbl>
    <w:p>
      <w:pPr>
        <w:pStyle w:val="Ruller31"/>
        <w:spacing w:lineRule="exact" w:line="240" w:before="0" w:after="120"/>
        <w:ind w:hanging="283" w:start="283" w:end="0"/>
        <w:jc w:val="both"/>
        <w:rPr>
          <w:rFonts w:cs="Miriam"/>
          <w:sz w:val="16"/>
          <w:szCs w:val="16"/>
        </w:rPr>
      </w:pPr>
      <w:r>
        <w:rPr>
          <w:rFonts w:cs="Miriam"/>
          <w:sz w:val="16"/>
          <w:szCs w:val="16"/>
          <w:rtl w:val="true"/>
        </w:rPr>
      </w:r>
      <w:bookmarkStart w:id="5" w:name="Links_Kitvei_Start"/>
      <w:bookmarkStart w:id="6" w:name="Links_Kitvei_Start"/>
      <w:bookmarkEnd w:id="6"/>
    </w:p>
    <w:p>
      <w:pPr>
        <w:pStyle w:val="Ruller31"/>
        <w:spacing w:lineRule="exact" w:line="240" w:before="0" w:after="120"/>
        <w:ind w:hanging="283" w:start="283" w:end="0"/>
        <w:jc w:val="both"/>
        <w:rPr>
          <w:rStyle w:val="Hyperlink"/>
        </w:rPr>
      </w:pPr>
      <w:bookmarkStart w:id="7" w:name="Links_Kitvei_Start"/>
      <w:bookmarkEnd w:id="7"/>
      <w:r>
        <w:rPr>
          <w:rFonts w:ascii="FrankRuehl" w:hAnsi="FrankRuehl"/>
          <w:spacing w:val="0"/>
          <w:sz w:val="24"/>
          <w:sz w:val="24"/>
          <w:szCs w:val="24"/>
          <w:rtl w:val="true"/>
        </w:rPr>
        <w:t>כתבי עת</w:t>
      </w:r>
      <w:hyperlink r:id="rId3">
        <w:r>
          <w:rPr>
            <w:rFonts w:cs="FrankRuehl" w:ascii="FrankRuehl" w:hAnsi="FrankRuehl"/>
            <w:spacing w:val="0"/>
            <w:sz w:val="24"/>
            <w:szCs w:val="24"/>
            <w:rtl w:val="true"/>
          </w:rPr>
          <w:t>:</w:t>
        </w:r>
      </w:hyperlink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hyperlink r:id="rId4"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אורן גזל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-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אייל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, "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חריגה ממתחם העונש ההולם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 xml:space="preserve">", 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ספר דורית ביניש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,  (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אונ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 xml:space="preserve">' 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בר אילן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נבו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 xml:space="preserve">, 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2018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539</w:t>
        </w:r>
      </w:hyperlink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Miriam"/>
          <w:spacing w:val="0"/>
          <w:sz w:val="16"/>
          <w:szCs w:val="16"/>
        </w:rPr>
      </w:pPr>
      <w:r>
        <w:rPr>
          <w:rFonts w:cs="Miriam" w:ascii="FrankRuehl" w:hAnsi="FrankRuehl"/>
          <w:spacing w:val="0"/>
          <w:sz w:val="16"/>
          <w:szCs w:val="16"/>
          <w:rtl w:val="true"/>
        </w:rPr>
      </w:r>
      <w:bookmarkStart w:id="8" w:name="Links_Kitvei_End"/>
      <w:bookmarkStart w:id="9" w:name="Links_Kitvei_End"/>
      <w:bookmarkEnd w:id="9"/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bookmarkStart w:id="10" w:name="Links_Start"/>
      <w:bookmarkEnd w:id="10"/>
      <w:r>
        <w:rPr>
          <w:rFonts w:ascii="FrankRuehl" w:hAnsi="FrankRuehl"/>
          <w:spacing w:val="0"/>
          <w:sz w:val="24"/>
          <w:sz w:val="24"/>
          <w:szCs w:val="24"/>
          <w:rtl w:val="true"/>
        </w:rPr>
        <w:t>ספרות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>:</w:t>
      </w:r>
    </w:p>
    <w:p>
      <w:pPr>
        <w:pStyle w:val="Ruller31"/>
        <w:spacing w:lineRule="exact" w:line="240" w:before="0" w:after="120"/>
        <w:ind w:hanging="283" w:start="283" w:end="0"/>
        <w:jc w:val="both"/>
        <w:rPr>
          <w:rStyle w:val="Hyperlink"/>
          <w:rFonts w:ascii="FrankRuehl" w:hAnsi="FrankRuehl" w:cs="FrankRuehl"/>
          <w:spacing w:val="0"/>
          <w:sz w:val="24"/>
          <w:szCs w:val="24"/>
          <w:u w:val="none"/>
        </w:rPr>
      </w:pPr>
      <w:hyperlink r:id="rId5"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יורם רבין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 xml:space="preserve">יניב ואקי   </w:t>
        </w:r>
        <w:r>
          <w:rPr>
            <w:rStyle w:val="Hyperlink"/>
            <w:rFonts w:ascii="FrankRuehl" w:hAnsi="FrankRuehl"/>
            <w:b/>
            <w:b/>
            <w:bCs/>
            <w:spacing w:val="0"/>
            <w:sz w:val="24"/>
            <w:sz w:val="24"/>
            <w:szCs w:val="24"/>
            <w:u w:val="none"/>
            <w:rtl w:val="true"/>
          </w:rPr>
          <w:t xml:space="preserve">דיני עונשין </w:t>
        </w:r>
      </w:hyperlink>
    </w:p>
    <w:p>
      <w:pPr>
        <w:pStyle w:val="Ruller31"/>
        <w:spacing w:lineRule="exact" w:line="240" w:before="120" w:after="120"/>
        <w:ind w:hanging="283" w:start="283" w:end="0"/>
        <w:jc w:val="both"/>
        <w:rPr>
          <w:rStyle w:val="Hyperlink"/>
        </w:rPr>
      </w:pPr>
      <w:hyperlink r:id="rId6">
        <w:r>
          <w:rPr>
            <w:rtl w:val="true"/>
          </w:rPr>
        </w:r>
      </w:hyperlink>
      <w:bookmarkStart w:id="11" w:name="LawTable"/>
      <w:bookmarkStart w:id="12" w:name="Links_End"/>
      <w:bookmarkStart w:id="13" w:name="LawTable"/>
      <w:bookmarkStart w:id="14" w:name="Links_End"/>
      <w:bookmarkEnd w:id="13"/>
      <w:bookmarkEnd w:id="14"/>
    </w:p>
    <w:p>
      <w:pPr>
        <w:pStyle w:val="Ruller31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ascii="FrankRuehl" w:hAnsi="FrankRuehl"/>
          <w:spacing w:val="0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</w:p>
    <w:p>
      <w:pPr>
        <w:pStyle w:val="Ruller31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pacing w:val="0"/>
          <w:sz w:val="24"/>
          <w:szCs w:val="24"/>
        </w:rPr>
      </w:pPr>
      <w:hyperlink r:id="rId7"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"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1977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: 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'  </w:t>
      </w:r>
      <w:hyperlink r:id="rId8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40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(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ד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), </w:t>
      </w:r>
      <w:hyperlink r:id="rId9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40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ג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(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א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), </w:t>
      </w:r>
      <w:hyperlink r:id="rId10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40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ג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(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ב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), </w:t>
      </w:r>
      <w:hyperlink r:id="rId11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40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ד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40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ד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(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א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), </w:t>
      </w:r>
      <w:hyperlink r:id="rId13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40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ד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(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ב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), </w:t>
      </w:r>
      <w:hyperlink r:id="rId14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40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ה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40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ט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.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א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.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5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.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40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ט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.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א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.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7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.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, </w:t>
      </w:r>
      <w:hyperlink r:id="rId17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40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ט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.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א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.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8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, </w:t>
      </w:r>
      <w:hyperlink r:id="rId18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40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י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(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ב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)(</w:t>
      </w:r>
      <w:r>
        <w:rPr>
          <w:rFonts w:cs="FrankRuehl" w:ascii="FrankRuehl" w:hAnsi="FrankRuehl"/>
          <w:color w:val="0000FF"/>
          <w:spacing w:val="0"/>
          <w:sz w:val="24"/>
          <w:szCs w:val="24"/>
        </w:rPr>
        <w:t>2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), </w:t>
      </w:r>
      <w:hyperlink r:id="rId19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244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, </w:t>
      </w:r>
      <w:hyperlink r:id="rId20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300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(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א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), </w:t>
      </w:r>
      <w:hyperlink r:id="rId21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300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א</w:t>
        </w:r>
      </w:hyperlink>
    </w:p>
    <w:p>
      <w:pPr>
        <w:pStyle w:val="Ruller31"/>
        <w:spacing w:lineRule="exact" w:line="240" w:before="120" w:after="120"/>
        <w:ind w:hanging="283" w:start="283" w:end="0"/>
        <w:jc w:val="both"/>
        <w:rPr/>
      </w:pPr>
      <w:hyperlink r:id="rId22"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 xml:space="preserve">חוק הנוער 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(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שפיטה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ענישה ודרכי טיפול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 xml:space="preserve">), 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"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א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1971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: 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'  </w:t>
      </w:r>
      <w:hyperlink r:id="rId23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25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(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ב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)</w:t>
      </w:r>
    </w:p>
    <w:p>
      <w:pPr>
        <w:pStyle w:val="Ruller31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pacing w:val="0"/>
          <w:sz w:val="24"/>
          <w:szCs w:val="24"/>
        </w:rPr>
      </w:pPr>
      <w:hyperlink r:id="rId24"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חוק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-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יסוד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 xml:space="preserve">: 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כבוד האדם וחירותו</w:t>
        </w:r>
      </w:hyperlink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Miriam"/>
          <w:color w:val="0000FF"/>
          <w:spacing w:val="0"/>
          <w:sz w:val="16"/>
          <w:szCs w:val="16"/>
        </w:rPr>
      </w:pPr>
      <w:r>
        <w:rPr>
          <w:rFonts w:cs="Miriam" w:ascii="FrankRuehl" w:hAnsi="FrankRuehl"/>
          <w:color w:val="0000FF"/>
          <w:spacing w:val="0"/>
          <w:sz w:val="16"/>
          <w:szCs w:val="16"/>
          <w:rtl w:val="true"/>
        </w:rPr>
      </w:r>
      <w:bookmarkStart w:id="15" w:name="LawTable_End"/>
      <w:bookmarkStart w:id="16" w:name="LawTable_End"/>
      <w:bookmarkEnd w:id="16"/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bookmarkStart w:id="17" w:name="ABSTRACT_START"/>
      <w:bookmarkEnd w:id="17"/>
      <w:r>
        <w:rPr>
          <w:rFonts w:ascii="Times New Roman" w:hAnsi="Times New Roman" w:cs="Times New Roman"/>
          <w:spacing w:val="0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ערעור בגדרו נדרש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העליון ל</w:t>
      </w:r>
      <w:r>
        <w:rPr>
          <w:rFonts w:ascii="Times New Roman" w:hAnsi="Times New Roman" w:cs="Times New Roman"/>
          <w:spacing w:val="0"/>
          <w:szCs w:val="26"/>
          <w:rtl w:val="true"/>
        </w:rPr>
        <w:t>גדרי מתחם העונש ההולם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בעבירת הרצח הבסיסית ולסוגיית 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חריגה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לקולה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ממתחם העונש ההולם </w:t>
      </w:r>
      <w:r>
        <w:rPr>
          <w:rFonts w:ascii="Times New Roman" w:hAnsi="Times New Roman" w:cs="Times New Roman"/>
          <w:spacing w:val="0"/>
          <w:szCs w:val="26"/>
          <w:rtl w:val="true"/>
        </w:rPr>
        <w:t>בעבירה זו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בנסיבות המקרה נקבע 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העונש 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הושת על המערער מקל עמו יתר על המידה – הן בקביעת מתחם העונש ההולם את חומרת מעשיו </w:t>
      </w:r>
      <w:r>
        <w:rPr>
          <w:rFonts w:ascii="Times New Roman" w:hAnsi="Times New Roman" w:cs="Times New Roman"/>
          <w:spacing w:val="0"/>
          <w:szCs w:val="26"/>
          <w:rtl w:val="true"/>
        </w:rPr>
        <w:t>תוך מתן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משקל משמעותי ל</w:t>
      </w:r>
      <w:r>
        <w:rPr>
          <w:rFonts w:ascii="Times New Roman" w:hAnsi="Times New Roman" w:cs="Times New Roman"/>
          <w:spacing w:val="0"/>
          <w:szCs w:val="26"/>
          <w:rtl w:val="true"/>
        </w:rPr>
        <w:t>רקע שהוביל למעשה ההמתה 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הן באשר לעונש 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>נגזר תוך חריגה לקולה מהמתחם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בשל </w:t>
      </w:r>
      <w:r>
        <w:rPr>
          <w:rFonts w:ascii="Times New Roman" w:hAnsi="Times New Roman" w:cs="Times New Roman"/>
          <w:spacing w:val="0"/>
          <w:szCs w:val="26"/>
          <w:rtl w:val="true"/>
        </w:rPr>
        <w:t>מצבו הרפואי של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נקבע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שחלף </w:t>
      </w:r>
      <w:r>
        <w:rPr>
          <w:rFonts w:cs="Times New Roman" w:ascii="Times New Roman" w:hAnsi="Times New Roman"/>
          <w:spacing w:val="0"/>
          <w:szCs w:val="26"/>
        </w:rPr>
        <w:t>18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שנות מאסר 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יושת על המערער עונש של </w:t>
      </w:r>
      <w:r>
        <w:rPr>
          <w:rFonts w:cs="Times New Roman" w:ascii="Times New Roman" w:hAnsi="Times New Roman"/>
          <w:spacing w:val="0"/>
          <w:szCs w:val="26"/>
        </w:rPr>
        <w:t>22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שנות מאסר 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עונשין – עבירת הרצח – תיקון </w:t>
      </w:r>
      <w:r>
        <w:rPr>
          <w:rFonts w:cs="Times New Roman" w:ascii="Times New Roman" w:hAnsi="Times New Roman"/>
          <w:spacing w:val="0"/>
          <w:szCs w:val="26"/>
        </w:rPr>
        <w:t>137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עונשין – ענישה – תיקון </w:t>
      </w:r>
      <w:r>
        <w:rPr>
          <w:rFonts w:cs="Times New Roman" w:ascii="Times New Roman" w:hAnsi="Times New Roman"/>
          <w:spacing w:val="0"/>
          <w:szCs w:val="26"/>
        </w:rPr>
        <w:t>113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עבירת רצח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שיקולים לקולה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ערעורים מזה ומזה על גז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ד בגדרו נגזר על המערער ב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ע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פ </w:t>
      </w:r>
      <w:r>
        <w:rPr>
          <w:rFonts w:cs="Times New Roman" w:ascii="Times New Roman" w:hAnsi="Times New Roman"/>
          <w:spacing w:val="0"/>
          <w:szCs w:val="26"/>
        </w:rPr>
        <w:t>6692/23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(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עונש של </w:t>
      </w:r>
      <w:r>
        <w:rPr>
          <w:rFonts w:cs="Times New Roman" w:ascii="Times New Roman" w:hAnsi="Times New Roman"/>
          <w:spacing w:val="0"/>
          <w:szCs w:val="26"/>
        </w:rPr>
        <w:t>18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שנות מאסר 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לצד ענישה נלווית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זאת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בגין הרשעתו בעבירת הרצח הבסיסית ביסוד נפשי של כוונה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יצוין כי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מתחם העונש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ההולם נקבע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בין </w:t>
      </w:r>
      <w:r>
        <w:rPr>
          <w:rFonts w:cs="Times New Roman" w:ascii="Times New Roman" w:hAnsi="Times New Roman"/>
          <w:spacing w:val="0"/>
          <w:szCs w:val="26"/>
        </w:rPr>
        <w:t>22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Cs w:val="26"/>
        </w:rPr>
        <w:t>25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שנות מאסר בפועל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בהתחשב </w:t>
      </w:r>
      <w:r>
        <w:rPr>
          <w:rFonts w:ascii="Times New Roman" w:hAnsi="Times New Roman" w:cs="Times New Roman"/>
          <w:spacing w:val="0"/>
          <w:szCs w:val="26"/>
          <w:rtl w:val="true"/>
        </w:rPr>
        <w:t>בסכסוך בין המערער למנוח שקדם לרצח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ועניינו בכך שהמנוח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אסיר משוחרר וחסר בית </w:t>
      </w:r>
      <w:r>
        <w:rPr>
          <w:rFonts w:ascii="Times New Roman" w:hAnsi="Times New Roman" w:cs="Times New Roman"/>
          <w:spacing w:val="0"/>
          <w:szCs w:val="26"/>
          <w:rtl w:val="true"/>
        </w:rPr>
        <w:t>אשר המערער הסכים לארחו בביתו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סירב לבקשת המערער שיעזוב את ביתו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נוסף על 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מצא לחרוג לקולה מהמתחם המקל שקבע בשל מספר נסיבות אישיות ובפרט בשל מצבו הרפואי המורכב של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 משיג על חומרת העונש והמדינה על קולתו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העליון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מפי השופט 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אלרון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בהסכמת השופטים 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שטיין וג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כנפי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שטייניץ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דחה את ערעור המערער וקיבל את ערעור המדינה מהטעמים הבאים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מקרה </w:t>
      </w:r>
      <w:r>
        <w:rPr>
          <w:rFonts w:ascii="Times New Roman" w:hAnsi="Times New Roman" w:cs="Times New Roman"/>
          <w:spacing w:val="0"/>
          <w:szCs w:val="26"/>
          <w:rtl w:val="true"/>
        </w:rPr>
        <w:t>דנא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נמנה על המקרים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החריגים </w:t>
      </w:r>
      <w:r>
        <w:rPr>
          <w:rFonts w:ascii="Times New Roman" w:hAnsi="Times New Roman" w:cs="Times New Roman"/>
          <w:spacing w:val="0"/>
          <w:szCs w:val="26"/>
          <w:rtl w:val="true"/>
        </w:rPr>
        <w:t>המצדיקים את התערבות ערכאת הערעור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היות והעונש אשר הושת על המערער מקל עמו יתר על המידה – הן בקביעת מתחם העונש ההולם את חומרת מעשיו הן באשר לעונש אשר נגזר עליו לבסוף תוך חריגה לקולה מהמתחם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טעם נוסף </w:t>
      </w:r>
      <w:r>
        <w:rPr>
          <w:rFonts w:ascii="Times New Roman" w:hAnsi="Times New Roman" w:cs="Times New Roman"/>
          <w:spacing w:val="0"/>
          <w:szCs w:val="26"/>
          <w:rtl w:val="true"/>
        </w:rPr>
        <w:t>להתערבות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הוא הצורך בקביעת ועיצוב מדיניות הענישה בראי הרפורמה בעבירות ההמתה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בפרט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כאשר מדובר בעבירת הרצח הבסיסית – ולו מאחר שעבירה זו נושאת עמה עונש מרבי של מאסר עולם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מכאן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שטווח הענישה בגדרה עלול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בהעדר התוויית מדיניות ענישה סדורה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להיות רחב באופן בלתי רצוי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גדרי מתחם העונש ההולם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כפי שצוין בעבר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מהפסיקה שהתגבשה עד כה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ניתן להתרשם שעל פי רוב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העונש בגין רצח בכוונה יהא בין </w:t>
      </w:r>
      <w:r>
        <w:rPr>
          <w:rFonts w:cs="Times New Roman" w:ascii="Times New Roman" w:hAnsi="Times New Roman"/>
          <w:spacing w:val="0"/>
          <w:szCs w:val="26"/>
        </w:rPr>
        <w:t>25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שנות מאסר בפועל לעונש של מאסר עולם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מכאן 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מתחם העונש ההולם שקבע בית המשפט המחוזי בעניינו של המערער – </w:t>
      </w:r>
      <w:r>
        <w:rPr>
          <w:rFonts w:cs="Times New Roman" w:ascii="Times New Roman" w:hAnsi="Times New Roman"/>
          <w:spacing w:val="0"/>
          <w:szCs w:val="26"/>
        </w:rPr>
        <w:t>22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עד </w:t>
      </w:r>
      <w:r>
        <w:rPr>
          <w:rFonts w:cs="Times New Roman" w:ascii="Times New Roman" w:hAnsi="Times New Roman"/>
          <w:spacing w:val="0"/>
          <w:szCs w:val="26"/>
        </w:rPr>
        <w:t>25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שנות מאסר 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מקל באופן משמעותי ביחס לענישה הנוהגת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בית משפט קמא היה ער למורכבות זו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אלא שלדידו מתקיימות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נסיבות ייחודיות ויוצאות דופן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המצדיקות את קביעת המתחם כפי שנקבע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והוא הנסיבות שהובילו לרצח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הרקע לרצח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בהתאם לכתב האישום המתוקן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 אסף לביתו את המנוח וסיפק לו קורת גג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מיטה ללון בה ואף העניק לו סכומי כסף לשימושו מעת לעת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ואולם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תחת הטובה שעשה עמו המערער – המנוח גמל לו רעה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עת מאן להתפנות מהדירה עד כי נאלצה רעיית המערער לעזוב את הדירה בעצמה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וגם לאחר מכן התמיד בסירובו ונותר בדירה שלא ברשות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על רקע הסכסוך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החליט המערער לרצוח את המנוח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אלא שנותר מרחק של ממש בין עובדות ונסיבות אלו כפי שתוארו בכתב האישום המתוקן לבין קביעות בית משפט קמא כי הרצח בוצע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כמעשה של ייאוש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כאשר התנהלות המנוח הובילה את המערער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לאובדן עשתונות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עד שרצח את המנוח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מתוך העדר מוחלט של שיקול דעת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". </w:t>
      </w:r>
      <w:r>
        <w:rPr>
          <w:rFonts w:ascii="Times New Roman" w:hAnsi="Times New Roman" w:cs="Times New Roman"/>
          <w:spacing w:val="0"/>
          <w:szCs w:val="26"/>
          <w:rtl w:val="true"/>
        </w:rPr>
        <w:t>על כן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אף שבצדק התחשב בית משפט קמא במסגרת קביעת מתחם העונש במערכת היחסים שבין המערער למנוח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הוא העניק לה משקל רב יתר על המידה בהסתמך על עובדות ונסיבות הנעדרות עיגון בכתב האישום המתוקן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זאת ועוד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אין חולק כי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כפיות הטובה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של המנוח כלפי המערער ניצבה ברקע לרצח באופן כזה או אחר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ברם</w:t>
      </w:r>
      <w:r>
        <w:rPr>
          <w:rFonts w:cs="Times New Roman" w:ascii="Times New Roman" w:hAnsi="Times New Roman"/>
          <w:spacing w:val="0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נסיבות הסכסוך שבין המערער למנוח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כפי שהן באות לידי ביטוי בכתב האישום המתוקן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אינן כה ייחודיות עד כדי כך שיש בהן כדי להצדיק מתחם עונש הולם כה נמוך בהשוואה למקרים דומים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זאת ועוד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אף שיש להתחשב בסכסוך שבין המנוח למערער עובר לרצח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משקלן של נסיבות אלו ניצב כמכלול יחד עם יתר נסיבות ביצוע העבירה – עובר לרצח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במהלכו ולאחריו – המלמדות באופן חד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משמעי על חומרת מעשי המערער ועל מידת אשמו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בנוסף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לא היה מקום לחרוג לקולה מהמתחם שנקבע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אשר כאמור מלכתחילה נקבע על הצד </w:t>
      </w:r>
      <w:r>
        <w:rPr>
          <w:rFonts w:ascii="Times New Roman" w:hAnsi="Times New Roman" w:cs="Times New Roman"/>
          <w:spacing w:val="0"/>
          <w:szCs w:val="26"/>
          <w:rtl w:val="true"/>
        </w:rPr>
        <w:t>מקל באופן משמעותי מן הראוי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בשל מצבו הרפואי המורכב של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 xml:space="preserve">במסגרת תיקון </w:t>
      </w:r>
      <w:r>
        <w:rPr>
          <w:rFonts w:cs="Times New Roman" w:ascii="Times New Roman" w:hAnsi="Times New Roman"/>
          <w:spacing w:val="0"/>
          <w:szCs w:val="26"/>
        </w:rPr>
        <w:t>113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</w:t>
      </w:r>
      <w:hyperlink r:id="rId25"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חוק העונשין</w:t>
        </w:r>
      </w:hyperlink>
      <w:r>
        <w:rPr>
          <w:rFonts w:ascii="Times New Roman" w:hAnsi="Times New Roman" w:cs="Times New Roman"/>
          <w:spacing w:val="0"/>
          <w:szCs w:val="26"/>
          <w:rtl w:val="true"/>
        </w:rPr>
        <w:t xml:space="preserve"> שעסק בהבניית שיקול הדעת בענישה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המחוקק עיגן בסעיף </w:t>
      </w:r>
      <w:r>
        <w:rPr>
          <w:rFonts w:cs="Times New Roman" w:ascii="Times New Roman" w:hAnsi="Times New Roman"/>
          <w:spacing w:val="0"/>
          <w:szCs w:val="26"/>
        </w:rPr>
        <w:t>40</w:t>
      </w:r>
      <w:r>
        <w:rPr>
          <w:rFonts w:ascii="Times New Roman" w:hAnsi="Times New Roman" w:cs="Times New Roman"/>
          <w:spacing w:val="0"/>
          <w:szCs w:val="26"/>
          <w:rtl w:val="true"/>
        </w:rPr>
        <w:t>ד לחוק את האפשרות לחרוג לקולה מגדרי מתחם העונש ההולם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סעיף </w:t>
      </w:r>
      <w:r>
        <w:rPr>
          <w:rFonts w:ascii="Times New Roman" w:hAnsi="Times New Roman" w:cs="Times New Roman"/>
          <w:spacing w:val="0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כפשוטו מאפשר לבית המשפט לחרוג לקולה ממתחם העונש ההולם אך ורק מכוח שיקולי שיקום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אולם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בסמוך לאחר שתיקון </w:t>
      </w:r>
      <w:r>
        <w:rPr>
          <w:rFonts w:cs="Times New Roman" w:ascii="Times New Roman" w:hAnsi="Times New Roman"/>
          <w:spacing w:val="0"/>
          <w:szCs w:val="26"/>
        </w:rPr>
        <w:t>113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לחוק נכנס לתוקף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היו שהעירו כי צמצום טעמי החריגה לקולה מהמתחם לשיקולי שיקום בלבד – מגביל יתר על המידה את שיקול דעתו של בית המשפט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קושי זה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הוביל את בתי המשפט לפתח בחיי המעשה מספר פתרונות מגוונים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בהמשך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אימץ בית משפט זה גישה שלפיה השיקולים שקבע המחוקק לצורך חריגה מהמתחם אינם בגדר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רשימה סגורה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ויש מקום להכיר בחריג נוסף וצר בשל שיקולי צדק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זאת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כנגזרת של חובתו של בית המשפט לשמור על מידתיות בענישה בהשפעת </w:t>
      </w:r>
      <w:hyperlink r:id="rId26"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חוק יסוד</w:t>
        </w:r>
        <w:r>
          <w:rPr>
            <w:rStyle w:val="Hyperlink"/>
            <w:rFonts w:cs="Times New Roman" w:ascii="Times New Roman" w:hAnsi="Times New Roman"/>
            <w:spacing w:val="0"/>
            <w:szCs w:val="26"/>
            <w:rtl w:val="true"/>
          </w:rPr>
          <w:t xml:space="preserve">: 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כבוד האדם וחירותו</w:t>
        </w:r>
      </w:hyperlink>
      <w:r>
        <w:rPr>
          <w:rFonts w:ascii="Times New Roman" w:hAnsi="Times New Roman" w:cs="Times New Roman"/>
          <w:spacing w:val="0"/>
          <w:szCs w:val="26"/>
          <w:rtl w:val="true"/>
        </w:rPr>
        <w:t xml:space="preserve"> על הוראות דיני העונשין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בהתאם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בעניין קלנר נקבע כי בית המשפט רשאי לחרוג לקולה ממתחם העונש ההולם בשל שיקולי צדק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כאשר ניכר שכניסתו של הנאשם למאסר עלולה לסכן את חייו או לקצר בצורה ניכרת את תוחלת חייו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בד בבד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הודגש כי בבחינת האפשרות לחריגה לקולה מהמתחם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על בית המשפט לאזן בין שיקולי הצדק לבין חומרת מעשיו של הנאשם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מידת אשמו ומידת מסוכנותו לציבור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ברובם המוחלט של המקרים בהם הורשע הרוצח בעבירת הרצח הבסיסית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המשוכה הניצבת בפני המבקש לחרוג לקולה ממתחם העונש ההולם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בין מכוח שיקולי שיקום ובין מכוח שיקולי צדק </w:t>
      </w:r>
      <w:r>
        <w:rPr>
          <w:rFonts w:ascii="Times New Roman" w:hAnsi="Times New Roman" w:cs="Times New Roman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גבוהה עד מאוד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קביעה זו נלמדת מההוראות הנוקשות של סעיף </w:t>
      </w:r>
      <w:r>
        <w:rPr>
          <w:rFonts w:cs="Times New Roman" w:ascii="Times New Roman" w:hAnsi="Times New Roman"/>
          <w:spacing w:val="0"/>
          <w:szCs w:val="26"/>
        </w:rPr>
        <w:t>40</w:t>
      </w:r>
      <w:r>
        <w:rPr>
          <w:rFonts w:ascii="Times New Roman" w:hAnsi="Times New Roman" w:cs="Times New Roman"/>
          <w:spacing w:val="0"/>
          <w:szCs w:val="26"/>
          <w:rtl w:val="true"/>
        </w:rPr>
        <w:t>ד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לחוק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השמור לעבירות הנושאות חומרה יתרה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ולפיו </w:t>
      </w:r>
      <w:r>
        <w:rPr>
          <w:rFonts w:ascii="Times New Roman" w:hAnsi="Times New Roman" w:cs="Times New Roman"/>
          <w:spacing w:val="0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יחרוג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המשפט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ממתחם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ההולם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אף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הנאשם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השתקם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סיכוי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ממש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שישתקם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בנסיבות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מיוחדות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ויוצאות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דופן</w:t>
      </w:r>
      <w:r>
        <w:rPr>
          <w:rFonts w:cs="Times New Roman" w:ascii="Times New Roman" w:hAnsi="Times New Roman"/>
          <w:spacing w:val="0"/>
          <w:szCs w:val="26"/>
          <w:rtl w:val="true"/>
        </w:rPr>
        <w:t>)</w:t>
      </w:r>
      <w:r>
        <w:rPr>
          <w:rFonts w:cs="Times New Roman" w:ascii="Times New Roman" w:hAnsi="Times New Roman"/>
          <w:spacing w:val="0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מתיישבת עם פסיקת בית משפט זה בעניין קלנר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וממשיכה את התוויית מדיניות הענישה בעבירת הרצח הבסיסית לאחר הרפורמה בעבירות ההמתה וזאת נוכח </w:t>
      </w:r>
      <w:r>
        <w:rPr>
          <w:rFonts w:ascii="Times New Roman" w:hAnsi="Times New Roman" w:cs="Times New Roman"/>
          <w:spacing w:val="0"/>
          <w:szCs w:val="26"/>
          <w:rtl w:val="true"/>
        </w:rPr>
        <w:t>חומרתה הרבה של עבירת הרצח הבסיסית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ואשמו של הרוצח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ב</w:t>
      </w:r>
      <w:r>
        <w:rPr>
          <w:rFonts w:ascii="Times New Roman" w:hAnsi="Times New Roman" w:cs="Times New Roman"/>
          <w:spacing w:val="0"/>
          <w:szCs w:val="26"/>
          <w:rtl w:val="true"/>
        </w:rPr>
        <w:t>אופן קטגורי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בעבירת הרצח הבסיסית ביסוד נפשי של כוונה נותר אך פתח צר ומצומצם השמור למקרים חריגים ביותר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עבור חריגה לקולה ממתחם העונש ההולם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 xml:space="preserve">המקרה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דנא </w:t>
      </w:r>
      <w:r>
        <w:rPr>
          <w:rFonts w:ascii="Times New Roman" w:hAnsi="Times New Roman" w:cs="Times New Roman"/>
          <w:spacing w:val="0"/>
          <w:szCs w:val="26"/>
          <w:rtl w:val="true"/>
        </w:rPr>
        <w:t>אינו נמנה על המקרים החריגים המצדיקים חריגה לקולה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מצבו הבריאותי של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אשר דורש בוודאי פיקוח וטיפול רפואי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עשוי להוות שיקול בתוך מתחם העונש ההולם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אך לא די בו כדי להצדיק חריגה לקולה ממתחם העונש ההולם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לא כל שכן עד כדי הקלה כה משמעותית בעונשו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כאמור</w:t>
      </w:r>
      <w:r>
        <w:rPr>
          <w:rFonts w:cs="Times New Roman" w:ascii="Times New Roman" w:hAnsi="Times New Roman"/>
          <w:spacing w:val="0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יש לתת משקל גם לסכסוך שנגלע בין המערער למנוח עובר לרצח ולמצוקה שייתכן והובילה את המערער לבצע את הרצח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אולם נסיבות אלו נמדדות לצד יתר נסיבות ביצוע העבירה המלמדות על חומרה רבתי במעשי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כך למשל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העובדה כי המערער עשה דין לעצמו וקיפד את חיי המנוח חלף פניה לרשויות האכיפה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מעשה הרצח קר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הרוח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עת המערער הצמיד את קנה האקדח למצח המנוח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ואף הורה לו להתפלל בטרם המיתו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ולבסוף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שרירות ליבו של המערער אשר מיהר להסוות את מעשיו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תחת הזעקת כוחות הצלה למקום אשר ייתכן והיו יכולים להציל את חיי המנוח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כך גם מידת מסוכנות המערער נלמדת ממעשיו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אשר נטל לידיו את האקדח שהיה ברשותו מתוקף עבודתו כמאבטח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ובשל סירובו של המנוח להתפנות מהדירה – נטל את חייו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יוצא אפוא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כי בשקלול חומרת עבירת הרצח בכוונה על נסיבות ביצועה ומידת מסוכנותו של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לצד שיקולי הצדק ובראשם מצבו הבריאותי של המערער 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לא קמה הצדקה לחרוג ממתחם העונש ההולם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וכי יש להתחשב במצבו הרפואי של המערער בקביעת עונשו בתוך מתחם העונש ההולם בלבד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בהשוואה למקרים אחרים שבהם מדובר בעבירת הרצח הבסיסית ביסוד נפשי של כוונה – מדובר בעונש מקל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הנותן משקל משמעותי לנסיבות המקרה ובעיקר למצבו הרפואי של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לפיכך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לנוכח חומרת מעשיו של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בהתחשב במצבו הרפואי המורכב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ובשים לב לכלל שלפיו ערכאת הערעור אינה ממצה את מלוא חומרת הדין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ערעור המערער </w:t>
      </w:r>
      <w:r>
        <w:rPr>
          <w:rFonts w:ascii="Times New Roman" w:hAnsi="Times New Roman" w:cs="Times New Roman"/>
          <w:spacing w:val="0"/>
          <w:szCs w:val="26"/>
          <w:rtl w:val="true"/>
        </w:rPr>
        <w:t>על חומרת העונש נדחה 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ערעור המדינה </w:t>
      </w:r>
      <w:r>
        <w:rPr>
          <w:rFonts w:ascii="Times New Roman" w:hAnsi="Times New Roman" w:cs="Times New Roman"/>
          <w:spacing w:val="0"/>
          <w:szCs w:val="26"/>
          <w:rtl w:val="true"/>
        </w:rPr>
        <w:t>על קולתו התקבל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כך שחלף </w:t>
      </w:r>
      <w:r>
        <w:rPr>
          <w:rFonts w:cs="Times New Roman" w:ascii="Times New Roman" w:hAnsi="Times New Roman"/>
          <w:spacing w:val="0"/>
          <w:szCs w:val="26"/>
        </w:rPr>
        <w:t>18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שנות מאסר 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יושת על המערער עונש של </w:t>
      </w:r>
      <w:r>
        <w:rPr>
          <w:rFonts w:cs="Times New Roman" w:ascii="Times New Roman" w:hAnsi="Times New Roman"/>
          <w:spacing w:val="0"/>
          <w:szCs w:val="26"/>
        </w:rPr>
        <w:t>22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שנות מאסר בפועל מאחורי סורג ובריח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Times New Roman" w:hAnsi="Times New Roman" w:cs="Miriam"/>
          <w:spacing w:val="0"/>
          <w:sz w:val="24"/>
          <w:szCs w:val="24"/>
        </w:rPr>
      </w:pPr>
      <w:r>
        <w:rPr>
          <w:rFonts w:cs="Miriam"/>
          <w:spacing w:val="0"/>
          <w:sz w:val="24"/>
          <w:szCs w:val="24"/>
          <w:rtl w:val="true"/>
        </w:rPr>
      </w:r>
      <w:bookmarkStart w:id="18" w:name="ABSTRACT_END"/>
      <w:bookmarkStart w:id="19" w:name="ABSTRACT_END"/>
      <w:bookmarkEnd w:id="19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20" w:name="PsakDin"/>
            <w:bookmarkStart w:id="21" w:name="BeginProtocol"/>
            <w:bookmarkStart w:id="22" w:name="secretary"/>
            <w:bookmarkEnd w:id="20"/>
            <w:bookmarkEnd w:id="21"/>
            <w:bookmarkEnd w:id="22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23" w:name="Writer_Name"/>
      <w:bookmarkEnd w:id="23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אלרון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24" w:name="Start_Write"/>
      <w:bookmarkStart w:id="25" w:name="Start_Write"/>
      <w:bookmarkEnd w:id="25"/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לפנינו ערעורים על גזר דינו של בית המשפט המחוזי בחיפה </w:t>
      </w:r>
      <w:r>
        <w:rPr>
          <w:rtl w:val="true"/>
        </w:rPr>
        <w:t>(</w:t>
      </w:r>
      <w:r>
        <w:rPr>
          <w:rtl w:val="true"/>
        </w:rPr>
        <w:t xml:space="preserve">השופטים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לוי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קוטון</w:t>
      </w:r>
      <w:r>
        <w:rPr>
          <w:rFonts w:ascii="Century" w:hAnsi="Century" w:cs="Century"/>
          <w:sz w:val="22"/>
          <w:sz w:val="22"/>
          <w:rtl w:val="true"/>
        </w:rPr>
        <w:t xml:space="preserve"> ו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וינברגר</w:t>
      </w:r>
      <w:r>
        <w:rPr>
          <w:rtl w:val="true"/>
        </w:rPr>
        <w:t xml:space="preserve">) </w:t>
      </w:r>
      <w:r>
        <w:rPr>
          <w:rtl w:val="true"/>
        </w:rPr>
        <w:t>ב</w:t>
      </w:r>
      <w:r>
        <w:rPr>
          <w:rtl w:val="true"/>
        </w:rPr>
        <w:t>-</w:t>
      </w:r>
      <w:hyperlink r:id="rId27">
        <w:r>
          <w:rPr>
            <w:rStyle w:val="Hyperlink"/>
            <w:color w:val="0000FF"/>
            <w:u w:val="single"/>
            <w:rtl w:val="true"/>
          </w:rPr>
          <w:t>תפ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18956-09-21</w:t>
        </w:r>
      </w:hyperlink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</w:t>
      </w:r>
      <w:r>
        <w:rPr>
          <w:rtl w:val="true"/>
        </w:rPr>
        <w:t xml:space="preserve">מיום </w:t>
      </w:r>
      <w:r>
        <w:rPr/>
        <w:t>13.6.2023</w:t>
      </w:r>
      <w:r>
        <w:rPr>
          <w:rtl w:val="true"/>
        </w:rPr>
        <w:t xml:space="preserve">, </w:t>
      </w:r>
      <w:r>
        <w:rPr>
          <w:rtl w:val="true"/>
        </w:rPr>
        <w:t xml:space="preserve">בגדרו נגזר על המערער עונש של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 xml:space="preserve">, </w:t>
      </w:r>
      <w:r>
        <w:rPr>
          <w:rtl w:val="true"/>
        </w:rPr>
        <w:t>לצד ענישה נלווית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 xml:space="preserve">בגין הרשעתו בעבירת הרצח הבסיסית ביסוד נפשי של כוונה של דימיטרי יונגרוב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המנוח</w:t>
      </w:r>
      <w:r>
        <w:rPr>
          <w:rtl w:val="true"/>
        </w:rPr>
        <w:t xml:space="preserve">). </w:t>
      </w:r>
      <w:r>
        <w:rPr>
          <w:rtl w:val="true"/>
        </w:rPr>
        <w:t>המערער ב</w:t>
      </w:r>
      <w:r>
        <w:rPr>
          <w:rtl w:val="true"/>
        </w:rPr>
        <w:t>-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 xml:space="preserve">פ </w:t>
      </w:r>
      <w:r>
        <w:rPr/>
        <w:t>6692/23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</w:t>
      </w:r>
      <w:r>
        <w:rPr>
          <w:rtl w:val="true"/>
        </w:rPr>
        <w:t xml:space="preserve">) </w:t>
      </w:r>
      <w:r>
        <w:rPr>
          <w:rtl w:val="true"/>
        </w:rPr>
        <w:t>משיג על חומרת העונש</w:t>
      </w:r>
      <w:r>
        <w:rPr>
          <w:rtl w:val="true"/>
        </w:rPr>
        <w:t xml:space="preserve">; </w:t>
      </w:r>
      <w:r>
        <w:rPr>
          <w:rtl w:val="true"/>
        </w:rPr>
        <w:t>ומנגד ערעור המדינה ב</w:t>
      </w:r>
      <w:r>
        <w:rPr>
          <w:rtl w:val="true"/>
        </w:rPr>
        <w:t>-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 xml:space="preserve">פ </w:t>
      </w:r>
      <w:r>
        <w:rPr/>
        <w:t>6708/23</w:t>
      </w:r>
      <w:r>
        <w:rPr>
          <w:rtl w:val="true"/>
        </w:rPr>
        <w:t xml:space="preserve"> </w:t>
      </w:r>
      <w:r>
        <w:rPr>
          <w:rtl w:val="true"/>
        </w:rPr>
        <w:t>נסוב על קולתו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עיקרי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כתב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המתוקן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כמתואר בכתב האישום המתוקן</w:t>
      </w:r>
      <w:r>
        <w:rPr>
          <w:rtl w:val="true"/>
        </w:rPr>
        <w:t xml:space="preserve">, </w:t>
      </w:r>
      <w:r>
        <w:rPr>
          <w:rtl w:val="true"/>
        </w:rPr>
        <w:t>מתוקף עבודתו של המערער כמאבטח הוא החזיק אקדח ברישיון</w:t>
      </w:r>
      <w:r>
        <w:rPr>
          <w:rtl w:val="true"/>
        </w:rPr>
        <w:t xml:space="preserve">. </w:t>
      </w:r>
      <w:r>
        <w:rPr>
          <w:rtl w:val="true"/>
        </w:rPr>
        <w:t>לאחר שעות העבודה</w:t>
      </w:r>
      <w:r>
        <w:rPr>
          <w:rtl w:val="true"/>
        </w:rPr>
        <w:t xml:space="preserve">, </w:t>
      </w:r>
      <w:r>
        <w:rPr>
          <w:rtl w:val="true"/>
        </w:rPr>
        <w:t>אחסן את האקדח בכספת בדירה שבה התגורר יחד עם רעייתו</w:t>
      </w:r>
      <w:r>
        <w:rPr>
          <w:rtl w:val="true"/>
        </w:rPr>
        <w:t xml:space="preserve">. 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בין המערער לבין המנוח היו קשרי ידידות</w:t>
      </w:r>
      <w:r>
        <w:rPr>
          <w:rtl w:val="true"/>
        </w:rPr>
        <w:t xml:space="preserve">. </w:t>
      </w:r>
      <w:r>
        <w:rPr>
          <w:rtl w:val="true"/>
        </w:rPr>
        <w:t>בעקבות כן</w:t>
      </w:r>
      <w:r>
        <w:rPr>
          <w:rtl w:val="true"/>
        </w:rPr>
        <w:t xml:space="preserve">, </w:t>
      </w:r>
      <w:r>
        <w:rPr>
          <w:rtl w:val="true"/>
        </w:rPr>
        <w:t xml:space="preserve">החל מחודש אפריל </w:t>
      </w:r>
      <w:r>
        <w:rPr/>
        <w:t>2021</w:t>
      </w:r>
      <w:r>
        <w:rPr>
          <w:rtl w:val="true"/>
        </w:rPr>
        <w:t xml:space="preserve">, </w:t>
      </w:r>
      <w:r>
        <w:rPr>
          <w:rtl w:val="true"/>
        </w:rPr>
        <w:t>המערער אירח והלין את המנוח בדירתו</w:t>
      </w:r>
      <w:r>
        <w:rPr>
          <w:rtl w:val="true"/>
        </w:rPr>
        <w:t xml:space="preserve">, </w:t>
      </w:r>
      <w:r>
        <w:rPr>
          <w:rtl w:val="true"/>
        </w:rPr>
        <w:t>מסר לו מפתח לדירה ואף נתן לו מעת לעת סכומי כסף לשימושו</w:t>
      </w:r>
      <w:r>
        <w:rPr>
          <w:rtl w:val="true"/>
        </w:rPr>
        <w:t xml:space="preserve">. </w:t>
      </w:r>
      <w:r>
        <w:rPr>
          <w:rtl w:val="true"/>
        </w:rPr>
        <w:t>לאחר שרעיית המערער שבה מביקור בני משפחתה ברוסיה</w:t>
      </w:r>
      <w:r>
        <w:rPr>
          <w:rtl w:val="true"/>
        </w:rPr>
        <w:t xml:space="preserve">, </w:t>
      </w:r>
      <w:r>
        <w:rPr>
          <w:rtl w:val="true"/>
        </w:rPr>
        <w:t>ומשהתברר לה כי המנוח מתגורר יחד עם המערער בדירה</w:t>
      </w:r>
      <w:r>
        <w:rPr>
          <w:rtl w:val="true"/>
        </w:rPr>
        <w:t xml:space="preserve">, </w:t>
      </w:r>
      <w:r>
        <w:rPr>
          <w:rtl w:val="true"/>
        </w:rPr>
        <w:t>עברה להתגורר עם חברתה בדירה אחרת בחיפה וביקשה מהמערער שידאג לכך שהמנוח יעזוב את הדירה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בחלוף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כחודש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, </w:t>
      </w:r>
      <w:r>
        <w:rPr>
          <w:rtl w:val="true"/>
        </w:rPr>
        <w:t>בתום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תפילה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בכנסיה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ורעייתו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לדירה</w:t>
      </w:r>
      <w:r>
        <w:rPr>
          <w:rtl w:val="true"/>
        </w:rPr>
        <w:t xml:space="preserve">. </w:t>
      </w:r>
      <w:r>
        <w:rPr>
          <w:rtl w:val="true"/>
        </w:rPr>
        <w:t>בהגיעם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מרעייתו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תמתין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מחוץ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לפעול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להרחקת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למגוריו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בדירה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במכשיר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הנייד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לעימות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הוציא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האקדח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מהכספת</w:t>
      </w:r>
      <w:r>
        <w:rPr>
          <w:rtl w:val="true"/>
        </w:rPr>
        <w:t xml:space="preserve">, </w:t>
      </w:r>
      <w:r>
        <w:rPr>
          <w:rtl w:val="true"/>
        </w:rPr>
        <w:t>הכניס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לאקדח</w:t>
      </w:r>
      <w:r>
        <w:rPr>
          <w:rtl w:val="true"/>
        </w:rPr>
        <w:t xml:space="preserve">, </w:t>
      </w:r>
      <w:r>
        <w:rPr>
          <w:rtl w:val="true"/>
        </w:rPr>
        <w:t>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האקדח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והניחו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לכרית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במיטתו</w:t>
      </w:r>
      <w:r>
        <w:rPr>
          <w:rtl w:val="true"/>
        </w:rPr>
        <w:t xml:space="preserve">. </w:t>
      </w:r>
      <w:r>
        <w:rPr>
          <w:rtl w:val="true"/>
        </w:rPr>
        <w:t>בסמוך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לחדרו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התיישב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מיטתו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והמשיך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להתווכח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עמו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התנגדותו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לעזיבת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ביניהם</w:t>
      </w:r>
      <w:r>
        <w:rPr>
          <w:rtl w:val="true"/>
        </w:rPr>
        <w:t xml:space="preserve">, </w:t>
      </w:r>
      <w:r>
        <w:rPr>
          <w:rtl w:val="true"/>
        </w:rPr>
        <w:t>גמלה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בליבו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ההחלטה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להמית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</w:t>
      </w:r>
      <w:r>
        <w:rPr>
          <w:rtl w:val="true"/>
        </w:rPr>
        <w:t xml:space="preserve">, </w:t>
      </w:r>
      <w:r>
        <w:rPr>
          <w:rtl w:val="true"/>
        </w:rPr>
        <w:t>שלף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, </w:t>
      </w:r>
      <w:r>
        <w:rPr>
          <w:rtl w:val="true"/>
        </w:rPr>
        <w:t>הצמיד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מרכז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והציע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להתפלל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", </w:t>
      </w:r>
      <w:r>
        <w:rPr>
          <w:rtl w:val="true"/>
        </w:rPr>
        <w:t>כלשון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. </w:t>
      </w:r>
      <w:r>
        <w:rPr>
          <w:rtl w:val="true"/>
        </w:rPr>
        <w:t>בתגובה</w:t>
      </w:r>
      <w:r>
        <w:rPr>
          <w:rtl w:val="true"/>
        </w:rPr>
        <w:t xml:space="preserve">,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להתפלל</w:t>
      </w:r>
      <w:r>
        <w:rPr>
          <w:rtl w:val="true"/>
        </w:rPr>
        <w:t xml:space="preserve">.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אז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במרכז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מטווח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מגע</w:t>
      </w:r>
      <w:r>
        <w:rPr>
          <w:rtl w:val="true"/>
        </w:rPr>
        <w:t xml:space="preserve">, </w:t>
      </w:r>
      <w:r>
        <w:rPr>
          <w:rtl w:val="true"/>
        </w:rPr>
        <w:t>בכוונה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לגרום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למותו</w:t>
      </w:r>
      <w:r>
        <w:rPr>
          <w:rtl w:val="true"/>
        </w:rPr>
        <w:t xml:space="preserve">, </w:t>
      </w:r>
      <w:r>
        <w:rPr>
          <w:rtl w:val="true"/>
        </w:rPr>
        <w:t>וגרם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לפציעתו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האנושה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להציג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לירי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מטבח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המיטה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גסס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וחרחר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מלהזמי</w:t>
      </w:r>
      <w:r>
        <w:rPr>
          <w:rtl w:val="true"/>
        </w:rPr>
        <w:t>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ההצלה</w:t>
      </w:r>
      <w:r>
        <w:rPr>
          <w:rtl w:val="true"/>
        </w:rPr>
        <w:t xml:space="preserve">.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דקות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שנועץ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באשתו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ודיווח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במנוח</w:t>
      </w:r>
      <w:r>
        <w:rPr>
          <w:rtl w:val="true"/>
        </w:rPr>
        <w:t xml:space="preserve">. </w:t>
      </w:r>
      <w:r>
        <w:rPr>
          <w:rtl w:val="true"/>
        </w:rPr>
        <w:t>בהגיע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ההצלה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לדירה</w:t>
      </w:r>
      <w:r>
        <w:rPr>
          <w:rtl w:val="true"/>
        </w:rPr>
        <w:t xml:space="preserve">,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מותו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דינו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המחוזי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בתום הליך הוכחות ממושך ומקיף ולאחר עדות המערער ועדי ההגנה מטעמו</w:t>
      </w:r>
      <w:r>
        <w:rPr>
          <w:rtl w:val="true"/>
        </w:rPr>
        <w:t xml:space="preserve">, </w:t>
      </w:r>
      <w:r>
        <w:rPr>
          <w:rtl w:val="true"/>
        </w:rPr>
        <w:t>הוסכם בין הצדדים על תיקון כתב האישום ועל הודאתו של המערער ברצח המנוח</w:t>
      </w:r>
      <w:r>
        <w:rPr>
          <w:rtl w:val="true"/>
        </w:rPr>
        <w:t xml:space="preserve">. </w:t>
      </w:r>
      <w:r>
        <w:rPr>
          <w:rtl w:val="true"/>
        </w:rPr>
        <w:t>בהתאם</w:t>
      </w:r>
      <w:r>
        <w:rPr>
          <w:rtl w:val="true"/>
        </w:rPr>
        <w:t xml:space="preserve">, </w:t>
      </w:r>
      <w:r>
        <w:rPr>
          <w:rtl w:val="true"/>
        </w:rPr>
        <w:t xml:space="preserve">המערער הורשע על פי הודאתו בעבירת רצח לפי </w:t>
      </w:r>
      <w:hyperlink r:id="rId28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החוק</w:t>
      </w:r>
      <w:r>
        <w:rPr>
          <w:rtl w:val="true"/>
        </w:rPr>
        <w:t xml:space="preserve">) </w:t>
      </w:r>
      <w:r>
        <w:rPr>
          <w:rtl w:val="true"/>
        </w:rPr>
        <w:t>ביסוד נפשי של כוונה</w:t>
      </w:r>
      <w:r>
        <w:rPr>
          <w:rtl w:val="true"/>
        </w:rPr>
        <w:t xml:space="preserve">; </w:t>
      </w:r>
      <w:r>
        <w:rPr>
          <w:rtl w:val="true"/>
        </w:rPr>
        <w:t xml:space="preserve">וכן בעבירת שיבוש מהלכי משפט לפי </w:t>
      </w:r>
      <w:hyperlink r:id="rId30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244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בגזר דינו</w:t>
      </w:r>
      <w:r>
        <w:rPr>
          <w:rtl w:val="true"/>
        </w:rPr>
        <w:t xml:space="preserve">, </w:t>
      </w:r>
      <w:r>
        <w:rPr>
          <w:rtl w:val="true"/>
        </w:rPr>
        <w:t xml:space="preserve">בית המשפט המחוזי סקר את הרפורמה בעבירות ההמתה </w:t>
      </w:r>
      <w:r>
        <w:rPr>
          <w:rtl w:val="true"/>
        </w:rPr>
        <w:t>(</w:t>
      </w:r>
      <w:hyperlink r:id="rId3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תיקון מס</w:t>
      </w:r>
      <w:r>
        <w:rPr>
          <w:rtl w:val="true"/>
        </w:rPr>
        <w:t xml:space="preserve">' </w:t>
      </w:r>
      <w:r>
        <w:rPr/>
        <w:t>137</w:t>
      </w:r>
      <w:r>
        <w:rPr>
          <w:rtl w:val="true"/>
        </w:rPr>
        <w:t xml:space="preserve">),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>-</w:t>
      </w:r>
      <w:r>
        <w:rPr/>
        <w:t>2019</w:t>
      </w:r>
      <w:r>
        <w:rPr>
          <w:rtl w:val="true"/>
        </w:rPr>
        <w:t xml:space="preserve">,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 xml:space="preserve">ח </w:t>
      </w:r>
      <w:r>
        <w:rPr/>
        <w:t>230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הרפורמה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בעבירות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ההמתה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הרפורמה</w:t>
      </w:r>
      <w:r>
        <w:rPr>
          <w:rtl w:val="true"/>
        </w:rPr>
        <w:t>)</w:t>
      </w:r>
      <w:r>
        <w:rPr>
          <w:rtl w:val="true"/>
        </w:rPr>
        <w:t xml:space="preserve">, </w:t>
      </w:r>
      <w:r>
        <w:rPr>
          <w:rtl w:val="true"/>
        </w:rPr>
        <w:t xml:space="preserve">את השינויים במדיניות הענישה בעקבותיה וכן את אמות המידה לקביעת עונשו של רוצח </w:t>
      </w:r>
      <w:r>
        <w:rPr>
          <w:rtl w:val="true"/>
        </w:rPr>
        <w:t>–</w:t>
      </w:r>
      <w:r>
        <w:rPr>
          <w:rtl w:val="true"/>
        </w:rPr>
        <w:t xml:space="preserve"> לאחר הרפורמה</w:t>
      </w:r>
      <w:r>
        <w:rPr>
          <w:rtl w:val="true"/>
        </w:rPr>
        <w:t xml:space="preserve">. </w:t>
      </w:r>
      <w:r>
        <w:rPr>
          <w:rtl w:val="true"/>
        </w:rPr>
        <w:t>בצד זאת</w:t>
      </w:r>
      <w:r>
        <w:rPr>
          <w:rtl w:val="true"/>
        </w:rPr>
        <w:t xml:space="preserve">, </w:t>
      </w:r>
      <w:r>
        <w:rPr>
          <w:rtl w:val="true"/>
        </w:rPr>
        <w:t xml:space="preserve">בפתח גזר הדין הודגש כי </w:t>
      </w:r>
      <w:r>
        <w:rPr>
          <w:rtl w:val="true"/>
        </w:rPr>
        <w:t>"</w:t>
      </w:r>
      <w:r>
        <w:rPr>
          <w:rtl w:val="true"/>
        </w:rPr>
        <w:t xml:space="preserve">עניין לנו במקרה מיוחד במינו שלו נסיבות ייחודיות ויוצאות דופן </w:t>
      </w:r>
      <w:r>
        <w:rPr>
          <w:rtl w:val="true"/>
        </w:rPr>
        <w:t>[...] [</w:t>
      </w:r>
      <w:r>
        <w:rPr>
          <w:rtl w:val="true"/>
        </w:rPr>
        <w:t>ה</w:t>
      </w:r>
      <w:r>
        <w:rPr>
          <w:rtl w:val="true"/>
        </w:rPr>
        <w:t>]</w:t>
      </w:r>
      <w:r>
        <w:rPr>
          <w:rtl w:val="true"/>
        </w:rPr>
        <w:t xml:space="preserve">מחייבות קביעת מתחם יוצא דופן אשר איננו בהכרח תואם את המתחמים שנקבעו עד כה עת נדונו מעשי רצח </w:t>
      </w:r>
      <w:r>
        <w:rPr>
          <w:rtl w:val="true"/>
        </w:rPr>
        <w:t>(</w:t>
      </w:r>
      <w:r>
        <w:rPr>
          <w:rtl w:val="true"/>
        </w:rPr>
        <w:t>בסיסי</w:t>
      </w:r>
      <w:r>
        <w:rPr>
          <w:rtl w:val="true"/>
        </w:rPr>
        <w:t xml:space="preserve">) </w:t>
      </w:r>
      <w:r>
        <w:rPr>
          <w:rtl w:val="true"/>
        </w:rPr>
        <w:t>המלווה ביסוד נפשי של כוונה</w:t>
      </w:r>
      <w:r>
        <w:rPr>
          <w:rtl w:val="true"/>
        </w:rPr>
        <w:t>".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בהתאם</w:t>
      </w:r>
      <w:r>
        <w:rPr>
          <w:rtl w:val="true"/>
        </w:rPr>
        <w:t xml:space="preserve">, </w:t>
      </w:r>
      <w:r>
        <w:rPr>
          <w:rtl w:val="true"/>
        </w:rPr>
        <w:t>בקביעת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מטוב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הסכים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לארח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אסיר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משוחרר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מהתמכרות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לחומרים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פסיכו</w:t>
      </w:r>
      <w:r>
        <w:rPr>
          <w:rtl w:val="true"/>
        </w:rPr>
        <w:t>-</w:t>
      </w:r>
      <w:r>
        <w:rPr>
          <w:rtl w:val="true"/>
        </w:rPr>
        <w:t>אקטיביים</w:t>
      </w:r>
      <w:r>
        <w:rPr>
          <w:rtl w:val="true"/>
        </w:rPr>
        <w:t xml:space="preserve">.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שנוכחותו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לצנינים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בעיניו</w:t>
      </w:r>
      <w:r>
        <w:rPr>
          <w:rtl w:val="true"/>
        </w:rPr>
        <w:t xml:space="preserve">" </w:t>
      </w:r>
      <w:r>
        <w:rPr>
          <w:rtl w:val="true"/>
        </w:rPr>
        <w:t>ועוד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אשתו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נאלצה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למצוא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לעצמה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חלופי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משניסיונות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מהדירה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הועילו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התגרותו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המתמשכת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במערער</w:t>
      </w:r>
      <w:r>
        <w:rPr>
          <w:rtl w:val="true"/>
        </w:rPr>
        <w:t xml:space="preserve">, </w:t>
      </w:r>
      <w:r>
        <w:rPr>
          <w:rtl w:val="true"/>
        </w:rPr>
        <w:t>כלשון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קלעו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למצוקה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נפשית</w:t>
      </w:r>
      <w:r>
        <w:rPr>
          <w:rtl w:val="true"/>
        </w:rPr>
        <w:t xml:space="preserve">, </w:t>
      </w:r>
      <w:r>
        <w:rPr>
          <w:rtl w:val="true"/>
        </w:rPr>
        <w:t>לתחושת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וחוסר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ישע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השפיעו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. </w:t>
      </w:r>
      <w:r>
        <w:rPr>
          <w:rtl w:val="true"/>
        </w:rPr>
        <w:t>הודגש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בהתנהלות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להצדיק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לשפוך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שהובילו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ההמתה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היעדר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</w:t>
      </w:r>
      <w:r>
        <w:rPr>
          <w:rtl w:val="true"/>
        </w:rPr>
        <w:t xml:space="preserve">".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hyperlink r:id="rId32">
        <w:r>
          <w:rPr>
            <w:rStyle w:val="Hyperlink"/>
            <w:rtl w:val="true"/>
          </w:rPr>
          <w:t>סעיפים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ט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5</w:t>
        </w:r>
        <w:r>
          <w:rPr>
            <w:rStyle w:val="Hyperlink"/>
            <w:rtl w:val="true"/>
          </w:rPr>
          <w:t>), (</w:t>
        </w:r>
        <w:r>
          <w:rPr>
            <w:rStyle w:val="Hyperlink"/>
          </w:rPr>
          <w:t>7</w:t>
        </w:r>
        <w:r>
          <w:rPr>
            <w:rStyle w:val="Hyperlink"/>
            <w:rtl w:val="true"/>
          </w:rPr>
          <w:t xml:space="preserve">) </w:t>
        </w:r>
        <w:r>
          <w:rPr>
            <w:rStyle w:val="Hyperlink"/>
            <w:rtl w:val="true"/>
          </w:rPr>
          <w:t>ו</w:t>
        </w:r>
        <w:r>
          <w:rPr>
            <w:rStyle w:val="Hyperlink"/>
            <w:rtl w:val="true"/>
          </w:rPr>
          <w:t>-(</w:t>
        </w:r>
        <w:r>
          <w:rPr>
            <w:rStyle w:val="Hyperlink"/>
          </w:rPr>
          <w:t>8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ובשים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לאחר זאת</w:t>
      </w:r>
      <w:r>
        <w:rPr>
          <w:rtl w:val="true"/>
        </w:rPr>
        <w:t xml:space="preserve">, </w:t>
      </w:r>
      <w:r>
        <w:rPr>
          <w:rtl w:val="true"/>
        </w:rPr>
        <w:t>בית המשפט המחוזי התחשב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בהיות המערער נעדר עבר פלילי</w:t>
      </w:r>
      <w:r>
        <w:rPr>
          <w:rtl w:val="true"/>
        </w:rPr>
        <w:t xml:space="preserve">; </w:t>
      </w:r>
      <w:r>
        <w:rPr>
          <w:rtl w:val="true"/>
        </w:rPr>
        <w:t>הודייתו בביצוע מעשה הרצח ונטילת אחריות מצדו על מעשיו</w:t>
      </w:r>
      <w:r>
        <w:rPr>
          <w:rtl w:val="true"/>
        </w:rPr>
        <w:t xml:space="preserve">; </w:t>
      </w:r>
      <w:r>
        <w:rPr>
          <w:rtl w:val="true"/>
        </w:rPr>
        <w:t>ובכך שרעייתו ניצבת בפני גירוש מהארץ באופן שיכביד על נשיאת עונש מאסר על ידו</w:t>
      </w:r>
      <w:r>
        <w:rPr>
          <w:rtl w:val="true"/>
        </w:rPr>
        <w:t xml:space="preserve">. </w:t>
      </w:r>
      <w:r>
        <w:rPr>
          <w:rtl w:val="true"/>
        </w:rPr>
        <w:t>מלבד האמור</w:t>
      </w:r>
      <w:r>
        <w:rPr>
          <w:rtl w:val="true"/>
        </w:rPr>
        <w:t xml:space="preserve">, </w:t>
      </w:r>
      <w:r>
        <w:rPr>
          <w:rtl w:val="true"/>
        </w:rPr>
        <w:t>לצורך גזירת עונשו של המערער</w:t>
      </w:r>
      <w:r>
        <w:rPr>
          <w:rtl w:val="true"/>
        </w:rPr>
        <w:t xml:space="preserve">, </w:t>
      </w:r>
      <w:r>
        <w:rPr>
          <w:rtl w:val="true"/>
        </w:rPr>
        <w:t xml:space="preserve">ניתן משקל רב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מצבו</w:t>
      </w:r>
      <w:r>
        <w:rPr>
          <w:rtl w:val="true"/>
        </w:rPr>
        <w:t xml:space="preserve"> </w:t>
      </w:r>
      <w:r>
        <w:rPr>
          <w:rtl w:val="true"/>
        </w:rPr>
        <w:t>הרפואי</w:t>
      </w:r>
      <w:r>
        <w:rPr>
          <w:rtl w:val="true"/>
        </w:rPr>
        <w:t xml:space="preserve"> </w:t>
      </w:r>
      <w:r>
        <w:rPr>
          <w:rtl w:val="true"/>
        </w:rPr>
        <w:t>הקשה</w:t>
      </w:r>
      <w:r>
        <w:rPr>
          <w:rtl w:val="true"/>
        </w:rPr>
        <w:t xml:space="preserve">", </w:t>
      </w:r>
      <w:r>
        <w:rPr>
          <w:rtl w:val="true"/>
        </w:rPr>
        <w:t>אשר מצדיק</w:t>
      </w:r>
      <w:r>
        <w:rPr>
          <w:rtl w:val="true"/>
        </w:rPr>
        <w:t xml:space="preserve">, </w:t>
      </w:r>
      <w:r>
        <w:rPr>
          <w:rtl w:val="true"/>
        </w:rPr>
        <w:t>לשיטת בית משפט קמא</w:t>
      </w:r>
      <w:r>
        <w:rPr>
          <w:rtl w:val="true"/>
        </w:rPr>
        <w:t xml:space="preserve">, </w:t>
      </w:r>
      <w:r>
        <w:rPr>
          <w:rtl w:val="true"/>
        </w:rPr>
        <w:t>הקלה בעונשו</w:t>
      </w:r>
      <w:r>
        <w:rPr>
          <w:rtl w:val="true"/>
        </w:rPr>
        <w:t xml:space="preserve">. </w:t>
      </w:r>
      <w:r>
        <w:rPr>
          <w:rtl w:val="true"/>
        </w:rPr>
        <w:t>כעולה מהתיעוד הרפואי שהוגש לפני בית משפט קמא</w:t>
      </w:r>
      <w:r>
        <w:rPr>
          <w:rtl w:val="true"/>
        </w:rPr>
        <w:t xml:space="preserve">, </w:t>
      </w:r>
      <w:r>
        <w:rPr>
          <w:rtl w:val="true"/>
        </w:rPr>
        <w:t>המערער סובל ממספר בעיות רפואיות קשות</w:t>
      </w:r>
      <w:r>
        <w:rPr>
          <w:rtl w:val="true"/>
        </w:rPr>
        <w:t xml:space="preserve">, </w:t>
      </w:r>
      <w:r>
        <w:rPr>
          <w:rtl w:val="true"/>
        </w:rPr>
        <w:t>בעלות השלכה ממשית על איכות חייו</w:t>
      </w:r>
      <w:r>
        <w:rPr>
          <w:rtl w:val="true"/>
        </w:rPr>
        <w:t xml:space="preserve">. </w:t>
      </w:r>
      <w:r>
        <w:rPr>
          <w:rtl w:val="true"/>
        </w:rPr>
        <w:t>פורט</w:t>
      </w:r>
      <w:r>
        <w:rPr>
          <w:rtl w:val="true"/>
        </w:rPr>
        <w:t xml:space="preserve">, </w:t>
      </w:r>
      <w:r>
        <w:rPr>
          <w:rtl w:val="true"/>
        </w:rPr>
        <w:t>כי לאחר מעצרו</w:t>
      </w:r>
      <w:r>
        <w:rPr>
          <w:rtl w:val="true"/>
        </w:rPr>
        <w:t xml:space="preserve">, </w:t>
      </w:r>
      <w:r>
        <w:rPr>
          <w:rtl w:val="true"/>
        </w:rPr>
        <w:t>התגלה כי הוא סובל ממצב של דימום מוח כרוני אשר הצריך ניתוח לניקוז הדימום</w:t>
      </w:r>
      <w:r>
        <w:rPr>
          <w:rtl w:val="true"/>
        </w:rPr>
        <w:t xml:space="preserve">. </w:t>
      </w:r>
      <w:r>
        <w:rPr>
          <w:rtl w:val="true"/>
        </w:rPr>
        <w:t>לאחר חודש</w:t>
      </w:r>
      <w:r>
        <w:rPr>
          <w:rtl w:val="true"/>
        </w:rPr>
        <w:t xml:space="preserve">, </w:t>
      </w:r>
      <w:r>
        <w:rPr>
          <w:rtl w:val="true"/>
        </w:rPr>
        <w:t>המערער נפל במקלחת מגובה עמידה ונגרם לו שבר של צוואר הירך משמאל</w:t>
      </w:r>
      <w:r>
        <w:rPr>
          <w:rtl w:val="true"/>
        </w:rPr>
        <w:t xml:space="preserve">, </w:t>
      </w:r>
      <w:r>
        <w:rPr>
          <w:rtl w:val="true"/>
        </w:rPr>
        <w:t>אשר הצריך אף הוא ניתוח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המערער סובל מאי</w:t>
      </w:r>
      <w:r>
        <w:rPr>
          <w:rtl w:val="true"/>
        </w:rPr>
        <w:t>-</w:t>
      </w:r>
      <w:r>
        <w:rPr>
          <w:rtl w:val="true"/>
        </w:rPr>
        <w:t>שליטה על הסוגרים ובשל כך שירות בתי הסוהר מספק לו חיתולים</w:t>
      </w:r>
      <w:r>
        <w:rPr>
          <w:rtl w:val="true"/>
        </w:rPr>
        <w:t xml:space="preserve">. </w:t>
      </w:r>
      <w:r>
        <w:rPr>
          <w:rtl w:val="true"/>
        </w:rPr>
        <w:t>דבר זה גורם לו לאי</w:t>
      </w:r>
      <w:r>
        <w:rPr>
          <w:rtl w:val="true"/>
        </w:rPr>
        <w:t>-</w:t>
      </w:r>
      <w:r>
        <w:rPr>
          <w:rtl w:val="true"/>
        </w:rPr>
        <w:t>נוחות ומהווה מקור להשפלה ולעג מהסובבים אותו</w:t>
      </w:r>
      <w:r>
        <w:rPr>
          <w:rtl w:val="true"/>
        </w:rPr>
        <w:t xml:space="preserve">. </w:t>
      </w:r>
      <w:r>
        <w:rPr>
          <w:rtl w:val="true"/>
        </w:rPr>
        <w:t>נוסף לכל</w:t>
      </w:r>
      <w:r>
        <w:rPr>
          <w:rtl w:val="true"/>
        </w:rPr>
        <w:t xml:space="preserve">, </w:t>
      </w:r>
      <w:r>
        <w:rPr>
          <w:rtl w:val="true"/>
        </w:rPr>
        <w:t>צוין בגזר הדין כי המערער סובל גם ממחלת ריאות חסימתית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הרפואי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החמור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שתואר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לחרוג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ולגזור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פתח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צר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לתקווה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שהנאשם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]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ישתחרר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מכלאו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יקיץ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ימיו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מאחורי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סורג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ובריח</w:t>
      </w:r>
      <w:r>
        <w:rPr>
          <w:rtl w:val="true"/>
        </w:rPr>
        <w:t xml:space="preserve">".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מנימוקים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;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לבל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במשך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;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לבל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שיבוש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מהלכי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, </w:t>
      </w:r>
      <w:r>
        <w:rPr>
          <w:rtl w:val="true"/>
        </w:rPr>
        <w:t>במשך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; </w:t>
      </w:r>
      <w:r>
        <w:rPr>
          <w:rtl w:val="true"/>
        </w:rPr>
        <w:t>ופיצוי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;Arial" w:cs="Arial TUR;Arial"/>
          <w:rtl w:val="true"/>
        </w:rPr>
        <w:t xml:space="preserve"> </w:t>
      </w:r>
      <w:r>
        <w:rPr/>
        <w:t>120,000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ואחותו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הצדדים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בערעורים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לטענת המערער</w:t>
      </w:r>
      <w:r>
        <w:rPr>
          <w:rtl w:val="true"/>
        </w:rPr>
        <w:t xml:space="preserve">, </w:t>
      </w:r>
      <w:r>
        <w:rPr>
          <w:rtl w:val="true"/>
        </w:rPr>
        <w:t>העונש שנגזר עליו חמור יתר על המידה ואינו מתחשב כראוי בנסיבות הייחודיות של ביצוע העבירה</w:t>
      </w:r>
      <w:r>
        <w:rPr>
          <w:rtl w:val="true"/>
        </w:rPr>
        <w:t xml:space="preserve">, </w:t>
      </w:r>
      <w:r>
        <w:rPr>
          <w:rtl w:val="true"/>
        </w:rPr>
        <w:t>ובעיקר במצוקה המתמשכת שהמנוח הסב לו עובר לרצח</w:t>
      </w:r>
      <w:r>
        <w:rPr>
          <w:rtl w:val="true"/>
        </w:rPr>
        <w:t xml:space="preserve">. </w:t>
      </w:r>
      <w:r>
        <w:rPr>
          <w:rtl w:val="true"/>
        </w:rPr>
        <w:t xml:space="preserve">כן נטען כי העונש שנגזר עליו אינו נותן משקל מספק למצבו הרפואי </w:t>
      </w:r>
      <w:r>
        <w:rPr>
          <w:rFonts w:ascii="Century" w:hAnsi="Century" w:cs="Century"/>
          <w:sz w:val="22"/>
          <w:sz w:val="22"/>
          <w:rtl w:val="true"/>
        </w:rPr>
        <w:t>החמור ביותר</w:t>
      </w:r>
      <w:r>
        <w:rPr>
          <w:rtl w:val="true"/>
        </w:rPr>
        <w:t xml:space="preserve">. </w:t>
      </w:r>
      <w:r>
        <w:rPr>
          <w:rtl w:val="true"/>
        </w:rPr>
        <w:t>על כן</w:t>
      </w:r>
      <w:r>
        <w:rPr>
          <w:rtl w:val="true"/>
        </w:rPr>
        <w:t xml:space="preserve">, </w:t>
      </w:r>
      <w:r>
        <w:rPr>
          <w:rtl w:val="true"/>
        </w:rPr>
        <w:t>מבוקש כי חלף עונש זה</w:t>
      </w:r>
      <w:r>
        <w:rPr>
          <w:rtl w:val="true"/>
        </w:rPr>
        <w:t xml:space="preserve">, </w:t>
      </w:r>
      <w:r>
        <w:rPr>
          <w:rtl w:val="true"/>
        </w:rPr>
        <w:t xml:space="preserve">יושת עליו עונש </w:t>
      </w:r>
      <w:r>
        <w:rPr>
          <w:rFonts w:ascii="Century" w:hAnsi="Century" w:cs="Century"/>
          <w:sz w:val="22"/>
          <w:sz w:val="22"/>
          <w:rtl w:val="true"/>
        </w:rPr>
        <w:t>הנמוך מ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cs="Century" w:ascii="Century" w:hAnsi="Century"/>
          <w:sz w:val="22"/>
        </w:rPr>
        <w:t>10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שנות מאסר בפועל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המערער מלין על גובה הפיצוי שנפסק לחובתו</w:t>
      </w:r>
      <w:r>
        <w:rPr>
          <w:rtl w:val="true"/>
        </w:rPr>
        <w:t xml:space="preserve">, </w:t>
      </w:r>
      <w:r>
        <w:rPr>
          <w:rtl w:val="true"/>
        </w:rPr>
        <w:t>הואיל ולטענתו חי בצמצום רב עוד בטרם הרצח</w:t>
      </w:r>
      <w:r>
        <w:rPr>
          <w:rtl w:val="true"/>
        </w:rPr>
        <w:t xml:space="preserve">, </w:t>
      </w:r>
      <w:r>
        <w:rPr>
          <w:rtl w:val="true"/>
        </w:rPr>
        <w:t>ואילו סכום החוב שנפסק יקשה על השתלבותו בחברה עם שחרורו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בהתייחס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מלמדות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שמידת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Century"/>
          <w:rtl w:val="true"/>
        </w:rPr>
        <w:t>המערער נמוכה באופן משמעותי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tl w:val="true"/>
        </w:rPr>
        <w:t>מאשר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הבסיסית</w:t>
      </w:r>
      <w:r>
        <w:rPr>
          <w:rtl w:val="true"/>
        </w:rPr>
        <w:t xml:space="preserve">. </w:t>
      </w: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סומך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קביעות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ההמתה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ספונטאני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סירובו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לעזוב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הדירה</w:t>
      </w:r>
      <w:r>
        <w:rPr>
          <w:rtl w:val="true"/>
        </w:rPr>
        <w:t xml:space="preserve">, </w:t>
      </w:r>
      <w:r>
        <w:rPr>
          <w:rtl w:val="true"/>
        </w:rPr>
        <w:t>ובהינתן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המצוקה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וחוסר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הובילו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לאובדן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עשתונות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. </w:t>
      </w:r>
      <w:r>
        <w:rPr>
          <w:rtl w:val="true"/>
        </w:rPr>
        <w:t>לנוכח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הייחודיות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מובילה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מטעמי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צדק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לנוכח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אשמתו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הנמוכה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ענייננו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החריגים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שהוכרו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סטייה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צדק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להותיר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פתח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תקווה</w:t>
      </w:r>
      <w:r>
        <w:rPr>
          <w:rtl w:val="true"/>
        </w:rPr>
        <w:t xml:space="preserve">"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Fonts w:ascii="Century" w:hAnsi="Century" w:cs="Century"/>
          <w:sz w:val="22"/>
          <w:sz w:val="22"/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לשיטת המדינה</w:t>
      </w:r>
      <w:r>
        <w:rPr>
          <w:rtl w:val="true"/>
        </w:rPr>
        <w:t xml:space="preserve">, </w:t>
      </w:r>
      <w:r>
        <w:rPr>
          <w:rtl w:val="true"/>
        </w:rPr>
        <w:t>עונש המאסר בפועל שנגזר על המערער חורג לקולה באופן משמעותי מהעונש הראוי בגין מעשיו</w:t>
      </w:r>
      <w:r>
        <w:rPr>
          <w:rtl w:val="true"/>
        </w:rPr>
        <w:t xml:space="preserve">; </w:t>
      </w:r>
      <w:r>
        <w:rPr>
          <w:rtl w:val="true"/>
        </w:rPr>
        <w:t>אינו עולה בקנה אחד עם הרפורמה בעבירות ההמתה</w:t>
      </w:r>
      <w:r>
        <w:rPr>
          <w:rtl w:val="true"/>
        </w:rPr>
        <w:t xml:space="preserve">; </w:t>
      </w:r>
      <w:r>
        <w:rPr>
          <w:rtl w:val="true"/>
        </w:rPr>
        <w:t>ואף אינו מתיישב עם מדיניות הענישה הנוהגת בעבירת רצח בכוונה</w:t>
      </w:r>
      <w:r>
        <w:rPr>
          <w:rtl w:val="true"/>
        </w:rPr>
        <w:t xml:space="preserve">. </w:t>
      </w:r>
      <w:r>
        <w:rPr>
          <w:rtl w:val="true"/>
        </w:rPr>
        <w:t>לעמדת המדינה</w:t>
      </w:r>
      <w:r>
        <w:rPr>
          <w:rtl w:val="true"/>
        </w:rPr>
        <w:t xml:space="preserve">, </w:t>
      </w:r>
      <w:r>
        <w:rPr>
          <w:rtl w:val="true"/>
        </w:rPr>
        <w:t>בית המשפט המחוזי שגה והקל הן בקביעת גבולות מתחם העונש ההולם הן בעונש שגזר על המערער בסופו של דבר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והתחשב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שהועלו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ההוכחות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שאלו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מופיעות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והמוסכם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מערכת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היחסים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הניצבת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לרצח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מהתיאור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התמציתי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נושא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. </w:t>
      </w:r>
      <w:r>
        <w:rPr>
          <w:rtl w:val="true"/>
        </w:rPr>
        <w:t>פירוט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הוביל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העדר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</w:t>
      </w:r>
      <w:r>
        <w:rPr>
          <w:rtl w:val="true"/>
        </w:rPr>
        <w:t xml:space="preserve">"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ייאוש</w:t>
      </w:r>
      <w:r>
        <w:rPr>
          <w:rtl w:val="true"/>
        </w:rPr>
        <w:t xml:space="preserve">" </w:t>
      </w:r>
      <w:r>
        <w:rPr>
          <w:rtl w:val="true"/>
        </w:rPr>
        <w:t>מתוך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אובדן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עשתונות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שמידת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השליטה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נפגעה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מעובדות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מתיישב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עמן</w:t>
      </w:r>
      <w:r>
        <w:rPr>
          <w:rtl w:val="true"/>
        </w:rPr>
        <w:t xml:space="preserve">. </w:t>
      </w:r>
      <w:r>
        <w:rPr>
          <w:rtl w:val="true"/>
        </w:rPr>
        <w:t>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בבד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לעובדות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והמוסכם</w:t>
      </w:r>
      <w:r>
        <w:rPr>
          <w:rtl w:val="true"/>
        </w:rPr>
        <w:t xml:space="preserve">, </w:t>
      </w:r>
      <w:r>
        <w:rPr>
          <w:rtl w:val="true"/>
        </w:rPr>
        <w:t>ובכללן</w:t>
      </w:r>
      <w:r>
        <w:rPr>
          <w:rtl w:val="true"/>
        </w:rPr>
        <w:t xml:space="preserve">,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לכרית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מועד</w:t>
      </w:r>
      <w:r>
        <w:rPr>
          <w:rtl w:val="true"/>
        </w:rPr>
        <w:t xml:space="preserve">; </w:t>
      </w:r>
      <w:r>
        <w:rPr>
          <w:rtl w:val="true"/>
        </w:rPr>
        <w:t>כיוון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האקדח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; </w:t>
      </w:r>
      <w:r>
        <w:rPr>
          <w:rtl w:val="true"/>
        </w:rPr>
        <w:t>הציע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להתפלל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;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להזעיק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עזרה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גוסס</w:t>
      </w:r>
      <w:r>
        <w:rPr>
          <w:rtl w:val="true"/>
        </w:rPr>
        <w:t xml:space="preserve">, </w:t>
      </w:r>
      <w:r>
        <w:rPr>
          <w:rtl w:val="true"/>
        </w:rPr>
        <w:t>ובמקום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שיבוש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.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מלמדות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לשיטת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הקרוב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בחומרתו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התכנון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האכזריות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המגולמת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במעשיו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מתחם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עונש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חמור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יותר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לגדרי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מלהלום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המתגבשת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הבסיסית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הרף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התחתון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כרף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העליון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מלבד השגגה בקביעת גדרי מתחם העונש ההולם</w:t>
      </w:r>
      <w:r>
        <w:rPr>
          <w:rtl w:val="true"/>
        </w:rPr>
        <w:t xml:space="preserve">, </w:t>
      </w:r>
      <w:r>
        <w:rPr>
          <w:rtl w:val="true"/>
        </w:rPr>
        <w:t>לשיטת המדינה</w:t>
      </w:r>
      <w:r>
        <w:rPr>
          <w:rtl w:val="true"/>
        </w:rPr>
        <w:t xml:space="preserve">, </w:t>
      </w:r>
      <w:r>
        <w:rPr>
          <w:rtl w:val="true"/>
        </w:rPr>
        <w:t>בית המשפט המחוזי שגה עת חרג לקולה מהמתחם בשל מצבו הרפואי של המערער</w:t>
      </w:r>
      <w:r>
        <w:rPr>
          <w:rtl w:val="true"/>
        </w:rPr>
        <w:t xml:space="preserve">. </w:t>
      </w:r>
      <w:r>
        <w:rPr>
          <w:rtl w:val="true"/>
        </w:rPr>
        <w:t xml:space="preserve">נטען כי לפי הוראות </w:t>
      </w:r>
      <w:hyperlink r:id="rId33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ד</w:t>
        </w:r>
      </w:hyperlink>
      <w:r>
        <w:rPr>
          <w:rtl w:val="true"/>
        </w:rPr>
        <w:t xml:space="preserve"> לחוק</w:t>
      </w:r>
      <w:r>
        <w:rPr>
          <w:rtl w:val="true"/>
        </w:rPr>
        <w:t xml:space="preserve">, </w:t>
      </w:r>
      <w:r>
        <w:rPr>
          <w:rtl w:val="true"/>
        </w:rPr>
        <w:t>ניתן לחרוג לקולה ממתחם העונש ההולם אך ורק בשל שיקולי שיקום</w:t>
      </w:r>
      <w:r>
        <w:rPr>
          <w:rtl w:val="true"/>
        </w:rPr>
        <w:t xml:space="preserve">. </w:t>
      </w:r>
      <w:r>
        <w:rPr>
          <w:rtl w:val="true"/>
        </w:rPr>
        <w:t>אפשרות זו אף היא מסויגת כך שאין לחרוג לקולה כאשר מעשה העבירה ומידת אשמו של הנאשם בעלי חומרה יתרה</w:t>
      </w:r>
      <w:r>
        <w:rPr>
          <w:rtl w:val="true"/>
        </w:rPr>
        <w:t xml:space="preserve">, </w:t>
      </w:r>
      <w:r>
        <w:rPr>
          <w:rtl w:val="true"/>
        </w:rPr>
        <w:t>אלא במקרים יוצאי דופן בלבד</w:t>
      </w:r>
      <w:r>
        <w:rPr>
          <w:rtl w:val="true"/>
        </w:rPr>
        <w:t xml:space="preserve">. </w:t>
      </w:r>
      <w:r>
        <w:rPr>
          <w:rtl w:val="true"/>
        </w:rPr>
        <w:t>בצד האמור</w:t>
      </w:r>
      <w:r>
        <w:rPr>
          <w:rtl w:val="true"/>
        </w:rPr>
        <w:t xml:space="preserve">, </w:t>
      </w:r>
      <w:r>
        <w:rPr>
          <w:rtl w:val="true"/>
        </w:rPr>
        <w:t>צוין כי במספר מצומצם של מקרים חריגים הותר לחרוג לקולה מהמתחם גם משיקולים של מצב רפואי</w:t>
      </w:r>
      <w:r>
        <w:rPr>
          <w:rtl w:val="true"/>
        </w:rPr>
        <w:t xml:space="preserve">, </w:t>
      </w:r>
      <w:r>
        <w:rPr>
          <w:rtl w:val="true"/>
        </w:rPr>
        <w:t>כאשר ענישה מאחורי סורג ובריח עלולה לקצר בצורה ניכרת את תוחלת חייו של הנאשם</w:t>
      </w:r>
      <w:r>
        <w:rPr>
          <w:rtl w:val="true"/>
        </w:rPr>
        <w:t xml:space="preserve">. </w:t>
      </w:r>
      <w:r>
        <w:rPr>
          <w:rtl w:val="true"/>
        </w:rPr>
        <w:t>לעמדת המדינה</w:t>
      </w:r>
      <w:r>
        <w:rPr>
          <w:rtl w:val="true"/>
        </w:rPr>
        <w:t xml:space="preserve">, </w:t>
      </w:r>
      <w:r>
        <w:rPr>
          <w:rtl w:val="true"/>
        </w:rPr>
        <w:t>המקרה שלפנינו אינו נכנס בגדרי החריג</w:t>
      </w:r>
      <w:r>
        <w:rPr>
          <w:rtl w:val="true"/>
        </w:rPr>
        <w:t xml:space="preserve">, </w:t>
      </w:r>
      <w:r>
        <w:rPr>
          <w:rtl w:val="true"/>
        </w:rPr>
        <w:t>משנטען כי המערער לא הגיש תיעוד רפואי אשר ממנו עולה כי שירות בתי הסוהר אינו ערוך לטפל בו וכי המאסר עלול לקצר בצורה ניכרת את תוחלת חייו</w:t>
      </w:r>
      <w:r>
        <w:rPr>
          <w:rtl w:val="true"/>
        </w:rPr>
        <w:t xml:space="preserve">. </w:t>
      </w:r>
      <w:r>
        <w:rPr>
          <w:rtl w:val="true"/>
        </w:rPr>
        <w:t>עוד נטען כי גם איזון בין מצבו הרפואי לבין מסוכנותו הרבה מוביל למסקנה כי אין מקום לחרוג לקולה מגדרי המתחם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להשלמה יצוין</w:t>
      </w:r>
      <w:r>
        <w:rPr>
          <w:rtl w:val="true"/>
        </w:rPr>
        <w:t xml:space="preserve">, </w:t>
      </w:r>
      <w:r>
        <w:rPr>
          <w:rtl w:val="true"/>
        </w:rPr>
        <w:t>כי במענה לערעור המדינה</w:t>
      </w:r>
      <w:r>
        <w:rPr>
          <w:rtl w:val="true"/>
        </w:rPr>
        <w:t xml:space="preserve">, </w:t>
      </w:r>
      <w:r>
        <w:rPr>
          <w:rtl w:val="true"/>
        </w:rPr>
        <w:t xml:space="preserve">המערער השיב כי בית המשפט המחוזי היה </w:t>
      </w:r>
      <w:r>
        <w:rPr>
          <w:rtl w:val="true"/>
        </w:rPr>
        <w:t>"</w:t>
      </w:r>
      <w:r>
        <w:rPr>
          <w:rtl w:val="true"/>
        </w:rPr>
        <w:t>ער לגבולותיו של כתב האישום המתוקן</w:t>
      </w:r>
      <w:r>
        <w:rPr>
          <w:rtl w:val="true"/>
        </w:rPr>
        <w:t xml:space="preserve">", </w:t>
      </w:r>
      <w:r>
        <w:rPr>
          <w:rtl w:val="true"/>
        </w:rPr>
        <w:t>וכי העובדות שנסקרו בגזר הדין אינן סותרות את כתב האישום ואף אינן מצויות במחלוקת בין הצדדים</w:t>
      </w:r>
      <w:r>
        <w:rPr>
          <w:rtl w:val="true"/>
        </w:rPr>
        <w:t xml:space="preserve">. </w:t>
      </w:r>
      <w:r>
        <w:rPr>
          <w:rtl w:val="true"/>
        </w:rPr>
        <w:t>עוד הודגש כי התייחסות לעובדות הקשורות בביצוע העבירה שאינן מופיעות באופן מפורש בכתב האישום המתוקן</w:t>
      </w:r>
      <w:r>
        <w:rPr>
          <w:rtl w:val="true"/>
        </w:rPr>
        <w:t xml:space="preserve">, </w:t>
      </w:r>
      <w:r>
        <w:rPr>
          <w:rtl w:val="true"/>
        </w:rPr>
        <w:t xml:space="preserve">ואשר יש בהן כדי ליצוק תוכן עבור החודשים שקדמו לרצח בהם חיי המערער הפכו </w:t>
      </w:r>
      <w:r>
        <w:rPr>
          <w:rtl w:val="true"/>
        </w:rPr>
        <w:t>"</w:t>
      </w:r>
      <w:r>
        <w:rPr>
          <w:rtl w:val="true"/>
        </w:rPr>
        <w:t>לסיוט עלי אדמות</w:t>
      </w:r>
      <w:r>
        <w:rPr>
          <w:rtl w:val="true"/>
        </w:rPr>
        <w:t xml:space="preserve">"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 xml:space="preserve">היא </w:t>
      </w:r>
      <w:r>
        <w:rPr>
          <w:rtl w:val="true"/>
        </w:rPr>
        <w:t>"</w:t>
      </w:r>
      <w:r>
        <w:rPr>
          <w:rtl w:val="true"/>
        </w:rPr>
        <w:t>הכרחית כדי למנוע עיוות דין</w:t>
      </w:r>
      <w:r>
        <w:rPr>
          <w:rtl w:val="true"/>
        </w:rPr>
        <w:t xml:space="preserve">".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כלל</w:t>
      </w:r>
      <w:r>
        <w:rPr>
          <w:rtl w:val="true"/>
        </w:rPr>
        <w:t xml:space="preserve"> </w:t>
      </w:r>
      <w:r>
        <w:rPr>
          <w:rtl w:val="true"/>
        </w:rPr>
        <w:t>ידוע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 </w:t>
      </w:r>
      <w:r>
        <w:rPr>
          <w:rtl w:val="true"/>
        </w:rPr>
        <w:t>ייטה</w:t>
      </w:r>
      <w:r>
        <w:rPr>
          <w:rtl w:val="true"/>
        </w:rPr>
        <w:t xml:space="preserve"> </w:t>
      </w:r>
      <w:r>
        <w:rPr>
          <w:rtl w:val="true"/>
        </w:rPr>
        <w:t>שלא</w:t>
      </w:r>
      <w:r>
        <w:rPr>
          <w:rtl w:val="true"/>
        </w:rPr>
        <w:t xml:space="preserve"> </w:t>
      </w:r>
      <w:r>
        <w:rPr>
          <w:rtl w:val="true"/>
        </w:rPr>
        <w:t>להתערב</w:t>
      </w:r>
      <w:r>
        <w:rPr>
          <w:rtl w:val="true"/>
        </w:rPr>
        <w:t xml:space="preserve"> </w:t>
      </w:r>
      <w:r>
        <w:rPr>
          <w:rtl w:val="true"/>
        </w:rPr>
        <w:t>בעונש</w:t>
      </w:r>
      <w:r>
        <w:rPr>
          <w:rtl w:val="true"/>
        </w:rPr>
        <w:t xml:space="preserve"> </w:t>
      </w:r>
      <w:r>
        <w:rPr>
          <w:rtl w:val="true"/>
        </w:rPr>
        <w:t xml:space="preserve">שנגזר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ידי</w:t>
      </w:r>
      <w:r>
        <w:rPr>
          <w:rtl w:val="true"/>
        </w:rPr>
        <w:t xml:space="preserve"> </w:t>
      </w:r>
      <w:r>
        <w:rPr>
          <w:rtl w:val="true"/>
        </w:rPr>
        <w:t>הערכאה</w:t>
      </w:r>
      <w:r>
        <w:rPr>
          <w:rtl w:val="true"/>
        </w:rPr>
        <w:t xml:space="preserve"> </w:t>
      </w:r>
      <w:r>
        <w:rPr>
          <w:rtl w:val="true"/>
        </w:rPr>
        <w:t>הדיונית</w:t>
      </w:r>
      <w:r>
        <w:rPr>
          <w:rtl w:val="true"/>
        </w:rPr>
        <w:t xml:space="preserve"> </w:t>
      </w:r>
      <w:r>
        <w:rPr>
          <w:rtl w:val="true"/>
        </w:rPr>
        <w:t>אלא</w:t>
      </w:r>
      <w:r>
        <w:rPr>
          <w:rtl w:val="true"/>
        </w:rPr>
        <w:t xml:space="preserve"> </w:t>
      </w:r>
      <w:r>
        <w:rPr>
          <w:rtl w:val="true"/>
        </w:rPr>
        <w:t>במקרים</w:t>
      </w:r>
      <w:r>
        <w:rPr>
          <w:rtl w:val="true"/>
        </w:rPr>
        <w:t xml:space="preserve"> </w:t>
      </w:r>
      <w:r>
        <w:rPr>
          <w:rtl w:val="true"/>
        </w:rPr>
        <w:t>שבהם</w:t>
      </w:r>
      <w:r>
        <w:rPr>
          <w:rtl w:val="true"/>
        </w:rPr>
        <w:t xml:space="preserve"> </w:t>
      </w:r>
      <w:r>
        <w:rPr>
          <w:rtl w:val="true"/>
        </w:rPr>
        <w:t>ניכרת</w:t>
      </w:r>
      <w:r>
        <w:rPr>
          <w:rtl w:val="true"/>
        </w:rPr>
        <w:t xml:space="preserve"> </w:t>
      </w:r>
      <w:r>
        <w:rPr>
          <w:rtl w:val="true"/>
        </w:rPr>
        <w:t>חריגה</w:t>
      </w:r>
      <w:r>
        <w:rPr>
          <w:rtl w:val="true"/>
        </w:rPr>
        <w:t xml:space="preserve"> </w:t>
      </w:r>
      <w:r>
        <w:rPr>
          <w:rtl w:val="true"/>
        </w:rPr>
        <w:t>קיצונית</w:t>
      </w:r>
      <w:r>
        <w:rPr>
          <w:rtl w:val="true"/>
        </w:rPr>
        <w:t xml:space="preserve"> </w:t>
      </w:r>
      <w:r>
        <w:rPr>
          <w:rtl w:val="true"/>
        </w:rPr>
        <w:t>ממדיניות</w:t>
      </w:r>
      <w:r>
        <w:rPr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 </w:t>
      </w:r>
      <w:r>
        <w:rPr>
          <w:rtl w:val="true"/>
        </w:rPr>
        <w:t>במקרים</w:t>
      </w:r>
      <w:r>
        <w:rPr>
          <w:rtl w:val="true"/>
        </w:rPr>
        <w:t xml:space="preserve"> </w:t>
      </w:r>
      <w:r>
        <w:rPr>
          <w:rtl w:val="true"/>
        </w:rPr>
        <w:t>דומים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tl w:val="true"/>
        </w:rPr>
        <w:t xml:space="preserve"> </w:t>
      </w:r>
      <w:r>
        <w:rPr>
          <w:rtl w:val="true"/>
        </w:rPr>
        <w:t>כאשר</w:t>
      </w:r>
      <w:r>
        <w:rPr>
          <w:rtl w:val="true"/>
        </w:rPr>
        <w:t xml:space="preserve"> </w:t>
      </w:r>
      <w:r>
        <w:rPr>
          <w:rtl w:val="true"/>
        </w:rPr>
        <w:t>נפלה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פני</w:t>
      </w:r>
      <w:r>
        <w:rPr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 </w:t>
      </w:r>
      <w:r>
        <w:rPr>
          <w:rtl w:val="true"/>
        </w:rPr>
        <w:t>טעות</w:t>
      </w:r>
      <w:r>
        <w:rPr>
          <w:rtl w:val="true"/>
        </w:rPr>
        <w:t xml:space="preserve"> </w:t>
      </w:r>
      <w:r>
        <w:rPr>
          <w:rtl w:val="true"/>
        </w:rPr>
        <w:t>מהותית</w:t>
      </w:r>
      <w:r>
        <w:rPr>
          <w:rtl w:val="true"/>
        </w:rPr>
        <w:t xml:space="preserve"> </w:t>
      </w:r>
      <w:r>
        <w:rPr>
          <w:rtl w:val="true"/>
        </w:rPr>
        <w:t>ובולטת</w:t>
      </w:r>
      <w:r>
        <w:rPr>
          <w:rtl w:val="true"/>
        </w:rPr>
        <w:t xml:space="preserve"> </w:t>
      </w:r>
      <w:r>
        <w:rPr>
          <w:rtl w:val="true"/>
        </w:rPr>
        <w:t>בגזר</w:t>
      </w:r>
      <w:r>
        <w:rPr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 </w:t>
      </w:r>
      <w:r>
        <w:rPr>
          <w:rtl w:val="true"/>
        </w:rPr>
        <w:t>(</w:t>
      </w:r>
      <w:hyperlink r:id="rId3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2079/22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יראת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13.</w:t>
      </w:r>
      <w:r>
        <w:rPr/>
        <w:t>8</w:t>
      </w:r>
      <w:r>
        <w:rPr/>
        <w:t>.2023</w:t>
      </w:r>
      <w:r>
        <w:rPr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יחד עם זאת</w:t>
      </w:r>
      <w:r>
        <w:rPr>
          <w:rtl w:val="true"/>
        </w:rPr>
        <w:t xml:space="preserve">, </w:t>
      </w:r>
      <w:r>
        <w:rPr>
          <w:rtl w:val="true"/>
        </w:rPr>
        <w:t>המקרה</w:t>
      </w:r>
      <w:r>
        <w:rPr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 xml:space="preserve"> </w:t>
      </w:r>
      <w:r>
        <w:rPr>
          <w:rtl w:val="true"/>
        </w:rPr>
        <w:t>נמנה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המקרים</w:t>
      </w:r>
      <w:r>
        <w:rPr>
          <w:rtl w:val="true"/>
        </w:rPr>
        <w:t xml:space="preserve"> </w:t>
      </w:r>
      <w:r>
        <w:rPr>
          <w:rtl w:val="true"/>
        </w:rPr>
        <w:t>המצדיקים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התערבות</w:t>
      </w:r>
      <w:r>
        <w:rPr>
          <w:rtl w:val="true"/>
        </w:rPr>
        <w:t xml:space="preserve"> </w:t>
      </w:r>
      <w:r>
        <w:rPr>
          <w:rtl w:val="true"/>
        </w:rPr>
        <w:t>ערכאת</w:t>
      </w:r>
      <w:r>
        <w:rPr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, </w:t>
      </w:r>
      <w:r>
        <w:rPr>
          <w:rtl w:val="true"/>
        </w:rPr>
        <w:t>היות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העונש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tl w:val="true"/>
        </w:rPr>
        <w:t xml:space="preserve"> </w:t>
      </w:r>
      <w:r>
        <w:rPr>
          <w:rtl w:val="true"/>
        </w:rPr>
        <w:t>הושת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מקל</w:t>
      </w:r>
      <w:r>
        <w:rPr>
          <w:rtl w:val="true"/>
        </w:rPr>
        <w:t xml:space="preserve"> </w:t>
      </w:r>
      <w:r>
        <w:rPr>
          <w:rtl w:val="true"/>
        </w:rPr>
        <w:t>עמו</w:t>
      </w:r>
      <w:r>
        <w:rPr>
          <w:rtl w:val="true"/>
        </w:rPr>
        <w:t xml:space="preserve"> </w:t>
      </w:r>
      <w:r>
        <w:rPr>
          <w:rtl w:val="true"/>
        </w:rPr>
        <w:t>יתר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המידה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הן בקביעת מתחם העונש ההולם את חומרת מעשיו הן באשר לעונש אשר נגזר עליו לבסוף תוך חריגה לקולה מהמתחם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FrankRuehl" w:hAnsi="FrankRuehl" w:cs="FrankRuehl"/>
          <w:color w:val="000000"/>
          <w:sz w:val="28"/>
          <w:shd w:fill="FFFFFF" w:val="clear"/>
        </w:rPr>
      </w:pPr>
      <w:r>
        <w:rPr>
          <w:rtl w:val="true"/>
        </w:rPr>
        <w:tab/>
      </w:r>
      <w:r>
        <w:rPr>
          <w:rtl w:val="true"/>
        </w:rPr>
        <w:t>טעם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שנדרשת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התערבותנו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בקביעת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shd w:fill="FFFFFF" w:val="clear"/>
          <w:rtl w:val="true"/>
        </w:rPr>
        <w:t>ועיצוב מדיניות הענישה בראי הרפורמה בעבירות ההמתה</w:t>
      </w:r>
      <w:r>
        <w:rPr>
          <w:rtl w:val="true"/>
        </w:rPr>
        <w:t xml:space="preserve">. </w:t>
      </w: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הערתי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ששיקול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רחב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מלאכת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קיימת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חשיבות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רבה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לכך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ששיקול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השיפוטי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הרחב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יוביל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לענישה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שונה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במקרים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דומים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[...]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לדידי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חשש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קיים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כאשר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מדובר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בעבירת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הרצח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הבסיסית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ולו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מאחר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שעבירה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נושאת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עמה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עונש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מרבי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מאסר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עולם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מכאן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שטווח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הענישה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בגדרה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עלול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בהעדר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התוויית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ענישה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סדורה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רחב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באופן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בלתי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רצוי</w:t>
      </w:r>
      <w:r>
        <w:rPr>
          <w:rtl w:val="true"/>
        </w:rPr>
        <w:t>" (</w:t>
      </w:r>
      <w:hyperlink r:id="rId3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1442/22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ניקולקין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28.5.2023</w:t>
      </w:r>
      <w:r>
        <w:rPr>
          <w:rtl w:val="true"/>
        </w:rPr>
        <w:t>)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ניקולקין</w:t>
      </w:r>
      <w:r>
        <w:rPr>
          <w:rtl w:val="true"/>
        </w:rPr>
        <w:t>)</w:t>
      </w:r>
      <w:r>
        <w:rPr>
          <w:rtl w:val="true"/>
        </w:rPr>
        <w:t>).</w:t>
      </w:r>
    </w:p>
    <w:p>
      <w:pPr>
        <w:pStyle w:val="Ruller41"/>
        <w:ind w:end="0"/>
        <w:jc w:val="both"/>
        <w:rPr>
          <w:rFonts w:ascii="FrankRuehl" w:hAnsi="FrankRuehl" w:cs="FrankRuehl"/>
          <w:color w:val="000000"/>
          <w:sz w:val="28"/>
          <w:shd w:fill="FFFFFF" w:val="clear"/>
        </w:rPr>
      </w:pP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>
          <w:shd w:fill="FFFFFF" w:val="clear"/>
        </w:rPr>
      </w:pPr>
      <w:r>
        <w:rPr>
          <w:shd w:fill="FFFFFF" w:val="clear"/>
          <w:rtl w:val="true"/>
        </w:rPr>
        <w:t xml:space="preserve">שתי סוגיות מרכזיות ניצבות בערעורים שלפנינו </w:t>
      </w:r>
      <w:r>
        <w:rPr>
          <w:shd w:fill="FFFFFF" w:val="clear"/>
          <w:rtl w:val="true"/>
        </w:rPr>
        <w:t>–</w:t>
      </w:r>
      <w:r>
        <w:rPr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האחת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גדרי מתחם העונש ההולם בעניינו של המערער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בהתחשב בסכסוך שקדם לרצח וביתר נסיבות מעשה העבירה</w:t>
      </w:r>
      <w:r>
        <w:rPr>
          <w:shd w:fill="FFFFFF" w:val="clear"/>
          <w:rtl w:val="true"/>
        </w:rPr>
        <w:t xml:space="preserve">;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השנייה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חריגה לקולה מגדרי מתחם הענישה בעבירת הרצח הבסיסית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הן במישור העקרוני הן בעניינו הפרטני של המערער דנן</w:t>
      </w:r>
      <w:r>
        <w:rPr>
          <w:shd w:fill="FFFFFF" w:val="clear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shd w:fill="FFFFFF" w:val="clear"/>
        </w:rPr>
      </w:pPr>
      <w:r>
        <w:rPr>
          <w:shd w:fill="FFFFFF" w:val="clear"/>
          <w:rtl w:val="true"/>
        </w:rPr>
        <w:tab/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  <w:t>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)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גדרי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מתחם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העונש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ההולם</w:t>
      </w:r>
    </w:p>
    <w:p>
      <w:pPr>
        <w:pStyle w:val="Ruller41"/>
        <w:ind w:end="0"/>
        <w:jc w:val="both"/>
        <w:rPr>
          <w:rFonts w:ascii="FrankRuehl" w:hAnsi="FrankRuehl" w:cs="FrankRuehl"/>
          <w:b/>
          <w:color w:val="000000"/>
          <w:spacing w:val="0"/>
          <w:sz w:val="28"/>
          <w:szCs w:val="24"/>
          <w:shd w:fill="FFFFFF" w:val="clear"/>
        </w:rPr>
      </w:pPr>
      <w:r>
        <w:rPr>
          <w:rFonts w:cs="FrankRuehl" w:ascii="FrankRuehl" w:hAnsi="FrankRuehl"/>
          <w:b/>
          <w:color w:val="000000"/>
          <w:spacing w:val="0"/>
          <w:sz w:val="28"/>
          <w:szCs w:val="24"/>
          <w:shd w:fill="FFFFFF" w:val="clear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shd w:fill="FFFFFF" w:val="clear"/>
          <w:rtl w:val="true"/>
        </w:rPr>
        <w:t>מאז כניסת הרפורמה בעבירות ההמתה לתוקף הולכת ומתעצבת מדיניות הענישה הנוהגת</w:t>
      </w:r>
      <w:r>
        <w:rPr>
          <w:shd w:fill="FFFFFF" w:val="clear"/>
          <w:rtl w:val="true"/>
        </w:rPr>
        <w:t xml:space="preserve">. </w:t>
      </w:r>
      <w:r>
        <w:rPr>
          <w:shd w:fill="FFFFFF" w:val="clear"/>
          <w:rtl w:val="true"/>
        </w:rPr>
        <w:t>כך בין היתר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בעניינה של עבירת הרצח הבסיסית ביסוד נפשי של כוונה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 xml:space="preserve">פסקי הדין של בית משפט זה מוסיפים נדבך על גבי נדבך לכדי גיבוש ענישה הולמת ומתאימה </w:t>
      </w:r>
      <w:r>
        <w:rPr>
          <w:shd w:fill="FFFFFF" w:val="clear"/>
          <w:rtl w:val="true"/>
        </w:rPr>
        <w:t>(</w:t>
      </w:r>
      <w:r>
        <w:rPr>
          <w:shd w:fill="FFFFFF" w:val="clear"/>
          <w:rtl w:val="true"/>
        </w:rPr>
        <w:t>ראו בהרחבה</w:t>
      </w:r>
      <w:r>
        <w:rPr>
          <w:shd w:fill="FFFFFF" w:val="clear"/>
          <w:rtl w:val="true"/>
        </w:rPr>
        <w:t xml:space="preserve">: </w:t>
      </w:r>
      <w:hyperlink r:id="rId36">
        <w:r>
          <w:rPr>
            <w:rStyle w:val="Hyperlink"/>
            <w:color w:val="0000FF"/>
            <w:u w:val="single"/>
            <w:shd w:fill="FFFFFF" w:val="clear"/>
            <w:rtl w:val="true"/>
          </w:rPr>
          <w:t>ע</w:t>
        </w:r>
        <w:r>
          <w:rPr>
            <w:rStyle w:val="Hyperlink"/>
            <w:color w:val="0000FF"/>
            <w:u w:val="single"/>
            <w:shd w:fill="FFFFFF" w:val="clear"/>
            <w:rtl w:val="true"/>
          </w:rPr>
          <w:t>"</w:t>
        </w:r>
        <w:r>
          <w:rPr>
            <w:rStyle w:val="Hyperlink"/>
            <w:color w:val="0000FF"/>
            <w:u w:val="single"/>
            <w:shd w:fill="FFFFFF" w:val="clear"/>
            <w:rtl w:val="true"/>
          </w:rPr>
          <w:t>פ</w:t>
        </w:r>
        <w:r>
          <w:rPr>
            <w:rStyle w:val="Hyperlink"/>
            <w:color w:val="0000FF"/>
            <w:u w:val="single"/>
            <w:shd w:fill="FFFFFF" w:val="clear"/>
            <w:rtl w:val="true"/>
          </w:rPr>
          <w:t xml:space="preserve"> </w:t>
        </w:r>
        <w:r>
          <w:rPr>
            <w:rStyle w:val="Hyperlink"/>
            <w:color w:val="0000FF"/>
            <w:u w:val="single"/>
            <w:shd w:fill="FFFFFF" w:val="clear"/>
          </w:rPr>
          <w:t>1188/23</w:t>
        </w:r>
      </w:hyperlink>
      <w:r>
        <w:rPr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אלעמורי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shd w:fill="FFFFFF" w:val="clear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ישראל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 xml:space="preserve">פסקאות </w:t>
      </w:r>
      <w:r>
        <w:rPr>
          <w:shd w:fill="FFFFFF" w:val="clear"/>
        </w:rPr>
        <w:t>13-10</w:t>
      </w:r>
      <w:r>
        <w:rPr>
          <w:shd w:fill="FFFFFF" w:val="clear"/>
          <w:rtl w:val="true"/>
        </w:rPr>
        <w:t xml:space="preserve"> [</w:t>
      </w:r>
      <w:r>
        <w:rPr>
          <w:shd w:fill="FFFFFF" w:val="clear"/>
          <w:rtl w:val="true"/>
        </w:rPr>
        <w:t>נבו</w:t>
      </w:r>
      <w:r>
        <w:rPr>
          <w:shd w:fill="FFFFFF" w:val="clear"/>
          <w:rtl w:val="true"/>
        </w:rPr>
        <w:t>]</w:t>
      </w:r>
      <w:r>
        <w:rPr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(</w:t>
      </w:r>
      <w:r>
        <w:rPr>
          <w:shd w:fill="FFFFFF" w:val="clear"/>
        </w:rPr>
        <w:t>16.</w:t>
      </w:r>
      <w:r>
        <w:rPr>
          <w:shd w:fill="FFFFFF" w:val="clear"/>
        </w:rPr>
        <w:t>7</w:t>
      </w:r>
      <w:r>
        <w:rPr>
          <w:shd w:fill="FFFFFF" w:val="clear"/>
        </w:rPr>
        <w:t>.2023</w:t>
      </w:r>
      <w:r>
        <w:rPr>
          <w:shd w:fill="FFFFFF" w:val="clear"/>
          <w:rtl w:val="true"/>
        </w:rPr>
        <w:t>)</w:t>
      </w:r>
      <w:r>
        <w:rPr>
          <w:shd w:fill="FFFFFF" w:val="clear"/>
          <w:rtl w:val="true"/>
        </w:rPr>
        <w:t xml:space="preserve">; </w:t>
      </w:r>
      <w:r>
        <w:rPr>
          <w:shd w:fill="FFFFFF" w:val="clear"/>
          <w:rtl w:val="true"/>
        </w:rPr>
        <w:t>וראו</w:t>
      </w:r>
      <w:r>
        <w:rPr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גם</w:t>
      </w:r>
      <w:r>
        <w:rPr>
          <w:shd w:fill="FFFFFF" w:val="clear"/>
          <w:rtl w:val="true"/>
        </w:rPr>
        <w:t xml:space="preserve">: </w:t>
      </w:r>
      <w:r>
        <w:rPr>
          <w:shd w:fill="FFFFFF" w:val="clear"/>
          <w:rtl w:val="true"/>
        </w:rPr>
        <w:t>יוסף</w:t>
      </w:r>
      <w:r>
        <w:rPr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אלרון</w:t>
      </w:r>
      <w:r>
        <w:rPr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"</w:t>
      </w:r>
      <w:r>
        <w:rPr>
          <w:shd w:fill="FFFFFF" w:val="clear"/>
          <w:rtl w:val="true"/>
        </w:rPr>
        <w:t>על</w:t>
      </w:r>
      <w:r>
        <w:rPr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אבני</w:t>
      </w:r>
      <w:r>
        <w:rPr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הדרך</w:t>
      </w:r>
      <w:r>
        <w:rPr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בעיצוב</w:t>
      </w:r>
      <w:r>
        <w:rPr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מדיניות</w:t>
      </w:r>
      <w:r>
        <w:rPr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הענישה</w:t>
      </w:r>
      <w:r>
        <w:rPr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בעבירת</w:t>
      </w:r>
      <w:r>
        <w:rPr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הרצח</w:t>
      </w:r>
      <w:r>
        <w:rPr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הבסיסית</w:t>
      </w:r>
      <w:r>
        <w:rPr>
          <w:shd w:fill="FFFFFF" w:val="clear"/>
          <w:rtl w:val="true"/>
        </w:rPr>
        <w:t xml:space="preserve">"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ספר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לכבודו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ניל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הנדל</w:t>
      </w:r>
      <w:r>
        <w:rPr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(</w:t>
      </w:r>
      <w:r>
        <w:rPr>
          <w:shd w:fill="FFFFFF" w:val="clear"/>
          <w:rtl w:val="true"/>
        </w:rPr>
        <w:t>טרם</w:t>
      </w:r>
      <w:r>
        <w:rPr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פורסם</w:t>
      </w:r>
      <w:r>
        <w:rPr>
          <w:shd w:fill="FFFFFF" w:val="clear"/>
          <w:rtl w:val="true"/>
        </w:rPr>
        <w:t>)</w:t>
      </w:r>
      <w:r>
        <w:rPr>
          <w:shd w:fill="FFFFFF" w:val="clear"/>
          <w:rtl w:val="true"/>
        </w:rPr>
        <w:t xml:space="preserve">). </w:t>
      </w:r>
      <w:r>
        <w:rPr>
          <w:rtl w:val="true"/>
        </w:rPr>
        <w:t xml:space="preserve">כפי שציינתי בעבר </w:t>
      </w:r>
      <w:r>
        <w:rPr>
          <w:rtl w:val="true"/>
        </w:rPr>
        <w:t>"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דומה כי מהפסיקה שהתגבשה עד כה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ניתן להתרשם שעל פי רוב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ומבלי לקבוע מסמרות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העונש בגין רצח בכוונה יהא בין </w:t>
      </w:r>
      <w:r>
        <w:rPr>
          <w:rFonts w:cs="FrankRuehl" w:ascii="FrankRuehl" w:hAnsi="FrankRuehl"/>
          <w:color w:val="000000"/>
          <w:sz w:val="28"/>
        </w:rPr>
        <w:t>25</w:t>
      </w:r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שנות מאסר בפועל לעונש של מאסר עולם</w:t>
      </w:r>
      <w:r>
        <w:rPr>
          <w:rFonts w:cs="FrankRuehl" w:ascii="FrankRuehl" w:hAnsi="FrankRuehl"/>
          <w:color w:val="000000"/>
          <w:sz w:val="28"/>
          <w:rtl w:val="true"/>
        </w:rPr>
        <w:t>"</w:t>
      </w:r>
      <w:r>
        <w:rPr>
          <w:rtl w:val="true"/>
        </w:rPr>
        <w:t xml:space="preserve"> (</w:t>
      </w:r>
      <w:hyperlink r:id="rId3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6063/21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יאסין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63</w:t>
      </w:r>
      <w:r>
        <w:rPr>
          <w:rtl w:val="true"/>
        </w:rPr>
        <w:t xml:space="preserve"> 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26.</w:t>
      </w:r>
      <w:r>
        <w:rPr/>
        <w:t>3</w:t>
      </w:r>
      <w:r>
        <w:rPr/>
        <w:t>.2024</w:t>
      </w:r>
      <w:r>
        <w:rPr>
          <w:rtl w:val="true"/>
        </w:rPr>
        <w:t>)</w:t>
      </w:r>
      <w:r>
        <w:rPr>
          <w:rtl w:val="true"/>
        </w:rPr>
        <w:t xml:space="preserve">; </w:t>
      </w:r>
      <w:r>
        <w:rPr>
          <w:rtl w:val="true"/>
        </w:rPr>
        <w:t>ולעניין עיצוב מתחם העונש ההולם</w:t>
      </w:r>
      <w:r>
        <w:rPr>
          <w:rtl w:val="true"/>
        </w:rPr>
        <w:t xml:space="preserve">, 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מני רבים</w:t>
      </w:r>
      <w:r>
        <w:rPr>
          <w:rtl w:val="true"/>
        </w:rPr>
        <w:t xml:space="preserve">: </w:t>
      </w:r>
      <w:hyperlink r:id="rId3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1077/22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קאדר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1</w:t>
      </w:r>
      <w:r>
        <w:rPr/>
        <w:t>.</w:t>
      </w:r>
      <w:r>
        <w:rPr/>
        <w:t>6</w:t>
      </w:r>
      <w:r>
        <w:rPr/>
        <w:t>.2022</w:t>
      </w:r>
      <w:r>
        <w:rPr>
          <w:rtl w:val="true"/>
        </w:rPr>
        <w:t>)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קאדר</w:t>
      </w:r>
      <w:r>
        <w:rPr>
          <w:rtl w:val="true"/>
        </w:rPr>
        <w:t xml:space="preserve">); </w:t>
      </w:r>
      <w:hyperlink r:id="rId3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1213/21</w:t>
        </w:r>
      </w:hyperlink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וואסה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11.</w:t>
      </w:r>
      <w:r>
        <w:rPr/>
        <w:t>8</w:t>
      </w:r>
      <w:r>
        <w:rPr/>
        <w:t>.2022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4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1978/21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עמאש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7.6</w:t>
      </w:r>
      <w:r>
        <w:rPr/>
        <w:t>.2023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4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4019/23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סרארי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12.</w:t>
      </w:r>
      <w:r>
        <w:rPr/>
        <w:t>5</w:t>
      </w:r>
      <w:r>
        <w:rPr/>
        <w:t>.2024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4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4149/23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עומאר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23.</w:t>
      </w:r>
      <w:r>
        <w:rPr/>
        <w:t>6</w:t>
      </w:r>
      <w:r>
        <w:rPr/>
        <w:t>.2024</w:t>
      </w:r>
      <w:r>
        <w:rPr>
          <w:rtl w:val="true"/>
        </w:rPr>
        <w:t>)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עומאר</w:t>
      </w:r>
      <w:r>
        <w:rPr>
          <w:rtl w:val="true"/>
        </w:rPr>
        <w:t>)).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ונסיבותיו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רחב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בגזירת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הרוצח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הנידון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בפניו</w:t>
      </w:r>
      <w:r>
        <w:rPr>
          <w:rtl w:val="true"/>
        </w:rPr>
        <w:t xml:space="preserve">.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מגובשת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נצרכת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למנוע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גדולים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מוצדקים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שביצעו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דומות</w:t>
      </w:r>
      <w:r>
        <w:rPr>
          <w:rtl w:val="true"/>
        </w:rPr>
        <w:t xml:space="preserve">. </w:t>
      </w:r>
      <w:r>
        <w:rPr>
          <w:rtl w:val="true"/>
        </w:rPr>
        <w:t>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מתחדד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הבסיסית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ניקולקין</w:t>
      </w:r>
      <w:r>
        <w:rPr>
          <w:rtl w:val="true"/>
        </w:rPr>
        <w:t xml:space="preserve">, </w:t>
      </w:r>
      <w:r>
        <w:rPr>
          <w:rtl w:val="true"/>
        </w:rPr>
        <w:t>בפסקה</w:t>
      </w:r>
      <w:r>
        <w:rPr>
          <w:rFonts w:eastAsia="Arial TUR;Arial" w:cs="Arial TUR;Arial"/>
          <w:rtl w:val="true"/>
        </w:rPr>
        <w:t xml:space="preserve"> </w:t>
      </w:r>
      <w:r>
        <w:rPr/>
        <w:t>14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על רקע זה</w:t>
      </w:r>
      <w:r>
        <w:rPr>
          <w:rtl w:val="true"/>
        </w:rPr>
        <w:t xml:space="preserve">, </w:t>
      </w:r>
      <w:r>
        <w:rPr>
          <w:rtl w:val="true"/>
        </w:rPr>
        <w:t xml:space="preserve">מתבהר כי מתחם העונש ההולם שקבע בית המשפט המחוזי בעניינו של המערער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 xml:space="preserve">עד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 xml:space="preserve">, </w:t>
      </w:r>
      <w:r>
        <w:rPr>
          <w:rtl w:val="true"/>
        </w:rPr>
        <w:t>מקל באופן משמעותי ביחס לענישה הנוהגת</w:t>
      </w:r>
      <w:r>
        <w:rPr>
          <w:rtl w:val="true"/>
        </w:rPr>
        <w:t xml:space="preserve">. </w:t>
      </w:r>
      <w:r>
        <w:rPr>
          <w:rtl w:val="true"/>
        </w:rPr>
        <w:t>בית משפט קמא היה ער למורכבות זו</w:t>
      </w:r>
      <w:r>
        <w:rPr>
          <w:rtl w:val="true"/>
        </w:rPr>
        <w:t xml:space="preserve">, </w:t>
      </w:r>
      <w:r>
        <w:rPr>
          <w:rtl w:val="true"/>
        </w:rPr>
        <w:t>אלא שלדידו כאמור</w:t>
      </w:r>
      <w:r>
        <w:rPr>
          <w:rtl w:val="true"/>
        </w:rPr>
        <w:t xml:space="preserve">, </w:t>
      </w:r>
      <w:r>
        <w:rPr>
          <w:rtl w:val="true"/>
        </w:rPr>
        <w:t xml:space="preserve">מתקיימות </w:t>
      </w:r>
      <w:r>
        <w:rPr>
          <w:rtl w:val="true"/>
        </w:rPr>
        <w:t>"</w:t>
      </w:r>
      <w:r>
        <w:rPr>
          <w:rtl w:val="true"/>
        </w:rPr>
        <w:t>נסיבות ייחודיות ויוצאות דופן</w:t>
      </w:r>
      <w:r>
        <w:rPr>
          <w:rtl w:val="true"/>
        </w:rPr>
        <w:t xml:space="preserve">" </w:t>
      </w:r>
      <w:r>
        <w:rPr>
          <w:rtl w:val="true"/>
        </w:rPr>
        <w:t>המצדיקות את קביעת המתחם כפי שנקבע</w:t>
      </w:r>
      <w:r>
        <w:rPr>
          <w:rtl w:val="true"/>
        </w:rPr>
        <w:t xml:space="preserve">. </w:t>
      </w:r>
      <w:r>
        <w:rPr>
          <w:rtl w:val="true"/>
        </w:rPr>
        <w:t>לבחינתן של נסיבות אלו ומשקלן ביחס לקביעת מתחם העונש</w:t>
      </w:r>
      <w:r>
        <w:rPr>
          <w:rtl w:val="true"/>
        </w:rPr>
        <w:t xml:space="preserve">, </w:t>
      </w:r>
      <w:r>
        <w:rPr>
          <w:rtl w:val="true"/>
        </w:rPr>
        <w:t>אפנה כעת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הרקע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לרצח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כזכור</w:t>
      </w:r>
      <w:r>
        <w:rPr>
          <w:rtl w:val="true"/>
        </w:rPr>
        <w:t xml:space="preserve">, </w:t>
      </w:r>
      <w:r>
        <w:rPr>
          <w:rtl w:val="true"/>
        </w:rPr>
        <w:t>המערער כפר בתחילת ההליך במיוחס לו ולכן נוהל הליך ההוכחות</w:t>
      </w:r>
      <w:r>
        <w:rPr>
          <w:rtl w:val="true"/>
        </w:rPr>
        <w:t xml:space="preserve">. </w:t>
      </w:r>
      <w:r>
        <w:rPr>
          <w:rtl w:val="true"/>
        </w:rPr>
        <w:t>רק לאחר שנשמעה עדות המערער ועדות עדי ההגנה</w:t>
      </w:r>
      <w:r>
        <w:rPr>
          <w:rtl w:val="true"/>
        </w:rPr>
        <w:t xml:space="preserve">, </w:t>
      </w:r>
      <w:r>
        <w:rPr>
          <w:rtl w:val="true"/>
        </w:rPr>
        <w:t>הגיעו הצדדים להסכמה</w:t>
      </w:r>
      <w:r>
        <w:rPr>
          <w:rtl w:val="true"/>
        </w:rPr>
        <w:t xml:space="preserve">, </w:t>
      </w:r>
      <w:r>
        <w:rPr>
          <w:rtl w:val="true"/>
        </w:rPr>
        <w:t>בהמלצת בית משפט קמא</w:t>
      </w:r>
      <w:r>
        <w:rPr>
          <w:rtl w:val="true"/>
        </w:rPr>
        <w:t xml:space="preserve">. </w:t>
      </w:r>
      <w:r>
        <w:rPr>
          <w:rtl w:val="true"/>
        </w:rPr>
        <w:t>בהתאם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כתב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תוקן</w:t>
      </w:r>
      <w:r>
        <w:rPr>
          <w:rtl w:val="true"/>
        </w:rPr>
        <w:t xml:space="preserve">, </w:t>
      </w:r>
      <w:r>
        <w:rPr>
          <w:rtl w:val="true"/>
        </w:rPr>
        <w:t xml:space="preserve">המערער הודה בעובדות המתוארות בו והורשע ברצח המנוח ביסוד נפשי של </w:t>
      </w:r>
      <w:r>
        <w:rPr>
          <w:rFonts w:ascii="Century" w:hAnsi="Century" w:cs="Century"/>
          <w:sz w:val="22"/>
          <w:sz w:val="22"/>
          <w:rtl w:val="true"/>
        </w:rPr>
        <w:t>כוונה</w:t>
      </w:r>
      <w:r>
        <w:rPr>
          <w:rFonts w:cs="Century" w:ascii="Century" w:hAnsi="Century"/>
          <w:sz w:val="22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בשלב זה</w:t>
      </w:r>
      <w:r>
        <w:rPr>
          <w:rtl w:val="true"/>
        </w:rPr>
        <w:t xml:space="preserve">, </w:t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 xml:space="preserve">נפרש חוצץ בין שני חלקי ההליך </w:t>
      </w:r>
      <w:r>
        <w:rPr>
          <w:rtl w:val="true"/>
        </w:rPr>
        <w:t>–</w:t>
      </w:r>
      <w:r>
        <w:rPr>
          <w:rtl w:val="true"/>
        </w:rPr>
        <w:t xml:space="preserve"> כל אשר נטען</w:t>
      </w:r>
      <w:r>
        <w:rPr>
          <w:rtl w:val="true"/>
        </w:rPr>
        <w:t xml:space="preserve">, </w:t>
      </w:r>
      <w:r>
        <w:rPr>
          <w:rtl w:val="true"/>
        </w:rPr>
        <w:t>הוצג ופורט בהליך ההוכחות אינו רלוונטי עוד</w:t>
      </w:r>
      <w:r>
        <w:rPr>
          <w:rtl w:val="true"/>
        </w:rPr>
        <w:t xml:space="preserve">; </w:t>
      </w:r>
      <w:r>
        <w:rPr>
          <w:rtl w:val="true"/>
        </w:rPr>
        <w:t>ואילו העובדות והנסיבות הקשורות בביצוע העבירה שעל פיהן ייגזר דינו של הנאשם</w:t>
      </w:r>
      <w:r>
        <w:rPr>
          <w:rtl w:val="true"/>
        </w:rPr>
        <w:t xml:space="preserve">, </w:t>
      </w:r>
      <w:r>
        <w:rPr>
          <w:rtl w:val="true"/>
        </w:rPr>
        <w:t>הן אלו אשר הוסכמו על ידי הצדדים בכתב האישום המתוקן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הקבוע</w:t>
      </w:r>
      <w:r>
        <w:rPr>
          <w:rFonts w:eastAsia="Arial TUR;Arial" w:cs="Arial TUR;Arial"/>
          <w:rtl w:val="true"/>
        </w:rPr>
        <w:t xml:space="preserve"> </w:t>
      </w:r>
      <w:hyperlink r:id="rId43">
        <w:r>
          <w:rPr>
            <w:rStyle w:val="Hyperlink"/>
            <w:rtl w:val="true"/>
          </w:rPr>
          <w:t>בסעיף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ד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משקף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הגישה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הכללית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שלפיה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כתב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ובפרט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מדובר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בכתב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מתוקן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שהוגש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במסגרת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הסדר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טיעון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לכלול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העובדות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והנסיבות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הרלבנטיות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לביצוע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העבירה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באופן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בעניינו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הנאשם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נותר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תחום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ואינו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חורג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למחוזות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זכרם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בכתב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  <w:r>
        <w:rPr>
          <w:rtl w:val="true"/>
        </w:rPr>
        <w:t>" (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ניקולקין</w:t>
      </w:r>
      <w:r>
        <w:rPr>
          <w:rtl w:val="true"/>
        </w:rPr>
        <w:t xml:space="preserve">, </w:t>
      </w:r>
      <w:r>
        <w:rPr>
          <w:rtl w:val="true"/>
        </w:rPr>
        <w:t>בפסקה</w:t>
      </w:r>
      <w:r>
        <w:rPr>
          <w:rFonts w:eastAsia="Arial TUR;Arial" w:cs="Arial TUR;Arial"/>
          <w:rtl w:val="true"/>
        </w:rPr>
        <w:t xml:space="preserve"> </w:t>
      </w:r>
      <w:r>
        <w:rPr/>
        <w:t>23</w:t>
      </w:r>
      <w:r>
        <w:rPr>
          <w:rtl w:val="true"/>
        </w:rPr>
        <w:t xml:space="preserve">). </w:t>
      </w:r>
      <w:r>
        <w:rPr>
          <w:rtl w:val="true"/>
        </w:rPr>
        <w:t>ממילא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התגבש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להוספת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רלוונטיות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הכללתן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המחוקק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הותיר</w:t>
      </w:r>
      <w:r>
        <w:rPr>
          <w:rFonts w:eastAsia="Arial TUR;Arial" w:cs="Arial TUR;Arial"/>
          <w:rtl w:val="true"/>
        </w:rPr>
        <w:t xml:space="preserve"> </w:t>
      </w:r>
      <w:hyperlink r:id="rId44">
        <w:r>
          <w:rPr>
            <w:rStyle w:val="Hyperlink"/>
            <w:rtl w:val="true"/>
          </w:rPr>
          <w:t>בסעיף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י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פתח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המאפשר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לצדדים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ולבקש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ובקשה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תתקבל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חריגות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המפורטות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בסעיף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4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5841/14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ארקאן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 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8</w:t>
      </w:r>
      <w:r>
        <w:rPr/>
        <w:t>.</w:t>
      </w:r>
      <w:r>
        <w:rPr/>
        <w:t>7</w:t>
      </w:r>
      <w:r>
        <w:rPr/>
        <w:t>.2015</w:t>
      </w:r>
      <w:r>
        <w:rPr>
          <w:rtl w:val="true"/>
        </w:rPr>
        <w:t>)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העובדות והנסיבות המפורטות בכתב האישום המתוקן אכן מגוללות במידת מה את מערכת היחסים שבין המערער למנוח עובר למעשה ההמתה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עולה כי המערער אסף לביתו את המנוח וסיפק לו קורת גג</w:t>
      </w:r>
      <w:r>
        <w:rPr>
          <w:rtl w:val="true"/>
        </w:rPr>
        <w:t xml:space="preserve">, </w:t>
      </w:r>
      <w:r>
        <w:rPr>
          <w:rtl w:val="true"/>
        </w:rPr>
        <w:t>מיטה ללון בה ואף העניק לו סכומי כסף לשימושו מעת לעת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 xml:space="preserve">תחת הטובה שעשה עמו המערער </w:t>
      </w:r>
      <w:r>
        <w:rPr>
          <w:rtl w:val="true"/>
        </w:rPr>
        <w:t>–</w:t>
      </w:r>
      <w:r>
        <w:rPr>
          <w:rtl w:val="true"/>
        </w:rPr>
        <w:t xml:space="preserve"> המנוח גמל לו רעה</w:t>
      </w:r>
      <w:r>
        <w:rPr>
          <w:rtl w:val="true"/>
        </w:rPr>
        <w:t xml:space="preserve">, </w:t>
      </w:r>
      <w:r>
        <w:rPr>
          <w:rtl w:val="true"/>
        </w:rPr>
        <w:t>עת מאן להתפנות מהדירה עד כי נאלצה רעיית המערער לעזוב את הדירה בעצמה</w:t>
      </w:r>
      <w:r>
        <w:rPr>
          <w:rtl w:val="true"/>
        </w:rPr>
        <w:t xml:space="preserve">, </w:t>
      </w:r>
      <w:r>
        <w:rPr>
          <w:rtl w:val="true"/>
        </w:rPr>
        <w:t>וגם לאחר מכן התמיד בסירובו ונותר בדירה שלא ברשות</w:t>
      </w:r>
      <w:r>
        <w:rPr>
          <w:rtl w:val="true"/>
        </w:rPr>
        <w:t xml:space="preserve">. </w:t>
      </w:r>
      <w:r>
        <w:rPr>
          <w:rtl w:val="true"/>
        </w:rPr>
        <w:t>על רקע הסכסוך</w:t>
      </w:r>
      <w:r>
        <w:rPr>
          <w:rtl w:val="true"/>
        </w:rPr>
        <w:t xml:space="preserve">, </w:t>
      </w:r>
      <w:r>
        <w:rPr>
          <w:rtl w:val="true"/>
        </w:rPr>
        <w:t>החליט המערער לרצוח את המנוח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אלא </w:t>
      </w:r>
      <w:r>
        <w:rPr>
          <w:rFonts w:ascii="Century" w:hAnsi="Century" w:cs="Century"/>
          <w:sz w:val="22"/>
          <w:sz w:val="22"/>
          <w:rtl w:val="true"/>
        </w:rPr>
        <w:t xml:space="preserve">שנותר מרחק של ממש בין עובדות ונסיבות אלו כפי שתוארו בכתב האישום המתוקן לבין קביעות בית משפט קמא כי הרצח בוצע 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כמעשה של ייאוש</w:t>
      </w:r>
      <w:r>
        <w:rPr>
          <w:rFonts w:cs="Century" w:ascii="Century" w:hAnsi="Century"/>
          <w:sz w:val="22"/>
          <w:rtl w:val="true"/>
        </w:rPr>
        <w:t xml:space="preserve">", </w:t>
      </w:r>
      <w:r>
        <w:rPr>
          <w:rFonts w:ascii="Century" w:hAnsi="Century" w:cs="Century"/>
          <w:sz w:val="22"/>
          <w:sz w:val="22"/>
          <w:rtl w:val="true"/>
        </w:rPr>
        <w:t xml:space="preserve">כאשר התנהלות המנוח הובילה את המערער 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לאובדן עשתונות</w:t>
      </w:r>
      <w:r>
        <w:rPr>
          <w:rFonts w:cs="Century" w:ascii="Century" w:hAnsi="Century"/>
          <w:sz w:val="22"/>
          <w:rtl w:val="true"/>
        </w:rPr>
        <w:t xml:space="preserve">" </w:t>
      </w:r>
      <w:r>
        <w:rPr>
          <w:rFonts w:ascii="Century" w:hAnsi="Century" w:cs="Century"/>
          <w:sz w:val="22"/>
          <w:sz w:val="22"/>
          <w:rtl w:val="true"/>
        </w:rPr>
        <w:t xml:space="preserve">עד שרצח את המנוח 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מתוך העדר מוחלט של שיקול דעת</w:t>
      </w:r>
      <w:r>
        <w:rPr>
          <w:rFonts w:cs="Century" w:ascii="Century" w:hAnsi="Century"/>
          <w:sz w:val="22"/>
          <w:rtl w:val="true"/>
        </w:rPr>
        <w:t xml:space="preserve">". </w:t>
      </w:r>
      <w:r>
        <w:rPr>
          <w:rFonts w:ascii="Century" w:hAnsi="Century" w:cs="Century"/>
          <w:sz w:val="22"/>
          <w:sz w:val="22"/>
          <w:rtl w:val="true"/>
        </w:rPr>
        <w:t>על כן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אף שבצדק התחשב בית משפט קמא במסגרת קביעת מתחם העונש במערכת היחסים שבין המערער למנוח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הוא העניק לה משקל רב יתר על המידה בהסתמך על עובדות ונסיבות הנעדרות עיגון בכתב האיש</w:t>
      </w:r>
      <w:r>
        <w:rPr>
          <w:rtl w:val="true"/>
        </w:rPr>
        <w:t>ום המתוקן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זאת ועוד</w:t>
      </w:r>
      <w:r>
        <w:rPr>
          <w:rtl w:val="true"/>
        </w:rPr>
        <w:t xml:space="preserve">, </w:t>
      </w:r>
      <w:r>
        <w:rPr>
          <w:rtl w:val="true"/>
        </w:rPr>
        <w:t xml:space="preserve">אין חולק כי </w:t>
      </w:r>
      <w:r>
        <w:rPr>
          <w:rtl w:val="true"/>
        </w:rPr>
        <w:t>"</w:t>
      </w:r>
      <w:r>
        <w:rPr>
          <w:rtl w:val="true"/>
        </w:rPr>
        <w:t>כפיות הטובה</w:t>
      </w:r>
      <w:r>
        <w:rPr>
          <w:rtl w:val="true"/>
        </w:rPr>
        <w:t xml:space="preserve">" </w:t>
      </w:r>
      <w:r>
        <w:rPr>
          <w:rtl w:val="true"/>
        </w:rPr>
        <w:t>של המנוח כלפי המערער ניצבה ברקע לרצח באופן כזה או אחר</w:t>
      </w:r>
      <w:r>
        <w:rPr>
          <w:rtl w:val="true"/>
        </w:rPr>
        <w:t xml:space="preserve">. </w:t>
      </w:r>
      <w:r>
        <w:rPr>
          <w:rtl w:val="true"/>
        </w:rPr>
        <w:t>אלא שהמקרה שלפנינו</w:t>
      </w:r>
      <w:r>
        <w:rPr>
          <w:rtl w:val="true"/>
        </w:rPr>
        <w:t xml:space="preserve">, </w:t>
      </w:r>
      <w:r>
        <w:rPr>
          <w:rtl w:val="true"/>
        </w:rPr>
        <w:t xml:space="preserve">ובייחוד </w:t>
      </w:r>
      <w:r>
        <w:rPr>
          <w:rtl w:val="true"/>
        </w:rPr>
        <w:t>–</w:t>
      </w:r>
      <w:r>
        <w:rPr>
          <w:rtl w:val="true"/>
        </w:rPr>
        <w:t xml:space="preserve"> הסכסוך שקדם לרצח ומידת השפעתו על הרוצח כפי שאלו משתקפים מבין שורות כתב האישום המתוקן </w:t>
      </w:r>
      <w:r>
        <w:rPr>
          <w:rtl w:val="true"/>
        </w:rPr>
        <w:t>–</w:t>
      </w:r>
      <w:r>
        <w:rPr>
          <w:rtl w:val="true"/>
        </w:rPr>
        <w:t xml:space="preserve"> לא מצדיקים הקלה כה משמעותית במתחם העונש ההולם</w:t>
      </w:r>
      <w:r>
        <w:rPr>
          <w:rtl w:val="true"/>
        </w:rPr>
        <w:t xml:space="preserve">. </w:t>
      </w:r>
      <w:r>
        <w:rPr>
          <w:rtl w:val="true"/>
        </w:rPr>
        <w:t>נסיבות הסכסוך שבין המערער למנוח</w:t>
      </w:r>
      <w:r>
        <w:rPr>
          <w:rtl w:val="true"/>
        </w:rPr>
        <w:t xml:space="preserve">, </w:t>
      </w:r>
      <w:r>
        <w:rPr>
          <w:rtl w:val="true"/>
        </w:rPr>
        <w:t>כפי שהן באות לידי ביטוי בכתב האישום המתוקן</w:t>
      </w:r>
      <w:r>
        <w:rPr>
          <w:rtl w:val="true"/>
        </w:rPr>
        <w:t xml:space="preserve">, </w:t>
      </w:r>
      <w:r>
        <w:rPr>
          <w:rtl w:val="true"/>
        </w:rPr>
        <w:t xml:space="preserve">אינן כה ייחודיות עד כדי כך שיש בהן כדי להצדיק מתחם עונש הולם כה נמוך בהשוואה למקרים דומים </w:t>
      </w:r>
      <w:r>
        <w:rPr>
          <w:rtl w:val="true"/>
        </w:rPr>
        <w:t>(</w:t>
      </w:r>
      <w:r>
        <w:rPr>
          <w:rtl w:val="true"/>
        </w:rPr>
        <w:t>ראו והשוו ל</w:t>
      </w:r>
      <w:r>
        <w:rPr>
          <w:rtl w:val="true"/>
        </w:rPr>
        <w:t>-</w:t>
      </w:r>
      <w:hyperlink r:id="rId4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4066/22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ירנוב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נבו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]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tl w:val="true"/>
        </w:rPr>
        <w:t>(</w:t>
      </w:r>
      <w:r>
        <w:rPr/>
        <w:t>25.</w:t>
      </w:r>
      <w:r>
        <w:rPr/>
        <w:t>6</w:t>
      </w:r>
      <w:r>
        <w:rPr/>
        <w:t>.2023</w:t>
      </w:r>
      <w:r>
        <w:rPr>
          <w:rtl w:val="true"/>
        </w:rPr>
        <w:t>)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ירנוב</w:t>
      </w:r>
      <w:r>
        <w:rPr>
          <w:rtl w:val="true"/>
        </w:rPr>
        <w:t xml:space="preserve">), </w:t>
      </w:r>
      <w:r>
        <w:rPr>
          <w:rtl w:val="true"/>
        </w:rPr>
        <w:t>שבו נכנס המקרה לעבירת הרצח בנסיבות מחמירות</w:t>
      </w:r>
      <w:r>
        <w:rPr>
          <w:rtl w:val="true"/>
        </w:rPr>
        <w:t xml:space="preserve">, </w:t>
      </w:r>
      <w:r>
        <w:rPr>
          <w:rtl w:val="true"/>
        </w:rPr>
        <w:t>ועל כן נגזר עונש מאסר עולם חובה כך שנסיבות דומות לא הובילו להקלה בעונש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מכלול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נסיבות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ביצוע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העבירה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גם בהתחשב במערכת היחסים שבין המערער למנוח</w:t>
      </w:r>
      <w:r>
        <w:rPr>
          <w:rtl w:val="true"/>
        </w:rPr>
        <w:t xml:space="preserve">, </w:t>
      </w:r>
      <w:r>
        <w:rPr>
          <w:rtl w:val="true"/>
        </w:rPr>
        <w:t>במשקל הראוי לכך</w:t>
      </w:r>
      <w:r>
        <w:rPr>
          <w:rtl w:val="true"/>
        </w:rPr>
        <w:t xml:space="preserve">, </w:t>
      </w:r>
      <w:r>
        <w:rPr>
          <w:rtl w:val="true"/>
        </w:rPr>
        <w:t>סיבות אלו אינן בעלות משקל מכריע אלא הן נבחנות לצד יתר נסיבות ביצוע העבירה</w:t>
      </w:r>
      <w:r>
        <w:rPr>
          <w:rtl w:val="true"/>
        </w:rPr>
        <w:t xml:space="preserve">. </w:t>
      </w:r>
      <w:r>
        <w:rPr>
          <w:rtl w:val="true"/>
        </w:rPr>
        <w:t>כתב האישום המתוקן והמוסכם</w:t>
      </w:r>
      <w:r>
        <w:rPr>
          <w:rtl w:val="true"/>
        </w:rPr>
        <w:t xml:space="preserve">, </w:t>
      </w:r>
      <w:r>
        <w:rPr>
          <w:rtl w:val="true"/>
        </w:rPr>
        <w:t xml:space="preserve">מתאר נסיבות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חמורות</w:t>
      </w:r>
      <w:r>
        <w:rPr>
          <w:rtl w:val="true"/>
        </w:rPr>
        <w:t xml:space="preserve"> בביצוע מעשה ההמתה</w:t>
      </w:r>
      <w:r>
        <w:rPr>
          <w:rtl w:val="true"/>
        </w:rPr>
        <w:t xml:space="preserve">, </w:t>
      </w:r>
      <w:r>
        <w:rPr>
          <w:rtl w:val="true"/>
        </w:rPr>
        <w:t>אשר גם בהתחשב במצוקת המערער שהובילה אותו כביכול לרצח המנוח</w:t>
      </w:r>
      <w:r>
        <w:rPr>
          <w:rtl w:val="true"/>
        </w:rPr>
        <w:t xml:space="preserve">, </w:t>
      </w:r>
      <w:r>
        <w:rPr>
          <w:rtl w:val="true"/>
        </w:rPr>
        <w:t>ראוי כי ישפיעו באופן משמעותי על מתחם העונש ההולם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כמתואר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21.8.2021</w:t>
      </w:r>
      <w:r>
        <w:rPr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סירובו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להתפנות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מהדירה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לפעול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להרחקתו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מהדירה</w:t>
      </w:r>
      <w:r>
        <w:rPr>
          <w:rtl w:val="true"/>
        </w:rPr>
        <w:t xml:space="preserve">. </w:t>
      </w:r>
      <w:r>
        <w:rPr>
          <w:rtl w:val="true"/>
        </w:rPr>
        <w:t>בדרך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חלף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לרשויות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אכיפת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שיסייעו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בסילוק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האורח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והשוו</w:t>
      </w:r>
      <w:r>
        <w:rPr>
          <w:rtl w:val="true"/>
        </w:rPr>
        <w:t xml:space="preserve">: </w:t>
      </w:r>
      <w:hyperlink r:id="rId4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1405/16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טורשאן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19.</w:t>
      </w:r>
      <w:r>
        <w:rPr/>
        <w:t>4</w:t>
      </w:r>
      <w:r>
        <w:rPr/>
        <w:t>.2016</w:t>
      </w:r>
      <w:r>
        <w:rPr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בעיצומו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הוויכוח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בדירה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לכספת</w:t>
      </w:r>
      <w:r>
        <w:rPr>
          <w:rtl w:val="true"/>
        </w:rPr>
        <w:t xml:space="preserve">, </w:t>
      </w:r>
      <w:r>
        <w:rPr>
          <w:rtl w:val="true"/>
        </w:rPr>
        <w:t>הוציא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האקדח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שהחזיק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עבודתו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כמאבטח</w:t>
      </w:r>
      <w:r>
        <w:rPr>
          <w:rtl w:val="true"/>
        </w:rPr>
        <w:t xml:space="preserve">, </w:t>
      </w:r>
      <w:r>
        <w:rPr>
          <w:rtl w:val="true"/>
        </w:rPr>
        <w:t>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והניחו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לכרית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המיטה</w:t>
      </w:r>
      <w:r>
        <w:rPr>
          <w:rtl w:val="true"/>
        </w:rPr>
        <w:t xml:space="preserve">. </w:t>
      </w:r>
      <w:r>
        <w:rPr>
          <w:rtl w:val="true"/>
        </w:rPr>
        <w:t>אמנם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גמלה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בליבו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ההחלטה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להמית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האקדח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ודרוך</w:t>
      </w:r>
      <w:r>
        <w:rPr>
          <w:rtl w:val="true"/>
        </w:rPr>
        <w:t xml:space="preserve">, </w:t>
      </w:r>
      <w:r>
        <w:rPr>
          <w:rtl w:val="true"/>
        </w:rPr>
        <w:t>מוכן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ומזומן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הוויכוח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יסלים</w:t>
      </w:r>
      <w:r>
        <w:rPr>
          <w:rtl w:val="true"/>
        </w:rPr>
        <w:t xml:space="preserve">.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אז</w:t>
      </w:r>
      <w:r>
        <w:rPr>
          <w:rtl w:val="true"/>
        </w:rPr>
        <w:t xml:space="preserve">, </w:t>
      </w:r>
      <w:r>
        <w:rPr>
          <w:rtl w:val="true"/>
        </w:rPr>
        <w:t>ומשהמנוח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בסירובו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לעזוב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הדירה</w:t>
      </w:r>
      <w:r>
        <w:rPr>
          <w:rtl w:val="true"/>
        </w:rPr>
        <w:t xml:space="preserve">, </w:t>
      </w:r>
      <w:r>
        <w:rPr>
          <w:rtl w:val="true"/>
        </w:rPr>
        <w:t>החליט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במודע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ובכוונה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להמית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מהדירה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והשוו</w:t>
      </w:r>
      <w:r>
        <w:rPr>
          <w:rtl w:val="true"/>
        </w:rPr>
        <w:t xml:space="preserve">: 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קאדר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28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מרגע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ואילך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בקור</w:t>
      </w:r>
      <w:r>
        <w:rPr>
          <w:rtl w:val="true"/>
        </w:rPr>
        <w:t>-</w:t>
      </w:r>
      <w:r>
        <w:rPr>
          <w:rtl w:val="true"/>
        </w:rPr>
        <w:t>רוח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מצמית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הצמיד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האקדח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למצחו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והציע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להתפלל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  <w:r>
        <w:rPr>
          <w:rtl w:val="true"/>
        </w:rPr>
        <w:t>משהבהיר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להתפלל</w:t>
      </w:r>
      <w:r>
        <w:rPr>
          <w:rtl w:val="true"/>
        </w:rPr>
        <w:t xml:space="preserve">, </w:t>
      </w:r>
      <w:r>
        <w:rPr>
          <w:rtl w:val="true"/>
        </w:rPr>
        <w:t>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במרכז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לפציעתו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האנושה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גוסס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ומתבוסס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בדמו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ונמנע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ארוכות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מלהזעיק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ההצלה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ייתכן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עשויים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להילחם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ולהצילם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4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3965/22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30.</w:t>
      </w:r>
      <w:r>
        <w:rPr/>
        <w:t>3</w:t>
      </w:r>
      <w:r>
        <w:rPr/>
        <w:t>.2023</w:t>
      </w:r>
      <w:r>
        <w:rPr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בדקות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יקרות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בלימה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לטשטש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עקבותיו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ולשבש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המיטה</w:t>
      </w:r>
      <w:r>
        <w:rPr>
          <w:rtl w:val="true"/>
        </w:rPr>
        <w:t xml:space="preserve">, </w:t>
      </w:r>
      <w:r>
        <w:rPr>
          <w:rtl w:val="true"/>
        </w:rPr>
        <w:t>בכדי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להציג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כביכול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והשוו</w:t>
      </w:r>
      <w:r>
        <w:rPr>
          <w:rtl w:val="true"/>
        </w:rPr>
        <w:t xml:space="preserve">: </w:t>
      </w:r>
      <w:r>
        <w:rPr>
          <w:rtl w:val="true"/>
        </w:rPr>
        <w:t>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hyperlink r:id="rId49">
        <w:r>
          <w:rPr>
            <w:rStyle w:val="Hyperlink"/>
            <w:color w:val="0000FF"/>
            <w:u w:val="single"/>
            <w:rtl w:val="true"/>
          </w:rPr>
          <w:t>תפ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חי</w:t>
        </w:r>
        <w:r>
          <w:rPr>
            <w:rStyle w:val="Hyperlink"/>
            <w:color w:val="0000FF"/>
            <w:u w:val="single"/>
            <w:rtl w:val="true"/>
          </w:rPr>
          <w:t xml:space="preserve">') </w:t>
        </w:r>
        <w:r>
          <w:rPr>
            <w:rStyle w:val="Hyperlink"/>
            <w:color w:val="0000FF"/>
            <w:u w:val="single"/>
          </w:rPr>
          <w:t>28677-01-10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מטר</w:t>
      </w:r>
      <w:r>
        <w:rPr>
          <w:rtl w:val="true"/>
        </w:rPr>
        <w:t xml:space="preserve">, </w:t>
      </w:r>
      <w:r>
        <w:rPr>
          <w:rtl w:val="true"/>
        </w:rPr>
        <w:t>עמוד</w:t>
      </w:r>
      <w:r>
        <w:rPr>
          <w:rFonts w:eastAsia="Arial TUR;Arial" w:cs="Arial TUR;Arial"/>
          <w:rtl w:val="true"/>
        </w:rPr>
        <w:t xml:space="preserve"> </w:t>
      </w:r>
      <w:r>
        <w:rPr/>
        <w:t>50</w:t>
      </w:r>
      <w:r>
        <w:rPr>
          <w:rtl w:val="true"/>
        </w:rPr>
        <w:t xml:space="preserve"> 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2.10.2011</w:t>
      </w:r>
      <w:r>
        <w:rPr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ורק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שרעייתו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הנחתה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ודיווח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אם כן</w:t>
      </w:r>
      <w:r>
        <w:rPr>
          <w:rtl w:val="true"/>
        </w:rPr>
        <w:t xml:space="preserve">, </w:t>
      </w:r>
      <w:r>
        <w:rPr>
          <w:rtl w:val="true"/>
        </w:rPr>
        <w:t>אף שיש להתחשב בסכסוך שבין המנוח למערער עובר לרצח</w:t>
      </w:r>
      <w:r>
        <w:rPr>
          <w:rtl w:val="true"/>
        </w:rPr>
        <w:t xml:space="preserve">, </w:t>
      </w:r>
      <w:r>
        <w:rPr>
          <w:rtl w:val="true"/>
        </w:rPr>
        <w:t xml:space="preserve">משקלן של נסיבות אלו </w:t>
      </w:r>
      <w:r>
        <w:rPr>
          <w:rFonts w:ascii="Century" w:hAnsi="Century" w:cs="Century"/>
          <w:sz w:val="22"/>
          <w:sz w:val="22"/>
          <w:rtl w:val="true"/>
        </w:rPr>
        <w:t>ניצב</w:t>
      </w:r>
      <w:r>
        <w:rPr>
          <w:rtl w:val="true"/>
        </w:rPr>
        <w:t xml:space="preserve"> כמכלול יחד עם יתר נסיבות ביצוע העבירה </w:t>
      </w:r>
      <w:r>
        <w:rPr>
          <w:rtl w:val="true"/>
        </w:rPr>
        <w:t>–</w:t>
      </w:r>
      <w:r>
        <w:rPr>
          <w:rtl w:val="true"/>
        </w:rPr>
        <w:t xml:space="preserve"> עובר לרצח</w:t>
      </w:r>
      <w:r>
        <w:rPr>
          <w:rtl w:val="true"/>
        </w:rPr>
        <w:t xml:space="preserve">, </w:t>
      </w:r>
      <w:r>
        <w:rPr>
          <w:rtl w:val="true"/>
        </w:rPr>
        <w:t xml:space="preserve">במהלכו ולאחריו </w:t>
      </w:r>
      <w:r>
        <w:rPr>
          <w:rtl w:val="true"/>
        </w:rPr>
        <w:t>–</w:t>
      </w:r>
      <w:r>
        <w:rPr>
          <w:rtl w:val="true"/>
        </w:rPr>
        <w:t xml:space="preserve"> המלמדות באופן חד</w:t>
      </w:r>
      <w:r>
        <w:rPr>
          <w:rtl w:val="true"/>
        </w:rPr>
        <w:t>-</w:t>
      </w:r>
      <w:r>
        <w:rPr>
          <w:rtl w:val="true"/>
        </w:rPr>
        <w:t>משמעי על חומרת מעשי המערער ועל מידת אשמו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לסיכום</w:t>
      </w:r>
      <w:r>
        <w:rPr>
          <w:rtl w:val="true"/>
        </w:rPr>
        <w:t xml:space="preserve"> </w:t>
      </w:r>
      <w:r>
        <w:rPr>
          <w:rtl w:val="true"/>
        </w:rPr>
        <w:t xml:space="preserve">– </w:t>
      </w:r>
      <w:r>
        <w:rPr>
          <w:rtl w:val="true"/>
        </w:rPr>
        <w:t>בעוד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בדין התחשב בית המשפט המחוזי בקביעת מתחם העונש בסכסוך בין המערער למנוח שקדם לרצח</w:t>
      </w:r>
      <w:r>
        <w:rPr>
          <w:rtl w:val="true"/>
        </w:rPr>
        <w:t xml:space="preserve">, </w:t>
      </w:r>
      <w:r>
        <w:rPr>
          <w:rtl w:val="true"/>
        </w:rPr>
        <w:t xml:space="preserve">אין בנסיבות אלו כדי להצדיק את מתחם העונש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המקל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מאוד</w:t>
      </w:r>
      <w:r>
        <w:rPr>
          <w:rtl w:val="true"/>
        </w:rPr>
        <w:t xml:space="preserve"> שנקבע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לנוכח אופי הסכסוך שקדם לרצח</w:t>
      </w:r>
      <w:r>
        <w:rPr>
          <w:rtl w:val="true"/>
        </w:rPr>
        <w:t xml:space="preserve">, </w:t>
      </w:r>
      <w:r>
        <w:rPr>
          <w:rtl w:val="true"/>
        </w:rPr>
        <w:t>כמתואר בכתב האישום המתוקן</w:t>
      </w:r>
      <w:r>
        <w:rPr>
          <w:rtl w:val="true"/>
        </w:rPr>
        <w:t xml:space="preserve">; </w:t>
      </w:r>
      <w:r>
        <w:rPr>
          <w:rtl w:val="true"/>
        </w:rPr>
        <w:t xml:space="preserve">בשל כך שנסיבות אלו אינן כה </w:t>
      </w:r>
      <w:r>
        <w:rPr>
          <w:rtl w:val="true"/>
        </w:rPr>
        <w:t>"</w:t>
      </w:r>
      <w:r>
        <w:rPr>
          <w:rtl w:val="true"/>
        </w:rPr>
        <w:t>ייחודיות</w:t>
      </w:r>
      <w:r>
        <w:rPr>
          <w:rtl w:val="true"/>
        </w:rPr>
        <w:t xml:space="preserve">"; </w:t>
      </w:r>
      <w:r>
        <w:rPr>
          <w:rtl w:val="true"/>
        </w:rPr>
        <w:t>ובהתחשב בחומרת יתר נסיבות העבירה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  <w:t>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)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חריגה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מגדרי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מתחם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העונש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ההולם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בעבירת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הרצח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הבסיסית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לאחר שנקבע מתחם העונש ההולם את מעשיו של המערער</w:t>
      </w:r>
      <w:r>
        <w:rPr>
          <w:rtl w:val="true"/>
        </w:rPr>
        <w:t xml:space="preserve">, </w:t>
      </w:r>
      <w:r>
        <w:rPr>
          <w:rtl w:val="true"/>
        </w:rPr>
        <w:t>בית המשפט המחוזי התחשב בנסיבותיו האישיות</w:t>
      </w:r>
      <w:r>
        <w:rPr>
          <w:rtl w:val="true"/>
        </w:rPr>
        <w:t xml:space="preserve">, </w:t>
      </w:r>
      <w:r>
        <w:rPr>
          <w:rtl w:val="true"/>
        </w:rPr>
        <w:t xml:space="preserve">ולבסוף מצא לחרוג ממנו לקולה לנוכח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מצבו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הרפואי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הקשה</w:t>
      </w:r>
      <w:r>
        <w:rPr>
          <w:rtl w:val="true"/>
        </w:rPr>
        <w:t xml:space="preserve">. </w:t>
      </w:r>
      <w:r>
        <w:rPr>
          <w:rtl w:val="true"/>
        </w:rPr>
        <w:t>זאת לאחר שמלכתחילה קבע מתחם ענישה המקל באופן משמעותי מן הראוי</w:t>
      </w:r>
      <w:r>
        <w:rPr>
          <w:rtl w:val="true"/>
        </w:rPr>
        <w:t xml:space="preserve">, </w:t>
      </w:r>
      <w:r>
        <w:rPr>
          <w:rtl w:val="true"/>
        </w:rPr>
        <w:t>כאמור לעיל</w:t>
      </w:r>
      <w:r>
        <w:rPr>
          <w:rtl w:val="true"/>
        </w:rPr>
        <w:t xml:space="preserve">. </w:t>
      </w:r>
      <w:r>
        <w:rPr>
          <w:rtl w:val="true"/>
        </w:rPr>
        <w:t>אגש עתה לבחינת סוגית חריגה ממתחם העונש ההולם בעבירת הרצח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מסגרת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נורמטיבית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הסוגיה שלפנינו </w:t>
      </w:r>
      <w:r>
        <w:rPr>
          <w:rtl w:val="true"/>
        </w:rPr>
        <w:t>–</w:t>
      </w:r>
      <w:r>
        <w:rPr>
          <w:rtl w:val="true"/>
        </w:rPr>
        <w:t xml:space="preserve"> חריגה ממתחם העונש ההולם בעבירת הרצח הבסיסית </w:t>
      </w:r>
      <w:r>
        <w:rPr>
          <w:rtl w:val="true"/>
        </w:rPr>
        <w:t>–</w:t>
      </w:r>
      <w:r>
        <w:rPr>
          <w:rtl w:val="true"/>
        </w:rPr>
        <w:t xml:space="preserve"> באה לעולם רק בעקבות הרפורמה בעבירות ההמתה</w:t>
      </w:r>
      <w:r>
        <w:rPr>
          <w:rtl w:val="true"/>
        </w:rPr>
        <w:t xml:space="preserve">. </w:t>
      </w:r>
      <w:r>
        <w:rPr>
          <w:rtl w:val="true"/>
        </w:rPr>
        <w:t>שכן</w:t>
      </w:r>
      <w:r>
        <w:rPr>
          <w:rtl w:val="true"/>
        </w:rPr>
        <w:t xml:space="preserve">, </w:t>
      </w:r>
      <w:r>
        <w:rPr>
          <w:rtl w:val="true"/>
        </w:rPr>
        <w:t>עובר לרפורמה</w:t>
      </w:r>
      <w:r>
        <w:rPr>
          <w:rtl w:val="true"/>
        </w:rPr>
        <w:t xml:space="preserve">, </w:t>
      </w:r>
      <w:r>
        <w:rPr>
          <w:rtl w:val="true"/>
        </w:rPr>
        <w:t xml:space="preserve">דין אחד ויחיד נקבע לרוצח </w:t>
      </w:r>
      <w:r>
        <w:rPr>
          <w:rtl w:val="true"/>
        </w:rPr>
        <w:t>–</w:t>
      </w:r>
      <w:r>
        <w:rPr>
          <w:rtl w:val="true"/>
        </w:rPr>
        <w:t xml:space="preserve"> מאסר עולם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חובה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למעט מקרים מצומצמים ביותר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hyperlink r:id="rId50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א</w:t>
        </w:r>
      </w:hyperlink>
      <w:r>
        <w:rPr>
          <w:rtl w:val="true"/>
        </w:rPr>
        <w:t xml:space="preserve"> לחוק</w:t>
      </w:r>
      <w:r>
        <w:rPr>
          <w:rtl w:val="true"/>
        </w:rPr>
        <w:t xml:space="preserve">, </w:t>
      </w:r>
      <w:r>
        <w:rPr>
          <w:rtl w:val="true"/>
        </w:rPr>
        <w:t>כנוסחו טרם הרפורמה</w:t>
      </w:r>
      <w:r>
        <w:rPr>
          <w:rtl w:val="true"/>
        </w:rPr>
        <w:t xml:space="preserve">; </w:t>
      </w:r>
      <w:hyperlink r:id="rId51">
        <w:r>
          <w:rPr>
            <w:rStyle w:val="Hyperlink"/>
            <w:rtl w:val="true"/>
          </w:rPr>
          <w:t>וסעיף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הנוער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שפיטה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ענישה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ודרכי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טיפול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, </w:t>
      </w:r>
      <w:r>
        <w:rPr>
          <w:rtl w:val="true"/>
        </w:rPr>
        <w:t>ה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1971</w:t>
      </w:r>
      <w:r>
        <w:rPr>
          <w:rtl w:val="true"/>
        </w:rPr>
        <w:t xml:space="preserve">). </w:t>
      </w:r>
      <w:r>
        <w:rPr>
          <w:rtl w:val="true"/>
        </w:rPr>
        <w:t>עתה</w:t>
      </w:r>
      <w:r>
        <w:rPr>
          <w:rtl w:val="true"/>
        </w:rPr>
        <w:t xml:space="preserve">, </w:t>
      </w:r>
      <w:r>
        <w:rPr>
          <w:rtl w:val="true"/>
        </w:rPr>
        <w:t>בעקבות הרפורמה</w:t>
      </w:r>
      <w:r>
        <w:rPr>
          <w:rtl w:val="true"/>
        </w:rPr>
        <w:t xml:space="preserve">, </w:t>
      </w:r>
      <w:r>
        <w:rPr>
          <w:rtl w:val="true"/>
        </w:rPr>
        <w:t xml:space="preserve">בעבירת הרצח הבסיסית נדרש בית המשפט לגזור את עונשו של הרוצח לפי כללי הבניית שיקול הדעת בענישה </w:t>
      </w:r>
      <w:r>
        <w:rPr>
          <w:shd w:fill="FFFFFF" w:val="clear"/>
          <w:rtl w:val="true"/>
        </w:rPr>
        <w:t>(</w:t>
      </w:r>
      <w:hyperlink r:id="rId53">
        <w:r>
          <w:rPr>
            <w:rStyle w:val="Hyperlink"/>
            <w:color w:val="0000FF"/>
            <w:u w:val="single"/>
            <w:shd w:fill="FFFFFF" w:val="clear"/>
            <w:rtl w:val="true"/>
          </w:rPr>
          <w:t>ע</w:t>
        </w:r>
        <w:r>
          <w:rPr>
            <w:rStyle w:val="Hyperlink"/>
            <w:color w:val="0000FF"/>
            <w:u w:val="single"/>
            <w:shd w:fill="FFFFFF" w:val="clear"/>
            <w:rtl w:val="true"/>
          </w:rPr>
          <w:t>"</w:t>
        </w:r>
        <w:r>
          <w:rPr>
            <w:rStyle w:val="Hyperlink"/>
            <w:color w:val="0000FF"/>
            <w:u w:val="single"/>
            <w:shd w:fill="FFFFFF" w:val="clear"/>
            <w:rtl w:val="true"/>
          </w:rPr>
          <w:t>פ</w:t>
        </w:r>
        <w:r>
          <w:rPr>
            <w:rStyle w:val="Hyperlink"/>
            <w:color w:val="0000FF"/>
            <w:u w:val="single"/>
            <w:shd w:fill="FFFFFF" w:val="clear"/>
            <w:rtl w:val="true"/>
          </w:rPr>
          <w:t xml:space="preserve"> </w:t>
        </w:r>
        <w:r>
          <w:rPr>
            <w:rStyle w:val="Hyperlink"/>
            <w:color w:val="0000FF"/>
            <w:u w:val="single"/>
            <w:shd w:fill="FFFFFF" w:val="clear"/>
          </w:rPr>
          <w:t>3223/21</w:t>
        </w:r>
      </w:hyperlink>
      <w:r>
        <w:rPr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shd w:fill="FFFFFF" w:val="clear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שפק</w:t>
      </w:r>
      <w:r>
        <w:rPr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[</w:t>
      </w:r>
      <w:r>
        <w:rPr>
          <w:shd w:fill="FFFFFF" w:val="clear"/>
          <w:rtl w:val="true"/>
        </w:rPr>
        <w:t>נבו</w:t>
      </w:r>
      <w:r>
        <w:rPr>
          <w:shd w:fill="FFFFFF" w:val="clear"/>
          <w:rtl w:val="true"/>
        </w:rPr>
        <w:t>]</w:t>
      </w:r>
      <w:r>
        <w:rPr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(</w:t>
      </w:r>
      <w:r>
        <w:rPr>
          <w:shd w:fill="FFFFFF" w:val="clear"/>
        </w:rPr>
        <w:t>2.3.2022</w:t>
      </w:r>
      <w:r>
        <w:rPr>
          <w:shd w:fill="FFFFFF" w:val="clear"/>
          <w:rtl w:val="true"/>
        </w:rPr>
        <w:t>)</w:t>
      </w:r>
      <w:r>
        <w:rPr>
          <w:shd w:fill="FFFFFF" w:val="clear"/>
          <w:rtl w:val="true"/>
        </w:rPr>
        <w:t xml:space="preserve"> (</w:t>
      </w:r>
      <w:r>
        <w:rPr>
          <w:shd w:fill="FFFFFF" w:val="clear"/>
          <w:rtl w:val="true"/>
        </w:rPr>
        <w:t>להלן</w:t>
      </w:r>
      <w:r>
        <w:rPr>
          <w:shd w:fill="FFFFFF" w:val="clear"/>
          <w:rtl w:val="true"/>
        </w:rPr>
        <w:t xml:space="preserve">: </w:t>
      </w:r>
      <w:r>
        <w:rPr>
          <w:shd w:fill="FFFFFF" w:val="clear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שפק</w:t>
      </w:r>
      <w:r>
        <w:rPr>
          <w:shd w:fill="FFFFFF" w:val="clear"/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 xml:space="preserve">מלאכת גזירת הדין נפתחת בקביעת מתחם העונש ההולם </w:t>
      </w:r>
      <w:r>
        <w:rPr>
          <w:rtl w:val="true"/>
        </w:rPr>
        <w:t>(</w:t>
      </w:r>
      <w:hyperlink r:id="rId54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), </w:t>
      </w:r>
      <w:r>
        <w:rPr>
          <w:rtl w:val="true"/>
        </w:rPr>
        <w:t xml:space="preserve">כאשר לאחר מכן עונשו של הנאשם ייגזר ככלל בגדרי המתחם </w:t>
      </w:r>
      <w:r>
        <w:rPr>
          <w:rtl w:val="true"/>
        </w:rPr>
        <w:t>(</w:t>
      </w:r>
      <w:hyperlink r:id="rId55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), </w:t>
      </w:r>
      <w:r>
        <w:rPr>
          <w:rtl w:val="true"/>
        </w:rPr>
        <w:t>לצד האפשרות המוקנית לבית המשפט לחרוג מהמתחם לקולה או לחומרה</w:t>
      </w:r>
      <w:r>
        <w:rPr>
          <w:rtl w:val="true"/>
        </w:rPr>
        <w:t xml:space="preserve">, </w:t>
      </w:r>
      <w:r>
        <w:rPr>
          <w:rtl w:val="true"/>
        </w:rPr>
        <w:t xml:space="preserve">במקרים המתאימים </w:t>
      </w:r>
      <w:r>
        <w:rPr>
          <w:rtl w:val="true"/>
        </w:rPr>
        <w:t>(</w:t>
      </w:r>
      <w:hyperlink r:id="rId56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ד</w:t>
        </w:r>
      </w:hyperlink>
      <w:r>
        <w:rPr>
          <w:rtl w:val="true"/>
        </w:rPr>
        <w:t xml:space="preserve"> לחוק </w:t>
      </w:r>
      <w:hyperlink r:id="rId57">
        <w:r>
          <w:rPr>
            <w:rStyle w:val="Hyperlink"/>
            <w:rtl w:val="true"/>
          </w:rPr>
          <w:t>וסעיף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ה</w:t>
        </w:r>
      </w:hyperlink>
      <w:r>
        <w:rPr>
          <w:rtl w:val="true"/>
        </w:rPr>
        <w:t xml:space="preserve"> לחוק</w:t>
      </w:r>
      <w:r>
        <w:rPr>
          <w:rtl w:val="true"/>
        </w:rPr>
        <w:t xml:space="preserve">, </w:t>
      </w:r>
      <w:r>
        <w:rPr>
          <w:rtl w:val="true"/>
        </w:rPr>
        <w:t>בהתאמה</w:t>
      </w:r>
      <w:r>
        <w:rPr>
          <w:rtl w:val="true"/>
        </w:rPr>
        <w:t>)</w:t>
      </w:r>
      <w:r>
        <w:rPr>
          <w:rtl w:val="true"/>
        </w:rPr>
        <w:t xml:space="preserve">. </w:t>
      </w:r>
      <w:r>
        <w:rPr>
          <w:rtl w:val="true"/>
        </w:rPr>
        <w:t>בשל חשיבות הסוגיה העקרונית</w:t>
      </w:r>
      <w:r>
        <w:rPr>
          <w:rtl w:val="true"/>
        </w:rPr>
        <w:t xml:space="preserve">, </w:t>
      </w:r>
      <w:r>
        <w:rPr>
          <w:rtl w:val="true"/>
        </w:rPr>
        <w:t>ארחיב מעט במידה הדרושה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במסגרת תיקון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(</w:t>
      </w:r>
      <w:hyperlink r:id="rId5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תיקון</w:t>
      </w:r>
      <w:r>
        <w:rPr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113</w:t>
      </w:r>
      <w:r>
        <w:rPr>
          <w:rtl w:val="true"/>
        </w:rPr>
        <w:t xml:space="preserve">),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2012</w:t>
      </w:r>
      <w:r>
        <w:rPr>
          <w:rtl w:val="true"/>
        </w:rPr>
        <w:t xml:space="preserve">,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 </w:t>
      </w:r>
      <w:r>
        <w:rPr/>
        <w:t>102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שעסק בהבניית שיקול הדעת בענישה</w:t>
      </w:r>
      <w:r>
        <w:rPr>
          <w:rtl w:val="true"/>
        </w:rPr>
        <w:t xml:space="preserve">, </w:t>
      </w:r>
      <w:r>
        <w:rPr>
          <w:rtl w:val="true"/>
        </w:rPr>
        <w:t xml:space="preserve">המחוקק עיגן </w:t>
      </w:r>
      <w:hyperlink r:id="rId59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ד</w:t>
        </w:r>
      </w:hyperlink>
      <w:r>
        <w:rPr>
          <w:rtl w:val="true"/>
        </w:rPr>
        <w:t xml:space="preserve"> לחוק את האפשרות לחרוג לקולה מגדרי מתחם העונש ההולם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hyperlink r:id="rId60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ד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לחוק מקנה בידי בית המשפט את האפשרות לחרוג לקולה מהמתחם כאשר ניכר כי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הנאשם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השתקם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סיכוי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ממש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שישתקם</w:t>
      </w:r>
      <w:r>
        <w:rPr>
          <w:rtl w:val="true"/>
        </w:rPr>
        <w:t xml:space="preserve">". </w:t>
      </w:r>
      <w:r>
        <w:rPr>
          <w:rtl w:val="true"/>
        </w:rPr>
        <w:t>אין די בהתרשמות כללית או בטענות בעלמא על אודות ההליך השיקומי שעובר הנאשם</w:t>
      </w:r>
      <w:r>
        <w:rPr>
          <w:rtl w:val="true"/>
        </w:rPr>
        <w:t xml:space="preserve">, </w:t>
      </w:r>
      <w:r>
        <w:rPr>
          <w:rtl w:val="true"/>
        </w:rPr>
        <w:t xml:space="preserve">אלא עליו להוכיח את טענתו באמצעות עובדות וראיות ועל יסוד תשתית עובדתית מוצקה </w:t>
      </w:r>
      <w:r>
        <w:rPr>
          <w:rtl w:val="true"/>
        </w:rPr>
        <w:t>(</w:t>
      </w:r>
      <w:r>
        <w:rPr>
          <w:rtl w:val="true"/>
        </w:rPr>
        <w:t>אורן</w:t>
      </w:r>
      <w:r>
        <w:rPr>
          <w:rtl w:val="true"/>
        </w:rPr>
        <w:t xml:space="preserve"> </w:t>
      </w:r>
      <w:r>
        <w:rPr>
          <w:rtl w:val="true"/>
        </w:rPr>
        <w:t>גזל</w:t>
      </w:r>
      <w:r>
        <w:rPr>
          <w:rtl w:val="true"/>
        </w:rPr>
        <w:t xml:space="preserve"> </w:t>
      </w:r>
      <w:hyperlink r:id="rId61">
        <w:r>
          <w:rPr>
            <w:rStyle w:val="Hyperlink"/>
            <w:color w:val="0000FF"/>
            <w:u w:val="single"/>
            <w:rtl w:val="true"/>
          </w:rPr>
          <w:t>אייל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חריגה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ממתחם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ההולם</w:t>
        </w:r>
        <w:r>
          <w:rPr>
            <w:rStyle w:val="Hyperlink"/>
            <w:color w:val="0000FF"/>
            <w:u w:val="single"/>
            <w:rtl w:val="true"/>
          </w:rPr>
          <w:t>"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ספר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דורית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ביניש</w:t>
      </w:r>
      <w:r>
        <w:rPr>
          <w:rtl w:val="true"/>
        </w:rPr>
        <w:t xml:space="preserve"> </w:t>
      </w:r>
      <w:r>
        <w:rPr/>
        <w:t>546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קרן</w:t>
      </w:r>
      <w:r>
        <w:rPr>
          <w:rtl w:val="true"/>
        </w:rPr>
        <w:t xml:space="preserve"> </w:t>
      </w:r>
      <w:r>
        <w:rPr>
          <w:rtl w:val="true"/>
        </w:rPr>
        <w:t>אזולאי</w:t>
      </w:r>
      <w:r>
        <w:rPr>
          <w:rtl w:val="true"/>
        </w:rPr>
        <w:t xml:space="preserve"> ואח</w:t>
      </w:r>
      <w:r>
        <w:rPr>
          <w:rtl w:val="true"/>
        </w:rPr>
        <w:t xml:space="preserve">' </w:t>
      </w:r>
      <w:r>
        <w:rPr>
          <w:rtl w:val="true"/>
        </w:rPr>
        <w:t>עורכים</w:t>
      </w:r>
      <w:r>
        <w:rPr>
          <w:rtl w:val="true"/>
        </w:rPr>
        <w:t xml:space="preserve"> </w:t>
      </w:r>
      <w:r>
        <w:rPr/>
        <w:t>2015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גזל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אייל</w:t>
      </w:r>
      <w:r>
        <w:rPr>
          <w:rtl w:val="true"/>
        </w:rPr>
        <w:t>)</w:t>
      </w:r>
      <w:r>
        <w:rPr>
          <w:rtl w:val="true"/>
        </w:rPr>
        <w:t xml:space="preserve">; </w:t>
      </w:r>
      <w:r>
        <w:rPr>
          <w:rtl w:val="true"/>
        </w:rPr>
        <w:t>יורם</w:t>
      </w:r>
      <w:r>
        <w:rPr>
          <w:rtl w:val="true"/>
        </w:rPr>
        <w:t xml:space="preserve"> </w:t>
      </w:r>
      <w:r>
        <w:rPr>
          <w:rtl w:val="true"/>
        </w:rPr>
        <w:t>רבין</w:t>
      </w:r>
      <w:r>
        <w:rPr>
          <w:rtl w:val="true"/>
        </w:rPr>
        <w:t xml:space="preserve"> ו</w:t>
      </w:r>
      <w:r>
        <w:rPr>
          <w:rtl w:val="true"/>
        </w:rPr>
        <w:t>יניב</w:t>
      </w:r>
      <w:r>
        <w:rPr>
          <w:rtl w:val="true"/>
        </w:rPr>
        <w:t xml:space="preserve"> </w:t>
      </w:r>
      <w:r>
        <w:rPr>
          <w:rtl w:val="true"/>
        </w:rPr>
        <w:t>ואקי</w:t>
      </w:r>
      <w:r>
        <w:rPr>
          <w:rtl w:val="true"/>
        </w:rPr>
        <w:t xml:space="preserve"> </w:t>
      </w:r>
      <w:hyperlink r:id="rId62"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דיני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עונשין</w:t>
        </w:r>
      </w:hyperlink>
      <w:r>
        <w:rPr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 xml:space="preserve"> </w:t>
      </w:r>
      <w:r>
        <w:rPr/>
        <w:t>107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מהדורה</w:t>
      </w:r>
      <w:r>
        <w:rPr>
          <w:rtl w:val="true"/>
        </w:rPr>
        <w:t xml:space="preserve"> </w:t>
      </w:r>
      <w:r>
        <w:rPr>
          <w:rtl w:val="true"/>
        </w:rPr>
        <w:t>רביעית</w:t>
      </w:r>
      <w:r>
        <w:rPr>
          <w:rtl w:val="true"/>
        </w:rPr>
        <w:t xml:space="preserve"> </w:t>
      </w:r>
      <w:r>
        <w:rPr/>
        <w:t>2022</w:t>
      </w:r>
      <w:r>
        <w:rPr>
          <w:rtl w:val="true"/>
        </w:rPr>
        <w:t>)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רבין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וואקי</w:t>
      </w:r>
      <w:r>
        <w:rPr>
          <w:rtl w:val="true"/>
        </w:rPr>
        <w:t>)).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לצד הכלל המאפשר לחרוג לקולה ממתחם העונש המנוי </w:t>
      </w:r>
      <w:hyperlink r:id="rId63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ד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המחוקק ייחד תת</w:t>
      </w:r>
      <w:r>
        <w:rPr>
          <w:rtl w:val="true"/>
        </w:rPr>
        <w:t>-</w:t>
      </w:r>
      <w:r>
        <w:rPr>
          <w:rtl w:val="true"/>
        </w:rPr>
        <w:t xml:space="preserve">סעיף נפרד למקרים העוסקים בעבירות שבהן </w:t>
      </w:r>
      <w:r>
        <w:rPr>
          <w:rtl w:val="true"/>
        </w:rPr>
        <w:t>מעשה</w:t>
      </w:r>
      <w:r>
        <w:rPr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 </w:t>
      </w:r>
      <w:r>
        <w:rPr>
          <w:rtl w:val="true"/>
        </w:rPr>
        <w:t>ומידת</w:t>
      </w:r>
      <w:r>
        <w:rPr>
          <w:rtl w:val="true"/>
        </w:rPr>
        <w:t xml:space="preserve"> </w:t>
      </w:r>
      <w:r>
        <w:rPr>
          <w:rtl w:val="true"/>
        </w:rPr>
        <w:t>אשמו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 xml:space="preserve">הם </w:t>
      </w:r>
      <w:r>
        <w:rPr>
          <w:rFonts w:ascii="Century" w:hAnsi="Century" w:cs="Century"/>
          <w:sz w:val="22"/>
          <w:sz w:val="22"/>
          <w:rtl w:val="true"/>
        </w:rPr>
        <w:t>בעלי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חומרה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יתרה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/>
        <w:t>40</w:t>
      </w:r>
      <w:r>
        <w:rPr>
          <w:rtl w:val="true"/>
        </w:rPr>
        <w:t>ד</w:t>
      </w: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 xml:space="preserve">) 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מעשה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העבירה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ומידת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אשמו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הנאשם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חומרה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יתרה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יחרוג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בסעיף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),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השתקם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סיכוי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שישתקם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בנסיבות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מיוחדות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ויוצאות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דופן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שוכנע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גוברות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לעיקרון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המנחה</w:t>
      </w:r>
      <w:r>
        <w:rPr>
          <w:rtl w:val="true"/>
        </w:rPr>
        <w:t xml:space="preserve">, </w:t>
      </w:r>
      <w:r>
        <w:rPr>
          <w:rtl w:val="true"/>
        </w:rPr>
        <w:t>ופירט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" (</w:t>
      </w:r>
      <w:r>
        <w:rPr>
          <w:rtl w:val="true"/>
        </w:rPr>
        <w:t>ההדגשות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בסעיף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מותנה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בהתקיימות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יתרה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יתרה</w:t>
      </w:r>
      <w:r>
        <w:rPr>
          <w:rtl w:val="true"/>
        </w:rPr>
        <w:t xml:space="preserve">. </w:t>
      </w:r>
      <w:r>
        <w:rPr>
          <w:rFonts w:ascii="FrankRuehl" w:hAnsi="FrankRuehl"/>
          <w:color w:val="000000"/>
          <w:sz w:val="28"/>
          <w:sz w:val="28"/>
          <w:shd w:fill="FFFFFF" w:val="clear"/>
          <w:rtl w:val="true"/>
        </w:rPr>
        <w:t>אין מדובר בשני תנאים מצטברים השווים במשקלם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shd w:fill="FFFFFF" w:val="clear"/>
          <w:rtl w:val="true"/>
        </w:rPr>
        <w:t xml:space="preserve">אלא </w:t>
      </w:r>
      <w:r>
        <w:rPr>
          <w:rFonts w:ascii="FrankRuehl" w:hAnsi="FrankRuehl"/>
          <w:color w:val="000000"/>
          <w:sz w:val="28"/>
          <w:sz w:val="28"/>
          <w:shd w:fill="FFFFFF" w:val="clear"/>
          <w:rtl w:val="true"/>
        </w:rPr>
        <w:t>יש לבחון את קיומם כמכלול אחד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shd w:fill="FFFFFF" w:val="clear"/>
          <w:rtl w:val="true"/>
        </w:rPr>
        <w:t>שבו מתקיים יחס של מקבילית כוחות בין שני התנאים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: </w:t>
      </w:r>
      <w:r>
        <w:rPr>
          <w:rFonts w:ascii="FrankRuehl" w:hAnsi="FrankRuehl"/>
          <w:color w:val="000000"/>
          <w:sz w:val="28"/>
          <w:sz w:val="28"/>
          <w:shd w:fill="FFFFFF" w:val="clear"/>
          <w:rtl w:val="true"/>
        </w:rPr>
        <w:t>ככל שיש לייחס חומרה רבה יותר ליסוד של מעשה העבירה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shd w:fill="FFFFFF" w:val="clear"/>
          <w:rtl w:val="true"/>
        </w:rPr>
        <w:t xml:space="preserve">כך נדרוש 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>"</w:t>
      </w:r>
      <w:r>
        <w:rPr>
          <w:rFonts w:ascii="FrankRuehl" w:hAnsi="FrankRuehl"/>
          <w:color w:val="000000"/>
          <w:sz w:val="28"/>
          <w:sz w:val="28"/>
          <w:shd w:fill="FFFFFF" w:val="clear"/>
          <w:rtl w:val="true"/>
        </w:rPr>
        <w:t>חומרה יתרה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>"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shd w:fill="FFFFFF" w:val="clear"/>
          <w:rtl w:val="true"/>
        </w:rPr>
        <w:t>בדרגה פחותה יותר ליסוד של מידת האשם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shd w:fill="FFFFFF" w:val="clear"/>
          <w:rtl w:val="true"/>
        </w:rPr>
        <w:t xml:space="preserve">ולהיפך 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>(</w:t>
      </w:r>
      <w:hyperlink r:id="rId6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6637/17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קרנדל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לחוות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18.</w:t>
      </w:r>
      <w:r>
        <w:rPr/>
        <w:t>4</w:t>
      </w:r>
      <w:r>
        <w:rPr/>
        <w:t>.2018</w:t>
      </w:r>
      <w:r>
        <w:rPr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בהתקיים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האמורים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ברירת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המחדל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לאפשר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השתקם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סיכוי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שישתקם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המחוקק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הותיר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לחרוג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מהמתחם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מתקיימות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נסיבות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מיוחדות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ויוצאות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דופן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השתכנע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ונימק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גוברות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בגדרי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. </w:t>
      </w:r>
      <w:r>
        <w:rPr>
          <w:rtl w:val="true"/>
        </w:rPr>
        <w:t>במקום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הרחיב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</w:t>
      </w:r>
      <w:r>
        <w:rPr>
          <w:rtl w:val="true"/>
        </w:rPr>
        <w:t xml:space="preserve">,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שטיין</w:t>
      </w:r>
      <w:r>
        <w:rPr>
          <w:rtl w:val="true"/>
        </w:rPr>
        <w:t xml:space="preserve">,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המיוחדות</w:t>
      </w:r>
      <w:r>
        <w:rPr>
          <w:rtl w:val="true"/>
        </w:rPr>
        <w:t xml:space="preserve">: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בעניין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חשוב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להדגיש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מיוחדות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ויוצאות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דופן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נדרשות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קיומו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תוספת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ממהפך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באישיותו</w:t>
      </w:r>
      <w:r>
        <w:rPr>
          <w:rtl w:val="true"/>
        </w:rPr>
        <w:t xml:space="preserve">, </w:t>
      </w:r>
      <w:r>
        <w:rPr>
          <w:rtl w:val="true"/>
        </w:rPr>
        <w:t>בתפיסותיו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ובהלכותיו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העבריין</w:t>
      </w:r>
      <w:r>
        <w:rPr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(</w:t>
      </w:r>
      <w:hyperlink r:id="rId6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5579/19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מלחם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9</w:t>
      </w:r>
      <w:r>
        <w:rPr/>
        <w:t>.</w:t>
      </w:r>
      <w:r>
        <w:rPr/>
        <w:t>2</w:t>
      </w:r>
      <w:r>
        <w:rPr/>
        <w:t>.2020</w:t>
      </w:r>
      <w:r>
        <w:rPr>
          <w:rtl w:val="true"/>
        </w:rPr>
        <w:t>)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הנושאות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ננעל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ונותר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לחרוג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מפאת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ומידת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נדירים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מתקיימות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נסיבות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יוצאות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דופן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בגדרי</w:t>
      </w:r>
      <w:r>
        <w:rPr>
          <w:rFonts w:eastAsia="Arial TUR;Arial" w:cs="Arial TUR;Arial"/>
          <w:rtl w:val="true"/>
        </w:rPr>
        <w:t xml:space="preserve"> </w:t>
      </w:r>
      <w:hyperlink r:id="rId66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ד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ככל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שהעבירה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ונסיבותיה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חמורות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יותר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גובר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הנטל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הטוען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להקלה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שיקולי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שיקום</w:t>
      </w:r>
      <w:r>
        <w:rPr>
          <w:rtl w:val="true"/>
        </w:rPr>
        <w:t>" (</w:t>
      </w:r>
      <w:hyperlink r:id="rId6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5936/13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14.</w:t>
      </w:r>
      <w:r>
        <w:rPr/>
        <w:t>1</w:t>
      </w:r>
      <w:r>
        <w:rPr/>
        <w:t>.2015</w:t>
      </w:r>
      <w:r>
        <w:rPr>
          <w:rtl w:val="true"/>
        </w:rPr>
        <w:t>)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אם כן </w:t>
      </w:r>
      <w:hyperlink r:id="rId68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ד</w:t>
        </w:r>
      </w:hyperlink>
      <w:r>
        <w:rPr>
          <w:rtl w:val="true"/>
        </w:rPr>
        <w:t xml:space="preserve"> לחוק כפשוטו מאפשר לבית המשפט לחרוג לקולה ממתחם העונש ההולם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ורק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מכוח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שיקולי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שיקום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 xml:space="preserve">בסמוך לאחר שתיקון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לחוק נכנס לתוקף</w:t>
      </w:r>
      <w:r>
        <w:rPr>
          <w:rtl w:val="true"/>
        </w:rPr>
        <w:t xml:space="preserve">, </w:t>
      </w:r>
      <w:r>
        <w:rPr>
          <w:rtl w:val="true"/>
        </w:rPr>
        <w:t xml:space="preserve">היו שהעירו כי צמצום טעמי החריגה לקולה מהמתחם לשיקולי שיקום בלבד </w:t>
      </w:r>
      <w:r>
        <w:rPr>
          <w:rtl w:val="true"/>
        </w:rPr>
        <w:t>–</w:t>
      </w:r>
      <w:r>
        <w:rPr>
          <w:rtl w:val="true"/>
        </w:rPr>
        <w:t xml:space="preserve"> מגביל יתר על המידה את שיקול דעתו של בית המשפט </w:t>
      </w:r>
      <w:r>
        <w:rPr>
          <w:rtl w:val="true"/>
        </w:rPr>
        <w:t>(</w:t>
      </w:r>
      <w:r>
        <w:rPr>
          <w:rtl w:val="true"/>
        </w:rPr>
        <w:t>יובל</w:t>
      </w:r>
      <w:r>
        <w:rPr>
          <w:rtl w:val="true"/>
        </w:rPr>
        <w:t xml:space="preserve"> </w:t>
      </w:r>
      <w:r>
        <w:rPr>
          <w:rtl w:val="true"/>
        </w:rPr>
        <w:t>ליבדרו</w:t>
      </w:r>
      <w:r>
        <w:rPr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חריגה</w:t>
      </w:r>
      <w:r>
        <w:rPr>
          <w:rtl w:val="true"/>
        </w:rPr>
        <w:t xml:space="preserve"> </w:t>
      </w:r>
      <w:r>
        <w:rPr>
          <w:rtl w:val="true"/>
        </w:rPr>
        <w:t>ממתחם</w:t>
      </w:r>
      <w:r>
        <w:rPr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 </w:t>
      </w:r>
      <w:r>
        <w:rPr>
          <w:rtl w:val="true"/>
        </w:rPr>
        <w:t>מטעמי</w:t>
      </w:r>
      <w:r>
        <w:rPr>
          <w:rtl w:val="true"/>
        </w:rPr>
        <w:t xml:space="preserve"> </w:t>
      </w:r>
      <w:r>
        <w:rPr>
          <w:rtl w:val="true"/>
        </w:rPr>
        <w:t>צדק</w:t>
      </w:r>
      <w:r>
        <w:rPr>
          <w:rtl w:val="true"/>
        </w:rPr>
        <w:t xml:space="preserve">"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הסניגור</w:t>
      </w:r>
      <w:r>
        <w:rPr>
          <w:rtl w:val="true"/>
        </w:rPr>
        <w:t xml:space="preserve"> </w:t>
      </w:r>
      <w:r>
        <w:rPr/>
        <w:t>197</w:t>
      </w:r>
      <w:r>
        <w:rPr>
          <w:rtl w:val="true"/>
        </w:rPr>
        <w:t xml:space="preserve">,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2013</w:t>
      </w:r>
      <w:r>
        <w:rPr>
          <w:rtl w:val="true"/>
        </w:rPr>
        <w:t>)</w:t>
      </w:r>
      <w:r>
        <w:rPr>
          <w:rtl w:val="true"/>
        </w:rPr>
        <w:t xml:space="preserve">;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גזל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אייל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563</w:t>
      </w:r>
      <w:r>
        <w:rPr>
          <w:rtl w:val="true"/>
        </w:rPr>
        <w:t>).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קושי זה</w:t>
      </w:r>
      <w:r>
        <w:rPr>
          <w:rtl w:val="true"/>
        </w:rPr>
        <w:t xml:space="preserve">, </w:t>
      </w:r>
      <w:r>
        <w:rPr>
          <w:rtl w:val="true"/>
        </w:rPr>
        <w:t xml:space="preserve">הוביל את בתי המשפט לפתח בחיי המעשה מספר פתרונות מגוונים </w:t>
      </w:r>
      <w:r>
        <w:rPr>
          <w:rtl w:val="true"/>
        </w:rPr>
        <w:t>(</w:t>
      </w:r>
      <w:r>
        <w:rPr>
          <w:rtl w:val="true"/>
        </w:rPr>
        <w:t>לסקירה</w:t>
      </w:r>
      <w:r>
        <w:rPr>
          <w:rtl w:val="true"/>
        </w:rPr>
        <w:t xml:space="preserve">, </w:t>
      </w:r>
      <w:r>
        <w:rPr>
          <w:rtl w:val="true"/>
        </w:rPr>
        <w:t xml:space="preserve">ראו אצל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ליבדרו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8-5</w:t>
      </w:r>
      <w:r>
        <w:rPr>
          <w:rtl w:val="true"/>
        </w:rPr>
        <w:t xml:space="preserve">; </w:t>
      </w:r>
      <w:r>
        <w:rPr>
          <w:rtl w:val="true"/>
        </w:rPr>
        <w:t>וכן</w:t>
      </w:r>
      <w:r>
        <w:rPr>
          <w:rtl w:val="true"/>
        </w:rPr>
        <w:t xml:space="preserve">, </w:t>
      </w:r>
      <w:r>
        <w:rPr>
          <w:rtl w:val="true"/>
        </w:rPr>
        <w:t>רות</w:t>
      </w:r>
      <w:r>
        <w:rPr>
          <w:rtl w:val="true"/>
        </w:rPr>
        <w:t xml:space="preserve"> </w:t>
      </w:r>
      <w:r>
        <w:rPr>
          <w:rtl w:val="true"/>
        </w:rPr>
        <w:t>קנאי</w:t>
      </w:r>
      <w:r>
        <w:rPr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לקראת</w:t>
      </w:r>
      <w:r>
        <w:rPr>
          <w:rtl w:val="true"/>
        </w:rPr>
        <w:t xml:space="preserve"> </w:t>
      </w:r>
      <w:r>
        <w:rPr>
          <w:rtl w:val="true"/>
        </w:rPr>
        <w:t>יישום</w:t>
      </w:r>
      <w:r>
        <w:rPr>
          <w:rtl w:val="true"/>
        </w:rPr>
        <w:t xml:space="preserve"> </w:t>
      </w:r>
      <w:r>
        <w:rPr>
          <w:rtl w:val="true"/>
        </w:rPr>
        <w:t>ראוי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תיקון</w:t>
      </w:r>
      <w:r>
        <w:rPr>
          <w:rtl w:val="true"/>
        </w:rPr>
        <w:t xml:space="preserve"> –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הערות</w:t>
      </w:r>
      <w:r>
        <w:rPr>
          <w:rtl w:val="true"/>
        </w:rPr>
        <w:t xml:space="preserve"> </w:t>
      </w:r>
      <w:r>
        <w:rPr>
          <w:rtl w:val="true"/>
        </w:rPr>
        <w:t>ראשוניות</w:t>
      </w:r>
      <w:r>
        <w:rPr>
          <w:rtl w:val="true"/>
        </w:rPr>
        <w:t xml:space="preserve">"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הסניגור</w:t>
      </w:r>
      <w:r>
        <w:rPr>
          <w:rtl w:val="true"/>
        </w:rPr>
        <w:t xml:space="preserve"> </w:t>
      </w:r>
      <w:r>
        <w:rPr/>
        <w:t>196</w:t>
      </w:r>
      <w:r>
        <w:rPr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, </w:t>
      </w:r>
      <w:r>
        <w:rPr/>
        <w:t>9</w:t>
      </w:r>
      <w:r>
        <w:rPr>
          <w:rtl w:val="true"/>
        </w:rPr>
        <w:t xml:space="preserve"> (</w:t>
      </w:r>
      <w:r>
        <w:rPr/>
        <w:t>2013</w:t>
      </w:r>
      <w:r>
        <w:rPr>
          <w:rtl w:val="true"/>
        </w:rPr>
        <w:t xml:space="preserve">)). </w:t>
      </w:r>
      <w:r>
        <w:rPr>
          <w:rtl w:val="true"/>
        </w:rPr>
        <w:t>בחלוף שנים אחדות</w:t>
      </w:r>
      <w:r>
        <w:rPr>
          <w:rtl w:val="true"/>
        </w:rPr>
        <w:t xml:space="preserve">, </w:t>
      </w:r>
      <w:r>
        <w:rPr>
          <w:rtl w:val="true"/>
        </w:rPr>
        <w:t xml:space="preserve">אימץ בית משפט זה גישה שלפיה השיקולים שקבע המחוקק לצורך חריגה מהמתחם אינם בגדר </w:t>
      </w:r>
      <w:r>
        <w:rPr>
          <w:rtl w:val="true"/>
        </w:rPr>
        <w:t>"</w:t>
      </w:r>
      <w:r>
        <w:rPr>
          <w:rtl w:val="true"/>
        </w:rPr>
        <w:t>רשימה סגורה</w:t>
      </w:r>
      <w:r>
        <w:rPr>
          <w:rtl w:val="true"/>
        </w:rPr>
        <w:t xml:space="preserve">" </w:t>
      </w:r>
      <w:r>
        <w:rPr>
          <w:rtl w:val="true"/>
        </w:rPr>
        <w:t xml:space="preserve">ויש מקום להכיר בחריג נוסף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וצר</w:t>
      </w:r>
      <w:r>
        <w:rPr>
          <w:rtl w:val="true"/>
        </w:rPr>
        <w:t xml:space="preserve"> בשל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שיקולי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צדק</w:t>
      </w:r>
      <w:r>
        <w:rPr>
          <w:rtl w:val="true"/>
        </w:rPr>
        <w:t xml:space="preserve"> </w:t>
      </w:r>
      <w:r>
        <w:rPr>
          <w:rtl w:val="true"/>
        </w:rPr>
        <w:t>(</w:t>
      </w:r>
      <w:hyperlink r:id="rId6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4456/14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קלנר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29.12.2015</w:t>
      </w:r>
      <w:r>
        <w:rPr>
          <w:rtl w:val="true"/>
        </w:rPr>
        <w:t>)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קלנר</w:t>
      </w:r>
      <w:r>
        <w:rPr>
          <w:rtl w:val="true"/>
        </w:rPr>
        <w:t xml:space="preserve">)).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 xml:space="preserve">כנגזרת של חובתו של בית המשפט לשמור על מידתיות בענישה בהשפעת </w:t>
      </w:r>
      <w:hyperlink r:id="rId7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יסוד</w:t>
        </w:r>
        <w:r>
          <w:rPr>
            <w:rStyle w:val="Hyperlink"/>
            <w:color w:val="0000FF"/>
            <w:u w:val="single"/>
            <w:rtl w:val="true"/>
          </w:rPr>
          <w:t xml:space="preserve">: </w:t>
        </w:r>
        <w:r>
          <w:rPr>
            <w:rStyle w:val="Hyperlink"/>
            <w:color w:val="0000FF"/>
            <w:u w:val="single"/>
            <w:rtl w:val="true"/>
          </w:rPr>
          <w:t>כבוד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האדם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וחירותו</w:t>
        </w:r>
      </w:hyperlink>
      <w:r>
        <w:rPr>
          <w:rtl w:val="true"/>
        </w:rPr>
        <w:t xml:space="preserve"> על הוראות דיני העונשין </w:t>
      </w:r>
      <w:r>
        <w:rPr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 xml:space="preserve">בפסקה </w:t>
      </w:r>
      <w:r>
        <w:rPr/>
        <w:t>215</w:t>
      </w:r>
      <w:r>
        <w:rPr>
          <w:rtl w:val="true"/>
        </w:rPr>
        <w:t xml:space="preserve"> </w:t>
      </w:r>
      <w:r>
        <w:rPr>
          <w:rtl w:val="true"/>
        </w:rPr>
        <w:t xml:space="preserve">לפסק דינו של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פוגלמן</w:t>
      </w:r>
      <w:r>
        <w:rPr>
          <w:rtl w:val="true"/>
        </w:rPr>
        <w:t xml:space="preserve">). </w:t>
      </w:r>
      <w:r>
        <w:rPr>
          <w:rtl w:val="true"/>
        </w:rPr>
        <w:t>בהתאם</w:t>
      </w:r>
      <w:r>
        <w:rPr>
          <w:rtl w:val="true"/>
        </w:rPr>
        <w:t xml:space="preserve">, </w:t>
      </w:r>
      <w:r>
        <w:rPr>
          <w:rtl w:val="true"/>
        </w:rPr>
        <w:t xml:space="preserve">בעניין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קלנר</w:t>
      </w:r>
      <w:r>
        <w:rPr>
          <w:rtl w:val="true"/>
        </w:rPr>
        <w:t xml:space="preserve"> נקבע כי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 </w:t>
      </w:r>
      <w:r>
        <w:rPr>
          <w:rtl w:val="true"/>
        </w:rPr>
        <w:t>רשאי</w:t>
      </w:r>
      <w:r>
        <w:rPr>
          <w:rtl w:val="true"/>
        </w:rPr>
        <w:t xml:space="preserve"> </w:t>
      </w:r>
      <w:r>
        <w:rPr>
          <w:rtl w:val="true"/>
        </w:rPr>
        <w:t xml:space="preserve">לחרוג לקולה ממתחם העונש ההולם בשל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שיקולי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צדק</w:t>
      </w:r>
      <w:r>
        <w:rPr>
          <w:rtl w:val="true"/>
        </w:rPr>
        <w:t xml:space="preserve">, </w:t>
      </w:r>
      <w:r>
        <w:rPr>
          <w:rtl w:val="true"/>
        </w:rPr>
        <w:t>כאשר ניכר ש</w:t>
      </w:r>
      <w:r>
        <w:rPr>
          <w:rtl w:val="true"/>
        </w:rPr>
        <w:t>כניסתו</w:t>
      </w:r>
      <w:r>
        <w:rPr>
          <w:rtl w:val="true"/>
        </w:rPr>
        <w:t xml:space="preserve"> </w:t>
      </w:r>
      <w:r>
        <w:rPr>
          <w:rtl w:val="true"/>
        </w:rPr>
        <w:t xml:space="preserve">של הנאשם </w:t>
      </w:r>
      <w:r>
        <w:rPr>
          <w:rtl w:val="true"/>
        </w:rPr>
        <w:t>למאסר</w:t>
      </w:r>
      <w:r>
        <w:rPr>
          <w:rtl w:val="true"/>
        </w:rPr>
        <w:t xml:space="preserve"> </w:t>
      </w:r>
      <w:r>
        <w:rPr>
          <w:rtl w:val="true"/>
        </w:rPr>
        <w:t>עלולה</w:t>
      </w:r>
      <w:r>
        <w:rPr>
          <w:rtl w:val="true"/>
        </w:rPr>
        <w:t xml:space="preserve"> </w:t>
      </w:r>
      <w:r>
        <w:rPr>
          <w:rtl w:val="true"/>
        </w:rPr>
        <w:t>לסכן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tl w:val="true"/>
        </w:rPr>
        <w:t xml:space="preserve"> </w:t>
      </w:r>
      <w:r>
        <w:rPr>
          <w:rtl w:val="true"/>
        </w:rPr>
        <w:t>לקצר</w:t>
      </w:r>
      <w:r>
        <w:rPr>
          <w:rtl w:val="true"/>
        </w:rPr>
        <w:t xml:space="preserve"> </w:t>
      </w:r>
      <w:r>
        <w:rPr>
          <w:rtl w:val="true"/>
        </w:rPr>
        <w:t>בצורה</w:t>
      </w:r>
      <w:r>
        <w:rPr>
          <w:rtl w:val="true"/>
        </w:rPr>
        <w:t xml:space="preserve"> </w:t>
      </w:r>
      <w:r>
        <w:rPr>
          <w:rtl w:val="true"/>
        </w:rPr>
        <w:t>ניכרת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תוחלת</w:t>
      </w:r>
      <w:r>
        <w:rPr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בד בבד</w:t>
      </w:r>
      <w:r>
        <w:rPr>
          <w:rtl w:val="true"/>
        </w:rPr>
        <w:t xml:space="preserve">, </w:t>
      </w:r>
      <w:r>
        <w:rPr>
          <w:rtl w:val="true"/>
        </w:rPr>
        <w:t>הודגש כי בבחינת האפשרות לחריגה לקולה מהמתחם</w:t>
      </w:r>
      <w:r>
        <w:rPr>
          <w:rtl w:val="true"/>
        </w:rPr>
        <w:t xml:space="preserve">, </w:t>
      </w:r>
      <w:r>
        <w:rPr>
          <w:rtl w:val="true"/>
        </w:rPr>
        <w:t>על בית המשפט לאזן בין שיקולי הצדק לבין חומרת מעשיו של הנאשם</w:t>
      </w:r>
      <w:r>
        <w:rPr>
          <w:rtl w:val="true"/>
        </w:rPr>
        <w:t xml:space="preserve">, </w:t>
      </w:r>
      <w:r>
        <w:rPr>
          <w:rtl w:val="true"/>
        </w:rPr>
        <w:t>מידת אשמו ומידת מסוכנותו לציבור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מדובר</w:t>
      </w:r>
      <w:r>
        <w:rPr>
          <w:rtl w:val="true"/>
        </w:rPr>
        <w:t xml:space="preserve"> </w:t>
      </w:r>
      <w:r>
        <w:rPr>
          <w:rtl w:val="true"/>
        </w:rPr>
        <w:t xml:space="preserve">אפוא </w:t>
      </w:r>
      <w:r>
        <w:rPr>
          <w:rtl w:val="true"/>
        </w:rPr>
        <w:t>במשוכה</w:t>
      </w:r>
      <w:r>
        <w:rPr>
          <w:rtl w:val="true"/>
        </w:rPr>
        <w:t xml:space="preserve"> </w:t>
      </w:r>
      <w:r>
        <w:rPr>
          <w:rtl w:val="true"/>
        </w:rPr>
        <w:t>גבוהה</w:t>
      </w:r>
      <w:r>
        <w:rPr>
          <w:rtl w:val="true"/>
        </w:rPr>
        <w:t xml:space="preserve"> </w:t>
      </w:r>
      <w:r>
        <w:rPr>
          <w:rtl w:val="true"/>
        </w:rPr>
        <w:t>הניצבת</w:t>
      </w:r>
      <w:r>
        <w:rPr>
          <w:rtl w:val="true"/>
        </w:rPr>
        <w:t xml:space="preserve"> </w:t>
      </w:r>
      <w:r>
        <w:rPr>
          <w:rtl w:val="true"/>
        </w:rPr>
        <w:t>לפני</w:t>
      </w:r>
      <w:r>
        <w:rPr>
          <w:rtl w:val="true"/>
        </w:rPr>
        <w:t xml:space="preserve"> </w:t>
      </w:r>
      <w:r>
        <w:rPr>
          <w:rtl w:val="true"/>
        </w:rPr>
        <w:t>הטוען</w:t>
      </w:r>
      <w:r>
        <w:rPr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שכן נקודת המוצא היא כי חזקה על שירות בתי הסוהר כי הוא ערוך ומוכן להעניק טיפול רפואי מיטבי לאסירים המצויים תחת פיקוחו</w:t>
      </w:r>
      <w:r>
        <w:rPr>
          <w:rtl w:val="true"/>
        </w:rPr>
        <w:t xml:space="preserve">, </w:t>
      </w:r>
      <w:r>
        <w:rPr>
          <w:rtl w:val="true"/>
        </w:rPr>
        <w:t>גם במצבים בריאותיים מורכבים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לא די בטענה כללית כי הנאשם סובל מבעיות רפואיות כאלו ואחרות אשר עלולות להקשות על תקופת מאסרו</w:t>
      </w:r>
      <w:r>
        <w:rPr>
          <w:rtl w:val="true"/>
        </w:rPr>
        <w:t xml:space="preserve">. </w:t>
      </w:r>
      <w:r>
        <w:rPr>
          <w:rtl w:val="true"/>
        </w:rPr>
        <w:t xml:space="preserve">יש להראות כי השהות במאסר תביא להרעה ממשית במצבו הרפואי או לקיצור תוחלת חייו באופן מוחשי </w:t>
      </w:r>
      <w:r>
        <w:rPr>
          <w:rtl w:val="true"/>
        </w:rPr>
        <w:t>(</w:t>
      </w:r>
      <w:hyperlink r:id="rId7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4506/15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11.12.2016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7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5703/22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ציון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9</w:t>
      </w:r>
      <w:r>
        <w:rPr/>
        <w:t>.11.2022</w:t>
      </w:r>
      <w:r>
        <w:rPr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כשם שנאשם המבקש לחרוג לקולה מהמתחם בשל שיקולי שיקום נדרש לבסס באופן עובדתי ומשכנע את הליך שיקומו</w:t>
      </w:r>
      <w:r>
        <w:rPr>
          <w:rtl w:val="true"/>
        </w:rPr>
        <w:t xml:space="preserve">; </w:t>
      </w:r>
      <w:r>
        <w:rPr>
          <w:rtl w:val="true"/>
        </w:rPr>
        <w:t>כך גם מצופה עת מבוקשת חריגה לקולה בשל שיקולי צדק בכלל</w:t>
      </w:r>
      <w:r>
        <w:rPr>
          <w:rtl w:val="true"/>
        </w:rPr>
        <w:t xml:space="preserve">, </w:t>
      </w:r>
      <w:r>
        <w:rPr>
          <w:rtl w:val="true"/>
        </w:rPr>
        <w:t>ושיקולים שעניינם מצבו הרפואי של הנאשם בפרט</w:t>
      </w:r>
      <w:r>
        <w:rPr>
          <w:rtl w:val="true"/>
        </w:rPr>
        <w:t xml:space="preserve">, </w:t>
      </w:r>
      <w:r>
        <w:rPr>
          <w:rtl w:val="true"/>
        </w:rPr>
        <w:t>כי הנאשם יספק תשתית עובדתית ורפואית המלמדת על מצבו ומבססת את טענותיו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חריגה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לקולה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בעבירת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הרצח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הבסיסית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מכאן ליישום הדברים בעבירת הרצח </w:t>
      </w:r>
      <w:r>
        <w:rPr>
          <w:rFonts w:ascii="Century" w:hAnsi="Century" w:cs="Century"/>
          <w:sz w:val="22"/>
          <w:sz w:val="22"/>
          <w:rtl w:val="true"/>
        </w:rPr>
        <w:t>הבסיסית</w:t>
      </w:r>
      <w:r>
        <w:rPr>
          <w:rtl w:val="true"/>
        </w:rPr>
        <w:t xml:space="preserve">. </w:t>
      </w:r>
      <w:r>
        <w:rPr>
          <w:rtl w:val="true"/>
        </w:rPr>
        <w:t>בפסיקה אמנם טרם התגבשו אמות מידה חד</w:t>
      </w:r>
      <w:r>
        <w:rPr>
          <w:rtl w:val="true"/>
        </w:rPr>
        <w:t>-</w:t>
      </w:r>
      <w:r>
        <w:rPr>
          <w:rtl w:val="true"/>
        </w:rPr>
        <w:t xml:space="preserve">משמעיות הקובעות באילו מקרים ישנה </w:t>
      </w:r>
      <w:r>
        <w:rPr>
          <w:rtl w:val="true"/>
        </w:rPr>
        <w:t>"</w:t>
      </w:r>
      <w:r>
        <w:rPr>
          <w:rtl w:val="true"/>
        </w:rPr>
        <w:t>חומרה יתרה</w:t>
      </w:r>
      <w:r>
        <w:rPr>
          <w:rtl w:val="true"/>
        </w:rPr>
        <w:t xml:space="preserve">" </w:t>
      </w:r>
      <w:r>
        <w:rPr>
          <w:rtl w:val="true"/>
        </w:rPr>
        <w:t>במעשה העבירה ובמידת אשמו של הנאשם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לדידי</w:t>
      </w:r>
      <w:r>
        <w:rPr>
          <w:rtl w:val="true"/>
        </w:rPr>
        <w:t xml:space="preserve">, </w:t>
      </w:r>
      <w:r>
        <w:rPr>
          <w:rtl w:val="true"/>
        </w:rPr>
        <w:t xml:space="preserve">אין ספק כי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עבירת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הרצח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הבסיסית</w:t>
      </w:r>
      <w:r>
        <w:rPr>
          <w:rtl w:val="true"/>
        </w:rPr>
        <w:t xml:space="preserve"> כשלעצמה מגלמת </w:t>
      </w:r>
      <w:r>
        <w:rPr>
          <w:rtl w:val="true"/>
        </w:rPr>
        <w:t>"</w:t>
      </w:r>
      <w:r>
        <w:rPr>
          <w:rtl w:val="true"/>
        </w:rPr>
        <w:t>חומרה יתרה</w:t>
      </w:r>
      <w:r>
        <w:rPr>
          <w:rtl w:val="true"/>
        </w:rPr>
        <w:t xml:space="preserve">" </w:t>
      </w:r>
      <w:r>
        <w:rPr>
          <w:rtl w:val="true"/>
        </w:rPr>
        <w:t>במעשה העבירה</w:t>
      </w:r>
      <w:r>
        <w:rPr>
          <w:rtl w:val="true"/>
        </w:rPr>
        <w:t xml:space="preserve">, </w:t>
      </w:r>
      <w:r>
        <w:rPr>
          <w:rtl w:val="true"/>
        </w:rPr>
        <w:t xml:space="preserve">באופן המכניסה לגדרי תחולת </w:t>
      </w:r>
      <w:hyperlink r:id="rId73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ד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>כך גם</w:t>
      </w:r>
      <w:r>
        <w:rPr>
          <w:rtl w:val="true"/>
        </w:rPr>
        <w:t xml:space="preserve">, </w:t>
      </w:r>
      <w:r>
        <w:rPr>
          <w:rtl w:val="true"/>
        </w:rPr>
        <w:t xml:space="preserve">נכון אני להניח כי ככלל תהא מידת אשמו של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הרוצח</w:t>
      </w:r>
      <w:r>
        <w:rPr>
          <w:rtl w:val="true"/>
        </w:rPr>
        <w:t xml:space="preserve"> בעלת </w:t>
      </w:r>
      <w:r>
        <w:rPr>
          <w:rtl w:val="true"/>
        </w:rPr>
        <w:t>"</w:t>
      </w:r>
      <w:r>
        <w:rPr>
          <w:rtl w:val="true"/>
        </w:rPr>
        <w:t>חומרה יתרה</w:t>
      </w:r>
      <w:r>
        <w:rPr>
          <w:rtl w:val="true"/>
        </w:rPr>
        <w:t xml:space="preserve">" </w:t>
      </w:r>
      <w:r>
        <w:rPr>
          <w:rtl w:val="true"/>
        </w:rPr>
        <w:t>המתאימה לגדרי הסעיף</w:t>
      </w:r>
      <w:r>
        <w:rPr>
          <w:rtl w:val="true"/>
        </w:rPr>
        <w:t xml:space="preserve">, </w:t>
      </w:r>
      <w:r>
        <w:rPr>
          <w:rtl w:val="true"/>
        </w:rPr>
        <w:t xml:space="preserve">גם מבלי שנלוו למעשיו נסיבות קונקרטיות מחמירות בפני עצמן </w:t>
      </w:r>
      <w:r>
        <w:rPr>
          <w:rtl w:val="true"/>
        </w:rPr>
        <w:t>(</w:t>
      </w:r>
      <w:r>
        <w:rPr>
          <w:rtl w:val="true"/>
        </w:rPr>
        <w:t>כן ראו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רבין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וואקי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110</w:t>
      </w:r>
      <w:r>
        <w:rPr>
          <w:rtl w:val="true"/>
        </w:rPr>
        <w:t xml:space="preserve">). </w:t>
      </w:r>
      <w:r>
        <w:rPr>
          <w:rtl w:val="true"/>
        </w:rPr>
        <w:t>בצד זאת</w:t>
      </w:r>
      <w:r>
        <w:rPr>
          <w:rtl w:val="true"/>
        </w:rPr>
        <w:t xml:space="preserve">, </w:t>
      </w:r>
      <w:r>
        <w:rPr>
          <w:rtl w:val="true"/>
        </w:rPr>
        <w:t>מובן כי כל מקרה ונסיבותיו הוא</w:t>
      </w:r>
      <w:r>
        <w:rPr>
          <w:rtl w:val="true"/>
        </w:rPr>
        <w:t xml:space="preserve">, </w:t>
      </w:r>
      <w:r>
        <w:rPr>
          <w:rtl w:val="true"/>
        </w:rPr>
        <w:t xml:space="preserve">וכל רוצח ומידת אשמו </w:t>
      </w:r>
      <w:r>
        <w:rPr>
          <w:rtl w:val="true"/>
        </w:rPr>
        <w:t>–</w:t>
      </w:r>
      <w:r>
        <w:rPr>
          <w:rtl w:val="true"/>
        </w:rPr>
        <w:t xml:space="preserve"> בפני עצמה</w:t>
      </w:r>
      <w:r>
        <w:rPr>
          <w:rtl w:val="true"/>
        </w:rPr>
        <w:t xml:space="preserve">, </w:t>
      </w:r>
      <w:r>
        <w:rPr>
          <w:rtl w:val="true"/>
        </w:rPr>
        <w:t xml:space="preserve">כך שייתכן ויקום המקרה המתאים שאינו נכנס לגדרי </w:t>
      </w:r>
      <w:hyperlink r:id="rId74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ד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>
          <w:rFonts w:ascii="Century" w:hAnsi="Century" w:cs="Century"/>
        </w:rPr>
      </w:pPr>
      <w:r>
        <w:rPr>
          <w:rtl w:val="true"/>
        </w:rPr>
        <w:t xml:space="preserve">גם במסגרת </w:t>
      </w:r>
      <w:hyperlink r:id="rId75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ד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השמור לעבירות הנושאות חומרה יתרה</w:t>
      </w:r>
      <w:r>
        <w:rPr>
          <w:rtl w:val="true"/>
        </w:rPr>
        <w:t xml:space="preserve">, </w:t>
      </w:r>
      <w:r>
        <w:rPr>
          <w:rtl w:val="true"/>
        </w:rPr>
        <w:t>יש להתחשב פעם נוספת בחומרת העבירה ובמידת אשמו של הנאשם</w:t>
      </w:r>
      <w:r>
        <w:rPr>
          <w:rtl w:val="true"/>
        </w:rPr>
        <w:t xml:space="preserve">, </w:t>
      </w:r>
      <w:r>
        <w:rPr>
          <w:rtl w:val="true"/>
        </w:rPr>
        <w:t xml:space="preserve">שהרי ככל שהעבירה חמורה יותר </w:t>
      </w:r>
      <w:r>
        <w:rPr>
          <w:rtl w:val="true"/>
        </w:rPr>
        <w:t>–</w:t>
      </w:r>
      <w:r>
        <w:rPr>
          <w:rtl w:val="true"/>
        </w:rPr>
        <w:t xml:space="preserve"> כך גובר הנטל על המבקש לחרוג לקולה מהמתחם</w:t>
      </w:r>
      <w:r>
        <w:rPr>
          <w:rtl w:val="true"/>
        </w:rPr>
        <w:t xml:space="preserve">. </w:t>
      </w:r>
      <w:r>
        <w:rPr>
          <w:rtl w:val="true"/>
        </w:rPr>
        <w:t>עת עסקינן בעבירת הרצח הבסיסית</w:t>
      </w:r>
      <w:r>
        <w:rPr>
          <w:rtl w:val="true"/>
        </w:rPr>
        <w:t xml:space="preserve">, </w:t>
      </w:r>
      <w:r>
        <w:rPr>
          <w:rtl w:val="true"/>
        </w:rPr>
        <w:t>ברי כי במסגרת שקלול חומרת העבירה יחד עם שיקולי השיקום</w:t>
      </w:r>
      <w:r>
        <w:rPr>
          <w:rtl w:val="true"/>
        </w:rPr>
        <w:t xml:space="preserve">, </w:t>
      </w:r>
      <w:r>
        <w:rPr>
          <w:rtl w:val="true"/>
        </w:rPr>
        <w:t xml:space="preserve">הרף הדרוש להתקיימות </w:t>
      </w:r>
      <w:r>
        <w:rPr>
          <w:rtl w:val="true"/>
        </w:rPr>
        <w:t>"</w:t>
      </w:r>
      <w:r>
        <w:rPr>
          <w:rtl w:val="true"/>
        </w:rPr>
        <w:t>נסיבות מיוחדות ויוצאות דופן</w:t>
      </w:r>
      <w:r>
        <w:rPr>
          <w:rtl w:val="true"/>
        </w:rPr>
        <w:t xml:space="preserve">" </w:t>
      </w:r>
      <w:r>
        <w:rPr>
          <w:rtl w:val="true"/>
        </w:rPr>
        <w:t xml:space="preserve">אשר יש בהן כדי לאפשר חריגה לקולה ממתחם העונש </w:t>
      </w:r>
      <w:r>
        <w:rPr>
          <w:rFonts w:ascii="Century" w:hAnsi="Century" w:cs="Century"/>
          <w:rtl w:val="true"/>
        </w:rPr>
        <w:t>ממוקם גבוה ביותר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על אותה הדרך</w:t>
      </w:r>
      <w:r>
        <w:rPr>
          <w:rtl w:val="true"/>
        </w:rPr>
        <w:t xml:space="preserve">, </w:t>
      </w:r>
      <w:r>
        <w:rPr>
          <w:rtl w:val="true"/>
        </w:rPr>
        <w:t>אני סבור כי בשל נשגבות עקרון קדושת החיים</w:t>
      </w:r>
      <w:r>
        <w:rPr>
          <w:rtl w:val="true"/>
        </w:rPr>
        <w:t xml:space="preserve">, </w:t>
      </w:r>
      <w:r>
        <w:rPr>
          <w:rtl w:val="true"/>
        </w:rPr>
        <w:t>יש להחיל אמות מידה מחמירות לחריגה ממתחם העונש ההולם בעבירת הרצח</w:t>
      </w:r>
      <w:r>
        <w:rPr>
          <w:rtl w:val="true"/>
        </w:rPr>
        <w:t xml:space="preserve">, </w:t>
      </w:r>
      <w:r>
        <w:rPr>
          <w:rtl w:val="true"/>
        </w:rPr>
        <w:t xml:space="preserve">אף מכוח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שיקולי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צדק</w:t>
      </w:r>
      <w:r>
        <w:rPr>
          <w:rtl w:val="true"/>
        </w:rPr>
        <w:t xml:space="preserve">. </w:t>
      </w:r>
      <w:r>
        <w:rPr>
          <w:rtl w:val="true"/>
        </w:rPr>
        <w:t xml:space="preserve">כבר בעניין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קלנר</w:t>
      </w:r>
      <w:r>
        <w:rPr>
          <w:rtl w:val="true"/>
        </w:rPr>
        <w:t xml:space="preserve">, </w:t>
      </w:r>
      <w:r>
        <w:rPr>
          <w:rtl w:val="true"/>
        </w:rPr>
        <w:t>הודגש כאמור כי לצורך בחינת אפשרות לחרוג מהמתחם לקולה</w:t>
      </w:r>
      <w:r>
        <w:rPr>
          <w:rtl w:val="true"/>
        </w:rPr>
        <w:t xml:space="preserve">, </w:t>
      </w:r>
      <w:r>
        <w:rPr>
          <w:rtl w:val="true"/>
        </w:rPr>
        <w:t>נבחנים שיקולי הצדק למול חומרת המעשים בהם הורשע הנאשם</w:t>
      </w:r>
      <w:r>
        <w:rPr>
          <w:rtl w:val="true"/>
        </w:rPr>
        <w:t xml:space="preserve">, </w:t>
      </w:r>
      <w:r>
        <w:rPr>
          <w:rtl w:val="true"/>
        </w:rPr>
        <w:t>נסיבות ביצוען ומידת מסוכנותו</w:t>
      </w:r>
      <w:r>
        <w:rPr>
          <w:rtl w:val="true"/>
        </w:rPr>
        <w:t xml:space="preserve">. </w:t>
      </w:r>
      <w:r>
        <w:rPr>
          <w:rtl w:val="true"/>
        </w:rPr>
        <w:t xml:space="preserve">ברי אפוא כי ככל שהעבירה ונסיבותיה חמורות יותר </w:t>
      </w:r>
      <w:r>
        <w:rPr>
          <w:rtl w:val="true"/>
        </w:rPr>
        <w:t>–</w:t>
      </w:r>
      <w:r>
        <w:rPr>
          <w:rtl w:val="true"/>
        </w:rPr>
        <w:t xml:space="preserve"> כך נדרשים שיקולי צדק משמעותיים יותר</w:t>
      </w:r>
      <w:r>
        <w:rPr>
          <w:rtl w:val="true"/>
        </w:rPr>
        <w:t xml:space="preserve">; </w:t>
      </w:r>
      <w:r>
        <w:rPr>
          <w:rtl w:val="true"/>
        </w:rPr>
        <w:t>וממילא</w:t>
      </w:r>
      <w:r>
        <w:rPr>
          <w:rtl w:val="true"/>
        </w:rPr>
        <w:t xml:space="preserve">, </w:t>
      </w:r>
      <w:r>
        <w:rPr>
          <w:rtl w:val="true"/>
        </w:rPr>
        <w:t>בעבירת הרצח</w:t>
      </w:r>
      <w:r>
        <w:rPr>
          <w:rtl w:val="true"/>
        </w:rPr>
        <w:t xml:space="preserve">, </w:t>
      </w:r>
      <w:r>
        <w:rPr>
          <w:rtl w:val="true"/>
        </w:rPr>
        <w:t>בשל חומרתה ולנוכח מידת אשמו של הרוצח</w:t>
      </w:r>
      <w:r>
        <w:rPr>
          <w:rtl w:val="true"/>
        </w:rPr>
        <w:t xml:space="preserve">, </w:t>
      </w:r>
      <w:r>
        <w:rPr>
          <w:rtl w:val="true"/>
        </w:rPr>
        <w:t xml:space="preserve">יידרשו שיקולי צדק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גורל</w:t>
      </w:r>
      <w:r>
        <w:rPr>
          <w:rtl w:val="true"/>
        </w:rPr>
        <w:t xml:space="preserve"> כדי להטות את הכף לטובת חריגה לקולה מהמתחם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על כל זאת יש להוסיף כי האפשרות המצומצמת לחרוג לקולה ממתחם העונש ההולם בעבירת הרצח הבסיסית מתיישבת היטב עם מגמת פסיקת בית משפט זה</w:t>
      </w:r>
      <w:r>
        <w:rPr>
          <w:rtl w:val="true"/>
        </w:rPr>
        <w:t xml:space="preserve">, </w:t>
      </w:r>
      <w:r>
        <w:rPr>
          <w:rtl w:val="true"/>
        </w:rPr>
        <w:t>ומהווה נדבך נוסף בהתוויית מדיניות הענישה בעבירה זו</w:t>
      </w:r>
      <w:r>
        <w:rPr>
          <w:rtl w:val="true"/>
        </w:rPr>
        <w:t xml:space="preserve">. </w:t>
      </w:r>
      <w:r>
        <w:rPr>
          <w:rtl w:val="true"/>
        </w:rPr>
        <w:t>כזכור</w:t>
      </w:r>
      <w:r>
        <w:rPr>
          <w:rtl w:val="true"/>
        </w:rPr>
        <w:t xml:space="preserve">, </w:t>
      </w:r>
      <w:r>
        <w:rPr>
          <w:shd w:fill="FFFFFF" w:val="clear"/>
          <w:rtl w:val="true"/>
        </w:rPr>
        <w:t xml:space="preserve">בעניין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קאדר</w:t>
      </w:r>
      <w:r>
        <w:rPr>
          <w:shd w:fill="FFFFFF" w:val="clear"/>
          <w:rtl w:val="true"/>
        </w:rPr>
        <w:t xml:space="preserve"> נקבע כי עקרון ההלימה וערך קדושת החיים מצדיקים כי בעבירת הרצח הבסיסית ייקבע מתחם ענישה </w:t>
      </w:r>
      <w:r>
        <w:rPr>
          <w:rFonts w:ascii="Century" w:hAnsi="Century" w:cs="Century"/>
          <w:sz w:val="22"/>
          <w:sz w:val="22"/>
          <w:shd w:fill="FFFFFF" w:val="clear"/>
          <w:rtl w:val="true"/>
        </w:rPr>
        <w:t>מצומצם</w:t>
      </w:r>
      <w:r>
        <w:rPr>
          <w:rFonts w:cs="Century" w:ascii="Century" w:hAnsi="Century"/>
          <w:sz w:val="22"/>
          <w:shd w:fill="FFFFFF" w:val="clear"/>
          <w:rtl w:val="true"/>
        </w:rPr>
        <w:t>.</w:t>
      </w:r>
      <w:r>
        <w:rPr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בשלב הבא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 xml:space="preserve">בעניין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גריפאת</w:t>
      </w:r>
      <w:r>
        <w:rPr>
          <w:shd w:fill="FFFFFF" w:val="clear"/>
          <w:rtl w:val="true"/>
        </w:rPr>
        <w:t xml:space="preserve"> נקבע באשר למשקלן של נסיבות שאינן קשורות בביצוע העבירה </w:t>
      </w:r>
      <w:r>
        <w:rPr>
          <w:rtl w:val="true"/>
        </w:rPr>
        <w:t xml:space="preserve">לעניין גזירת עונשו של הרוצח כי </w:t>
      </w:r>
      <w:r>
        <w:rPr>
          <w:szCs w:val="22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נסיבות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נמדדות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היתר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למול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עוצמת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הפגיעה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[...]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בערכים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המוגנים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בעבירת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הרצח</w:t>
      </w:r>
      <w:r>
        <w:rPr>
          <w:szCs w:val="22"/>
          <w:rtl w:val="true"/>
        </w:rPr>
        <w:t xml:space="preserve">" </w:t>
      </w:r>
      <w:r>
        <w:rPr>
          <w:rtl w:val="true"/>
        </w:rPr>
        <w:t>(</w:t>
      </w:r>
      <w:hyperlink r:id="rId7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5806/22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גריפאת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20.11.2022</w:t>
      </w:r>
      <w:r>
        <w:rPr>
          <w:rtl w:val="true"/>
        </w:rPr>
        <w:t>)</w:t>
      </w:r>
      <w:r>
        <w:rPr>
          <w:rtl w:val="true"/>
        </w:rPr>
        <w:t>)</w:t>
      </w:r>
      <w:r>
        <w:rPr>
          <w:shd w:fill="FFFFFF" w:val="clear"/>
          <w:rtl w:val="true"/>
        </w:rPr>
        <w:t xml:space="preserve">. </w:t>
      </w:r>
      <w:r>
        <w:rPr>
          <w:shd w:fill="FFFFFF" w:val="clear"/>
          <w:rtl w:val="true"/>
        </w:rPr>
        <w:t>בהמשך ובאופן משלים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 xml:space="preserve">בעניין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ניקולקין</w:t>
      </w:r>
      <w:r>
        <w:rPr>
          <w:shd w:fill="FFFFFF" w:val="clear"/>
          <w:rtl w:val="true"/>
        </w:rPr>
        <w:t xml:space="preserve"> הבהרתי כי במסגרת גזירת העונש בעבירת הרצח הבסיסית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לא בכל מקרה יש לתת משקל משמעותי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אם בכלל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לנסיבות שאינן קשורות בביצוע העבירה</w:t>
      </w:r>
      <w:r>
        <w:rPr>
          <w:shd w:fill="FFFFFF" w:val="clear"/>
          <w:rtl w:val="true"/>
        </w:rPr>
        <w:t xml:space="preserve">. </w:t>
      </w:r>
      <w:r>
        <w:rPr>
          <w:shd w:fill="FFFFFF" w:val="clear"/>
          <w:rtl w:val="true"/>
        </w:rPr>
        <w:t>כך שאין לקחת כמובן מאליו כי שיקולים מעין אלו יצדיקו הקלה בעונשו של הרוצח</w:t>
      </w:r>
      <w:r>
        <w:rPr>
          <w:rFonts w:cs="Century" w:ascii="Century" w:hAnsi="Century"/>
          <w:sz w:val="22"/>
          <w:shd w:fill="FFFFFF" w:val="clear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shd w:fill="FFFFFF" w:val="clear"/>
          <w:rtl w:val="true"/>
        </w:rPr>
        <w:t>ואילו כדי למקם את עונשו בתחתית מתחם העונש ההולם נדרשות נסיבות מקלות כבדות משקל במיוחד</w:t>
      </w:r>
      <w:r>
        <w:rPr>
          <w:rFonts w:cs="Century" w:ascii="Century" w:hAnsi="Century"/>
          <w:sz w:val="22"/>
          <w:shd w:fill="FFFFFF" w:val="clear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עתה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מתווסף נדבך למדיניות הענישה בעבירת הרצח הבסיסית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והוא כי ישנו רף גבוה ביותר ע</w:t>
      </w:r>
      <w:r>
        <w:rPr>
          <w:rtl w:val="true"/>
        </w:rPr>
        <w:t>בור חריגה לקולה ממתחם העונש בעבירה זו</w:t>
      </w:r>
      <w:r>
        <w:rPr>
          <w:rtl w:val="true"/>
        </w:rPr>
        <w:t xml:space="preserve">, </w:t>
      </w:r>
      <w:r>
        <w:rPr>
          <w:rtl w:val="true"/>
        </w:rPr>
        <w:t>בין משיקולי שיקום</w:t>
      </w:r>
      <w:r>
        <w:rPr>
          <w:rtl w:val="true"/>
        </w:rPr>
        <w:t xml:space="preserve">, </w:t>
      </w:r>
      <w:r>
        <w:rPr>
          <w:rtl w:val="true"/>
        </w:rPr>
        <w:t>בין משיקולי צדק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לסיכום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חלק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זה</w:t>
      </w:r>
      <w:r>
        <w:rPr>
          <w:rtl w:val="true"/>
        </w:rPr>
        <w:t xml:space="preserve">: </w:t>
      </w:r>
      <w:r>
        <w:rPr>
          <w:rtl w:val="true"/>
        </w:rPr>
        <w:t>ברובם המוחלט של המקרים בהם הורשע הרוצח בעבירת הרצח הבסיסית</w:t>
      </w:r>
      <w:r>
        <w:rPr>
          <w:rtl w:val="true"/>
        </w:rPr>
        <w:t xml:space="preserve">, </w:t>
      </w:r>
      <w:r>
        <w:rPr>
          <w:rtl w:val="true"/>
        </w:rPr>
        <w:t>המשוכה הניצבת בפני המבקש לחרוג לקולה ממתחם העונש ההולם</w:t>
      </w:r>
      <w:r>
        <w:rPr>
          <w:rtl w:val="true"/>
        </w:rPr>
        <w:t xml:space="preserve">, </w:t>
      </w:r>
      <w:r>
        <w:rPr>
          <w:rtl w:val="true"/>
        </w:rPr>
        <w:t xml:space="preserve">בין מכוח שיקולי שיקום ובין מכוח שיקולי צדק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גבוהה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מאוד</w:t>
      </w:r>
      <w:r>
        <w:rPr>
          <w:rtl w:val="true"/>
        </w:rPr>
        <w:t xml:space="preserve">. </w:t>
      </w:r>
      <w:r>
        <w:rPr>
          <w:rtl w:val="true"/>
        </w:rPr>
        <w:t xml:space="preserve">קביעה זו נלמדת מההוראות הנוקשות של </w:t>
      </w:r>
      <w:hyperlink r:id="rId77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ד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 xml:space="preserve">מתיישבת עם פסיקת בית משפט זה בעניין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קלנר</w:t>
      </w:r>
      <w:r>
        <w:rPr>
          <w:rtl w:val="true"/>
        </w:rPr>
        <w:t xml:space="preserve">, </w:t>
      </w:r>
      <w:r>
        <w:rPr>
          <w:rtl w:val="true"/>
        </w:rPr>
        <w:t>וממשיכה את התוויית מדיניות הענישה בעבירת הרצח הבסיסית לאחר הרפורמה בעבירות ההמתה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מן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הכלל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הפרט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ובחזרה לענייננו</w:t>
      </w:r>
      <w:r>
        <w:rPr>
          <w:rtl w:val="true"/>
        </w:rPr>
        <w:t xml:space="preserve">. </w:t>
      </w:r>
      <w:r>
        <w:rPr>
          <w:rtl w:val="true"/>
        </w:rPr>
        <w:t>כזכור</w:t>
      </w:r>
      <w:r>
        <w:rPr>
          <w:rtl w:val="true"/>
        </w:rPr>
        <w:t xml:space="preserve">, </w:t>
      </w:r>
      <w:r>
        <w:rPr>
          <w:rtl w:val="true"/>
        </w:rPr>
        <w:t>בית המשפט המחוזי מצא לחרוג ממתחם העונש ההולם בעניינו של המערער לנוכח מה שהוגדר כמצבו הרפואי המורכב</w:t>
      </w:r>
      <w:r>
        <w:rPr>
          <w:rtl w:val="true"/>
        </w:rPr>
        <w:t xml:space="preserve">, </w:t>
      </w:r>
      <w:r>
        <w:rPr>
          <w:rtl w:val="true"/>
        </w:rPr>
        <w:t xml:space="preserve">ועל כן גזר עליו </w:t>
      </w:r>
      <w:r>
        <w:rPr>
          <w:rFonts w:cs="Miriam" w:ascii="Century" w:hAnsi="Century"/>
          <w:b/>
          <w:spacing w:val="0"/>
          <w:sz w:val="22"/>
          <w:szCs w:val="24"/>
        </w:rPr>
        <w:t>18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מאסר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בפועל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בלבד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לגישתי</w:t>
      </w:r>
      <w:r>
        <w:rPr>
          <w:rtl w:val="true"/>
        </w:rPr>
        <w:t xml:space="preserve">, </w:t>
      </w:r>
      <w:r>
        <w:rPr>
          <w:rtl w:val="true"/>
        </w:rPr>
        <w:t>על אף מצבו הבריאותי המורכב של המערער</w:t>
      </w:r>
      <w:r>
        <w:rPr>
          <w:rtl w:val="true"/>
        </w:rPr>
        <w:t xml:space="preserve">, </w:t>
      </w:r>
      <w:r>
        <w:rPr>
          <w:rtl w:val="true"/>
        </w:rPr>
        <w:t>היה על בית המשפט המחוזי להתחשב בכך בקביעת עונשו בתוך מתחם העונש ההולם והוא אינו מצדיק חריגה מהמתחם לקולה</w:t>
      </w:r>
      <w:r>
        <w:rPr>
          <w:rtl w:val="true"/>
        </w:rPr>
        <w:t xml:space="preserve">, </w:t>
      </w:r>
      <w:r>
        <w:rPr>
          <w:rtl w:val="true"/>
        </w:rPr>
        <w:t>לא כל שכן הקלה כה ניכרת בעונשו של המערער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ראש וראשון</w:t>
      </w:r>
      <w:r>
        <w:rPr>
          <w:rtl w:val="true"/>
        </w:rPr>
        <w:t xml:space="preserve">, </w:t>
      </w:r>
      <w:r>
        <w:rPr>
          <w:rtl w:val="true"/>
        </w:rPr>
        <w:t xml:space="preserve">אשוב ואדגיש כי חומרתה הרבה של עבירת הרצח הבסיסית מציבה רף גבוה בפני רוצח המבקש כי ייגזר עליו עונש החורג לקולה ממתחם העונש </w:t>
      </w:r>
      <w:r>
        <w:rPr>
          <w:rtl w:val="true"/>
        </w:rPr>
        <w:t>–</w:t>
      </w:r>
      <w:r>
        <w:rPr>
          <w:rtl w:val="true"/>
        </w:rPr>
        <w:t xml:space="preserve"> היינו עונש אשר אינו מתיישב עם חומרת מעשיו ומידת הפגיעה בערך קדושת החיים</w:t>
      </w:r>
      <w:r>
        <w:rPr>
          <w:rtl w:val="true"/>
        </w:rPr>
        <w:t xml:space="preserve">. </w:t>
      </w:r>
      <w:r>
        <w:rPr>
          <w:rtl w:val="true"/>
        </w:rPr>
        <w:t>על כן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באופן קטגורי</w:t>
      </w:r>
      <w:r>
        <w:rPr>
          <w:rtl w:val="true"/>
        </w:rPr>
        <w:t xml:space="preserve">, </w:t>
      </w:r>
      <w:r>
        <w:rPr>
          <w:rtl w:val="true"/>
        </w:rPr>
        <w:t xml:space="preserve">בעבירת הרצח הבסיסית ביסוד נפשי של כוונה נותר אך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פתח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צר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ומצומצם</w:t>
      </w:r>
      <w:r>
        <w:rPr>
          <w:rtl w:val="true"/>
        </w:rPr>
        <w:t xml:space="preserve"> השמור למקרים חריגים ביותר</w:t>
      </w:r>
      <w:r>
        <w:rPr>
          <w:rtl w:val="true"/>
        </w:rPr>
        <w:t xml:space="preserve">, </w:t>
      </w:r>
      <w:r>
        <w:rPr>
          <w:rtl w:val="true"/>
        </w:rPr>
        <w:t>עבור חריגה לקולה ממתחם העונש ההולם</w:t>
      </w:r>
      <w:r>
        <w:rPr>
          <w:rtl w:val="true"/>
        </w:rPr>
        <w:t xml:space="preserve">. 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ניכר כי המקרה שלפנינו אינו נמנה על המקרים החריגים המצדיקים חריגה לקולה</w:t>
      </w:r>
      <w:r>
        <w:rPr>
          <w:rtl w:val="true"/>
        </w:rPr>
        <w:t xml:space="preserve">.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לא די בשיקולי צדק כשלעצמם כדי להכריע את הכף לטובת חריגה ממתחם העונש ההולם</w:t>
      </w:r>
      <w:r>
        <w:rPr>
          <w:rtl w:val="true"/>
        </w:rPr>
        <w:t xml:space="preserve">; </w:t>
      </w:r>
      <w:r>
        <w:rPr>
          <w:rtl w:val="true"/>
        </w:rPr>
        <w:t>אלא כי שיקולים אלו נבחנים למול חומרת מעשה העבירה</w:t>
      </w:r>
      <w:r>
        <w:rPr>
          <w:rtl w:val="true"/>
        </w:rPr>
        <w:t xml:space="preserve">, </w:t>
      </w:r>
      <w:r>
        <w:rPr>
          <w:rtl w:val="true"/>
        </w:rPr>
        <w:t>נסיבות ביצועה ומידת מסוכנות הרוצח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מצבו הבריאותי של המערער פורט בגזר דינו של בית משפט קמא</w:t>
      </w:r>
      <w:r>
        <w:rPr>
          <w:rtl w:val="true"/>
        </w:rPr>
        <w:t xml:space="preserve">, </w:t>
      </w:r>
      <w:r>
        <w:rPr>
          <w:rtl w:val="true"/>
        </w:rPr>
        <w:t>על יסוד התיעוד הרפואי שנמסר על ידי שירות בתי הסוהר ועל סמך חוות דעת רפואית שהוגשה לפניו</w:t>
      </w:r>
      <w:r>
        <w:rPr>
          <w:rtl w:val="true"/>
        </w:rPr>
        <w:t xml:space="preserve">. </w:t>
      </w:r>
      <w:r>
        <w:rPr>
          <w:rtl w:val="true"/>
        </w:rPr>
        <w:t>בתוך כך</w:t>
      </w:r>
      <w:r>
        <w:rPr>
          <w:rtl w:val="true"/>
        </w:rPr>
        <w:t xml:space="preserve">, </w:t>
      </w:r>
      <w:r>
        <w:rPr>
          <w:rtl w:val="true"/>
        </w:rPr>
        <w:t>כמובא לעיל</w:t>
      </w:r>
      <w:r>
        <w:rPr>
          <w:rtl w:val="true"/>
        </w:rPr>
        <w:t xml:space="preserve">, </w:t>
      </w:r>
      <w:r>
        <w:rPr>
          <w:rtl w:val="true"/>
        </w:rPr>
        <w:t>תואר כי המערער סובל ממספר בעיות רפואיות קשות</w:t>
      </w:r>
      <w:r>
        <w:rPr>
          <w:rtl w:val="true"/>
        </w:rPr>
        <w:t xml:space="preserve">, </w:t>
      </w:r>
      <w:r>
        <w:rPr>
          <w:rtl w:val="true"/>
        </w:rPr>
        <w:t xml:space="preserve">ובראשן </w:t>
      </w:r>
      <w:r>
        <w:rPr>
          <w:rtl w:val="true"/>
        </w:rPr>
        <w:t>–</w:t>
      </w:r>
      <w:r>
        <w:rPr>
          <w:rtl w:val="true"/>
        </w:rPr>
        <w:t xml:space="preserve"> דימום מוח כרוני</w:t>
      </w:r>
      <w:r>
        <w:rPr>
          <w:rtl w:val="true"/>
        </w:rPr>
        <w:t xml:space="preserve">, </w:t>
      </w:r>
      <w:r>
        <w:rPr>
          <w:rtl w:val="true"/>
        </w:rPr>
        <w:t>שהתגלה לאחר מעצרו</w:t>
      </w:r>
      <w:r>
        <w:rPr>
          <w:rtl w:val="true"/>
        </w:rPr>
        <w:t xml:space="preserve">. </w:t>
      </w:r>
      <w:r>
        <w:rPr>
          <w:rtl w:val="true"/>
        </w:rPr>
        <w:t xml:space="preserve">אלא שחומרת העבירה במקרה שלפנינו </w:t>
      </w:r>
      <w:r>
        <w:rPr>
          <w:rtl w:val="true"/>
        </w:rPr>
        <w:t>–</w:t>
      </w:r>
      <w:r>
        <w:rPr>
          <w:rtl w:val="true"/>
        </w:rPr>
        <w:t xml:space="preserve"> מדברת בפני עצמה</w:t>
      </w:r>
      <w:r>
        <w:rPr>
          <w:rtl w:val="true"/>
        </w:rPr>
        <w:t xml:space="preserve">; </w:t>
      </w:r>
      <w:r>
        <w:rPr>
          <w:rtl w:val="true"/>
        </w:rPr>
        <w:t xml:space="preserve">עניין לנו בעבירת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הרצח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בכוונה</w:t>
      </w:r>
      <w:r>
        <w:rPr>
          <w:rtl w:val="true"/>
        </w:rPr>
        <w:t xml:space="preserve">, </w:t>
      </w:r>
      <w:r>
        <w:rPr>
          <w:rtl w:val="true"/>
        </w:rPr>
        <w:t>על כל המשתמע מכך</w:t>
      </w:r>
      <w:r>
        <w:rPr>
          <w:rtl w:val="true"/>
        </w:rPr>
        <w:t xml:space="preserve">, </w:t>
      </w:r>
      <w:r>
        <w:rPr>
          <w:rtl w:val="true"/>
        </w:rPr>
        <w:t>החל מ</w:t>
      </w:r>
      <w:r>
        <w:rPr>
          <w:rtl w:val="true"/>
        </w:rPr>
        <w:t>"</w:t>
      </w:r>
      <w:r>
        <w:rPr>
          <w:rtl w:val="true"/>
        </w:rPr>
        <w:t>אות הקין</w:t>
      </w:r>
      <w:r>
        <w:rPr>
          <w:rtl w:val="true"/>
        </w:rPr>
        <w:t xml:space="preserve">" </w:t>
      </w:r>
      <w:r>
        <w:rPr>
          <w:rtl w:val="true"/>
        </w:rPr>
        <w:t>שנושא הרוצח וכלה בעונש ההולם את חומרת מעשיו בשל הפגיעה בקדושת ערך חיי האדם</w:t>
      </w:r>
      <w:r>
        <w:rPr>
          <w:rtl w:val="true"/>
        </w:rPr>
        <w:t xml:space="preserve">. </w:t>
      </w:r>
      <w:r>
        <w:rPr>
          <w:rtl w:val="true"/>
        </w:rPr>
        <w:t>נסיבות ביצוע העבירה מלמדות אף הן על חומרת מעשי המערער</w:t>
      </w:r>
      <w:r>
        <w:rPr>
          <w:rtl w:val="true"/>
        </w:rPr>
        <w:t xml:space="preserve">, </w:t>
      </w:r>
      <w:r>
        <w:rPr>
          <w:rtl w:val="true"/>
        </w:rPr>
        <w:t>כמובא לעיל בהרחבה</w:t>
      </w:r>
      <w:r>
        <w:rPr>
          <w:rtl w:val="true"/>
        </w:rPr>
        <w:t xml:space="preserve">. </w:t>
      </w:r>
      <w:r>
        <w:rPr>
          <w:rtl w:val="true"/>
        </w:rPr>
        <w:t>אמנם יש לתת משקל גם לסכסוך שנגלע בין המערער למנוח עובר לרצח ולמצוקה שייתכן והובילה את המערער לבצע את הרצח</w:t>
      </w:r>
      <w:r>
        <w:rPr>
          <w:rtl w:val="true"/>
        </w:rPr>
        <w:t xml:space="preserve">, </w:t>
      </w:r>
      <w:r>
        <w:rPr>
          <w:rtl w:val="true"/>
        </w:rPr>
        <w:t>אולם נסיבות אלו נמדדות לצד יתר נסיבות ביצוע העבירה המלמדות על חומרה רבתי במעשי המערער</w:t>
      </w:r>
      <w:r>
        <w:rPr>
          <w:rtl w:val="true"/>
        </w:rPr>
        <w:t xml:space="preserve">. </w:t>
      </w:r>
      <w:r>
        <w:rPr>
          <w:rtl w:val="true"/>
        </w:rPr>
        <w:t>כך למשל</w:t>
      </w:r>
      <w:r>
        <w:rPr>
          <w:rtl w:val="true"/>
        </w:rPr>
        <w:t xml:space="preserve">, </w:t>
      </w:r>
      <w:r>
        <w:rPr>
          <w:rtl w:val="true"/>
        </w:rPr>
        <w:t>העובדה כי המערער עשה דין לעצמו וקיפד את חיי המנוח חלף פניה לרשויות האכיפה</w:t>
      </w:r>
      <w:r>
        <w:rPr>
          <w:rtl w:val="true"/>
        </w:rPr>
        <w:t xml:space="preserve">; </w:t>
      </w:r>
      <w:r>
        <w:rPr>
          <w:rtl w:val="true"/>
        </w:rPr>
        <w:t>מעשה הרצח קר</w:t>
      </w:r>
      <w:r>
        <w:rPr>
          <w:rtl w:val="true"/>
        </w:rPr>
        <w:t>-</w:t>
      </w:r>
      <w:r>
        <w:rPr>
          <w:rtl w:val="true"/>
        </w:rPr>
        <w:t>הרוח</w:t>
      </w:r>
      <w:r>
        <w:rPr>
          <w:rtl w:val="true"/>
        </w:rPr>
        <w:t xml:space="preserve">, </w:t>
      </w:r>
      <w:r>
        <w:rPr>
          <w:rtl w:val="true"/>
        </w:rPr>
        <w:t>עת המערער הצמיד את קנה האקדח למצח המנוח</w:t>
      </w:r>
      <w:r>
        <w:rPr>
          <w:rtl w:val="true"/>
        </w:rPr>
        <w:t xml:space="preserve">, </w:t>
      </w:r>
      <w:r>
        <w:rPr>
          <w:rtl w:val="true"/>
        </w:rPr>
        <w:t>ואף הורה לו להתפלל בטרם המיתו</w:t>
      </w:r>
      <w:r>
        <w:rPr>
          <w:rtl w:val="true"/>
        </w:rPr>
        <w:t xml:space="preserve">; </w:t>
      </w:r>
      <w:r>
        <w:rPr>
          <w:rtl w:val="true"/>
        </w:rPr>
        <w:t>ולבסוף</w:t>
      </w:r>
      <w:r>
        <w:rPr>
          <w:rtl w:val="true"/>
        </w:rPr>
        <w:t xml:space="preserve">, </w:t>
      </w:r>
      <w:r>
        <w:rPr>
          <w:rtl w:val="true"/>
        </w:rPr>
        <w:t>שרירות ליבו של המערער אשר מיהר להסוות את מעשיו</w:t>
      </w:r>
      <w:r>
        <w:rPr>
          <w:rtl w:val="true"/>
        </w:rPr>
        <w:t xml:space="preserve">, </w:t>
      </w:r>
      <w:r>
        <w:rPr>
          <w:rtl w:val="true"/>
        </w:rPr>
        <w:t>תחת הזעקת כוחות הצלה למקום אשר ייתכן והיו יכולים להציל את חיי המנוח</w:t>
      </w:r>
      <w:r>
        <w:rPr>
          <w:rtl w:val="true"/>
        </w:rPr>
        <w:t xml:space="preserve">. </w:t>
      </w:r>
      <w:r>
        <w:rPr>
          <w:rtl w:val="true"/>
        </w:rPr>
        <w:t>כך גם מידת מסוכנות המערער נלמדת ממעשיו</w:t>
      </w:r>
      <w:r>
        <w:rPr>
          <w:rtl w:val="true"/>
        </w:rPr>
        <w:t xml:space="preserve">, </w:t>
      </w:r>
      <w:r>
        <w:rPr>
          <w:rtl w:val="true"/>
        </w:rPr>
        <w:t>אשר נטל לידיו את האקדח שהיה ברשותו מתוקף עבודתו כמאבטח</w:t>
      </w:r>
      <w:r>
        <w:rPr>
          <w:rtl w:val="true"/>
        </w:rPr>
        <w:t xml:space="preserve">, </w:t>
      </w:r>
      <w:r>
        <w:rPr>
          <w:rtl w:val="true"/>
        </w:rPr>
        <w:t xml:space="preserve">ובשל סירובו של המנוח להתפנות מהדירה </w:t>
      </w:r>
      <w:r>
        <w:rPr>
          <w:rtl w:val="true"/>
        </w:rPr>
        <w:t>–</w:t>
      </w:r>
      <w:r>
        <w:rPr>
          <w:rtl w:val="true"/>
        </w:rPr>
        <w:t xml:space="preserve"> נטל את חייו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יוצא אפוא</w:t>
      </w:r>
      <w:r>
        <w:rPr>
          <w:rtl w:val="true"/>
        </w:rPr>
        <w:t xml:space="preserve">, </w:t>
      </w:r>
      <w:r>
        <w:rPr>
          <w:rtl w:val="true"/>
        </w:rPr>
        <w:t>כי בשקלול חומרת עבירת הרצח בכוונה על נסיבות ביצועה ומידת מסוכנותו של המערער</w:t>
      </w:r>
      <w:r>
        <w:rPr>
          <w:rtl w:val="true"/>
        </w:rPr>
        <w:t xml:space="preserve">, </w:t>
      </w:r>
      <w:r>
        <w:rPr>
          <w:rtl w:val="true"/>
        </w:rPr>
        <w:t xml:space="preserve">לצד שיקולי הצדק ובראשם מצבו הבריאותי של המערער </w:t>
      </w:r>
      <w:r>
        <w:rPr>
          <w:rtl w:val="true"/>
        </w:rPr>
        <w:t>–</w:t>
      </w:r>
      <w:r>
        <w:rPr>
          <w:rtl w:val="true"/>
        </w:rPr>
        <w:t xml:space="preserve"> אני סבור כי לא קמה הצדקה לחרוג ממתחם העונש ההולם</w:t>
      </w:r>
      <w:r>
        <w:rPr>
          <w:rtl w:val="true"/>
        </w:rPr>
        <w:t xml:space="preserve">, </w:t>
      </w:r>
      <w:r>
        <w:rPr>
          <w:rtl w:val="true"/>
        </w:rPr>
        <w:t>וכי יש להתחשב במצבו הרפואי של המערער בקביעת עונשו בתוך מתחם העונש ההולם בלבד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עוד יש להעיר</w:t>
      </w:r>
      <w:r>
        <w:rPr>
          <w:rtl w:val="true"/>
        </w:rPr>
        <w:t xml:space="preserve">, </w:t>
      </w:r>
      <w:r>
        <w:rPr>
          <w:rtl w:val="true"/>
        </w:rPr>
        <w:t>כי גם במקרים אחרים שבהם סבל הרוצח ממצב רפואי מורכב וממגבלות פיזיות ונפשיות</w:t>
      </w:r>
      <w:r>
        <w:rPr>
          <w:rtl w:val="true"/>
        </w:rPr>
        <w:t xml:space="preserve">, </w:t>
      </w:r>
      <w:r>
        <w:rPr>
          <w:rtl w:val="true"/>
        </w:rPr>
        <w:t xml:space="preserve">נסיבות אלו נלקחו בחשבון במסגרת מתחם העונש ההולם ולבסוף נגזרו עונשים חמורים באופן משמעותי מאשר </w:t>
      </w:r>
      <w:r>
        <w:rPr>
          <w:rFonts w:ascii="Century" w:hAnsi="Century" w:cs="Century"/>
          <w:sz w:val="22"/>
          <w:sz w:val="22"/>
          <w:rtl w:val="true"/>
        </w:rPr>
        <w:t>בעניין שלפנינו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 xml:space="preserve">כך למשל בעניין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שפק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נבחנה השפעת מצבו הרפואי על מידת עונשו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שפק</w:t>
      </w:r>
      <w:r>
        <w:rPr>
          <w:rtl w:val="true"/>
        </w:rPr>
        <w:t xml:space="preserve">, </w:t>
      </w:r>
      <w:r>
        <w:rPr>
          <w:rtl w:val="true"/>
        </w:rPr>
        <w:t xml:space="preserve">הורשע בביצוע עבירת הרצח </w:t>
      </w:r>
      <w:r>
        <w:rPr>
          <w:rFonts w:ascii="Century" w:hAnsi="Century" w:cs="Century"/>
          <w:sz w:val="22"/>
          <w:sz w:val="22"/>
          <w:rtl w:val="true"/>
        </w:rPr>
        <w:t>בכוונה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ונגזר עליו בערכאה הדיונית עונש של </w:t>
      </w:r>
      <w:r>
        <w:rPr>
          <w:rFonts w:cs="Century" w:ascii="Century" w:hAnsi="Century"/>
          <w:sz w:val="22"/>
        </w:rPr>
        <w:t>29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מאסר בפועל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כשבוע בלבד לאחר מתן גזר הדין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שפק עבר אירוע מוחי קשה אשר בעקבותיו נותר משותק באופן חלקי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עם קשיים ניכרים בדיבור</w:t>
      </w:r>
      <w:r>
        <w:rPr>
          <w:rtl w:val="true"/>
        </w:rPr>
        <w:t xml:space="preserve"> וכשהוא נאלץ להתנייד בכסא גלגלים</w:t>
      </w:r>
      <w:r>
        <w:rPr>
          <w:rtl w:val="true"/>
        </w:rPr>
        <w:t xml:space="preserve">. </w:t>
      </w:r>
      <w:r>
        <w:rPr>
          <w:rtl w:val="true"/>
        </w:rPr>
        <w:t>באיזון שבין נסיבות אלו לבין חומרת מעשיו</w:t>
      </w:r>
      <w:r>
        <w:rPr>
          <w:rtl w:val="true"/>
        </w:rPr>
        <w:t xml:space="preserve">, </w:t>
      </w:r>
      <w:r>
        <w:rPr>
          <w:rtl w:val="true"/>
        </w:rPr>
        <w:t xml:space="preserve">מצא בית משפט זה להעמיד את עונשו על </w:t>
      </w:r>
      <w:r>
        <w:rPr>
          <w:rFonts w:cs="Miriam" w:ascii="Century" w:hAnsi="Century"/>
          <w:b/>
          <w:spacing w:val="0"/>
          <w:szCs w:val="24"/>
        </w:rPr>
        <w:t>27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 xml:space="preserve">.  </w:t>
      </w:r>
      <w:r>
        <w:rPr>
          <w:rtl w:val="true"/>
        </w:rPr>
        <w:t xml:space="preserve">כך גם בעניין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קאדר</w:t>
      </w:r>
      <w:r>
        <w:rPr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אשר הורשע בעבירת הרצח בכוונה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בית המשפט נדרש למצבו הרפואי המורכב בהיותו קטוע רגל וסובל מלקות נפשית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באופן המקשה עליו את שהותו בבית הסוהר עד כי נטען שעבורו 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עונשו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Century" w:ascii="Century" w:hAnsi="Century"/>
          <w:sz w:val="22"/>
          <w:rtl w:val="true"/>
        </w:rPr>
        <w:t>'</w:t>
      </w:r>
      <w:r>
        <w:rPr>
          <w:rFonts w:ascii="Century" w:hAnsi="Century" w:cs="Century"/>
          <w:sz w:val="22"/>
          <w:sz w:val="22"/>
          <w:rtl w:val="true"/>
        </w:rPr>
        <w:t>כפול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ומכופל</w:t>
      </w:r>
      <w:r>
        <w:rPr>
          <w:rFonts w:cs="Century" w:ascii="Century" w:hAnsi="Century"/>
          <w:sz w:val="22"/>
          <w:rtl w:val="true"/>
        </w:rPr>
        <w:t xml:space="preserve">' </w:t>
      </w:r>
      <w:r>
        <w:rPr>
          <w:rFonts w:ascii="Century" w:hAnsi="Century" w:cs="Century"/>
          <w:sz w:val="22"/>
          <w:sz w:val="22"/>
          <w:rtl w:val="true"/>
        </w:rPr>
        <w:t>ביחס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לאסיר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בריא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cs="Century" w:ascii="Century" w:hAnsi="Century"/>
          <w:sz w:val="22"/>
          <w:rtl w:val="true"/>
        </w:rPr>
        <w:t>.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ואולם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משהורשע קאדר בעבירת רצח בכוונה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מצבו </w:t>
      </w:r>
      <w:r>
        <w:rPr>
          <w:rtl w:val="true"/>
        </w:rPr>
        <w:t>הבריאותי נלקח בחשבון בגדרי מתחם העונש ההולם</w:t>
      </w:r>
      <w:r>
        <w:rPr>
          <w:rtl w:val="true"/>
        </w:rPr>
        <w:t xml:space="preserve">, </w:t>
      </w:r>
      <w:r>
        <w:rPr>
          <w:rtl w:val="true"/>
        </w:rPr>
        <w:t xml:space="preserve">וגם בו לא היה כדי למקם את העונש בתחתית המתחם אלא רק במרכזו ונגזרו עליו </w:t>
      </w:r>
      <w:r>
        <w:rPr>
          <w:rFonts w:cs="Century" w:ascii="Century" w:hAnsi="Century"/>
          <w:sz w:val="22"/>
        </w:rPr>
        <w:t>27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אשר על כן</w:t>
      </w:r>
      <w:r>
        <w:rPr>
          <w:rtl w:val="true"/>
        </w:rPr>
        <w:t xml:space="preserve">, </w:t>
      </w:r>
      <w:r>
        <w:rPr>
          <w:rtl w:val="true"/>
        </w:rPr>
        <w:t>מצבו הבריאותי של המערער</w:t>
      </w:r>
      <w:r>
        <w:rPr>
          <w:rtl w:val="true"/>
        </w:rPr>
        <w:t xml:space="preserve">, </w:t>
      </w:r>
      <w:r>
        <w:rPr>
          <w:rtl w:val="true"/>
        </w:rPr>
        <w:t>אשר דורש בוודאי פיקוח וטיפול רפואי</w:t>
      </w:r>
      <w:r>
        <w:rPr>
          <w:rtl w:val="true"/>
        </w:rPr>
        <w:t xml:space="preserve">, </w:t>
      </w:r>
      <w:r>
        <w:rPr>
          <w:rtl w:val="true"/>
        </w:rPr>
        <w:t>עשוי להוות שיקול בתוך מתחם העונש ההולם</w:t>
      </w:r>
      <w:r>
        <w:rPr>
          <w:rtl w:val="true"/>
        </w:rPr>
        <w:t xml:space="preserve">, </w:t>
      </w:r>
      <w:r>
        <w:rPr>
          <w:rtl w:val="true"/>
        </w:rPr>
        <w:t>אך לא די בו כדי להצדיק חריגה לקולה ממתחם העונש ההולם</w:t>
      </w:r>
      <w:r>
        <w:rPr>
          <w:rtl w:val="true"/>
        </w:rPr>
        <w:t xml:space="preserve">, </w:t>
      </w:r>
      <w:r>
        <w:rPr>
          <w:rtl w:val="true"/>
        </w:rPr>
        <w:t>לא כל שכן עד כדי הקלה כה משמעותית בעונשו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/>
          <w:b/>
          <w:spacing w:val="0"/>
          <w:sz w:val="22"/>
          <w:szCs w:val="24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סוף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דבר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בהינתן האמור</w:t>
      </w:r>
      <w:r>
        <w:rPr>
          <w:rtl w:val="true"/>
        </w:rPr>
        <w:t xml:space="preserve">, </w:t>
      </w:r>
      <w:r>
        <w:rPr>
          <w:rtl w:val="true"/>
        </w:rPr>
        <w:t>לנוכח חומרת מעשיו של המערער</w:t>
      </w:r>
      <w:r>
        <w:rPr>
          <w:rtl w:val="true"/>
        </w:rPr>
        <w:t xml:space="preserve">, </w:t>
      </w:r>
      <w:r>
        <w:rPr>
          <w:rtl w:val="true"/>
        </w:rPr>
        <w:t>בהתחשב במצבו הרפואי המורכב</w:t>
      </w:r>
      <w:r>
        <w:rPr>
          <w:rtl w:val="true"/>
        </w:rPr>
        <w:t xml:space="preserve">, </w:t>
      </w:r>
      <w:r>
        <w:rPr>
          <w:rtl w:val="true"/>
        </w:rPr>
        <w:t>ובשים לב לכלל שלפיו ערכאת הערעור אינה ממצה את מלוא חומרת הדין</w:t>
      </w:r>
      <w:r>
        <w:rPr>
          <w:rtl w:val="true"/>
        </w:rPr>
        <w:t xml:space="preserve">, </w:t>
      </w:r>
      <w:r>
        <w:rPr>
          <w:rtl w:val="true"/>
        </w:rPr>
        <w:t>אציע</w:t>
      </w:r>
      <w:r>
        <w:rPr>
          <w:rtl w:val="true"/>
        </w:rPr>
        <w:t xml:space="preserve"> </w:t>
      </w:r>
      <w:r>
        <w:rPr>
          <w:rtl w:val="true"/>
        </w:rPr>
        <w:t>לחברי</w:t>
      </w:r>
      <w:r>
        <w:rPr>
          <w:rtl w:val="true"/>
        </w:rPr>
        <w:t xml:space="preserve"> </w:t>
      </w:r>
      <w:r>
        <w:rPr>
          <w:rtl w:val="true"/>
        </w:rPr>
        <w:t>ולחברתי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ערעור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ונקבל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ערעור</w:t>
      </w:r>
      <w:r>
        <w:rPr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 </w:t>
      </w:r>
      <w:r>
        <w:rPr>
          <w:rtl w:val="true"/>
        </w:rPr>
        <w:t>שחלף</w:t>
      </w:r>
      <w:r>
        <w:rPr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יושת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המערער</w:t>
      </w:r>
      <w:r>
        <w:rPr>
          <w:rtl w:val="true"/>
        </w:rPr>
        <w:t xml:space="preserve"> </w:t>
      </w:r>
      <w:r>
        <w:rPr>
          <w:rtl w:val="true"/>
        </w:rPr>
        <w:t>עונש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 </w:t>
      </w:r>
      <w:r>
        <w:rPr>
          <w:rtl w:val="true"/>
        </w:rPr>
        <w:t>מאחורי</w:t>
      </w:r>
      <w:r>
        <w:rPr>
          <w:rtl w:val="true"/>
        </w:rPr>
        <w:t xml:space="preserve"> </w:t>
      </w:r>
      <w:r>
        <w:rPr>
          <w:rtl w:val="true"/>
        </w:rPr>
        <w:t>סורג</w:t>
      </w:r>
      <w:r>
        <w:rPr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כפי שניתן להתרשם בהשוואה למקרים אחרים שבהם מדובר בעבירת הרצח הבסיסית ביסוד נפשי של כוונה </w:t>
      </w:r>
      <w:r>
        <w:rPr>
          <w:rtl w:val="true"/>
        </w:rPr>
        <w:t>–</w:t>
      </w:r>
      <w:r>
        <w:rPr>
          <w:rtl w:val="true"/>
        </w:rPr>
        <w:t xml:space="preserve"> מדובר בעונש מקל</w:t>
      </w:r>
      <w:r>
        <w:rPr>
          <w:rtl w:val="true"/>
        </w:rPr>
        <w:t xml:space="preserve">, </w:t>
      </w:r>
      <w:r>
        <w:rPr>
          <w:rtl w:val="true"/>
        </w:rPr>
        <w:t>הנותן משקל משמעותי לנסיבות המקרה ובעיקר למצבו הרפואי של המערער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highlight w:val="yellow"/>
        </w:rPr>
      </w:pPr>
      <w:r>
        <w:rPr>
          <w:rtl w:val="true"/>
        </w:rPr>
        <w:tab/>
      </w:r>
      <w:r>
        <w:rPr>
          <w:rtl w:val="true"/>
        </w:rPr>
        <w:t>עוד אציע כי יתר רכיבי גזר הדין יוותרו על כנם</w:t>
      </w:r>
      <w:r>
        <w:rPr>
          <w:rtl w:val="true"/>
        </w:rPr>
        <w:t xml:space="preserve">, </w:t>
      </w:r>
      <w:r>
        <w:rPr>
          <w:rtl w:val="true"/>
        </w:rPr>
        <w:t>ובכלל זאת איני מוצא להתערב בפיצויים שהושתו על המערער לטובת בני משפחת המנוח</w:t>
      </w:r>
      <w:r>
        <w:rPr>
          <w:rtl w:val="true"/>
        </w:rPr>
        <w:t xml:space="preserve">, </w:t>
      </w:r>
      <w:r>
        <w:rPr>
          <w:rtl w:val="true"/>
        </w:rPr>
        <w:t>משאלו אינם חורגים משיעור הפיצוי הראוי</w:t>
      </w:r>
      <w:r>
        <w:rPr>
          <w:rtl w:val="true"/>
        </w:rPr>
        <w:t xml:space="preserve">, </w:t>
      </w:r>
      <w:r>
        <w:rPr>
          <w:rtl w:val="true"/>
        </w:rPr>
        <w:t xml:space="preserve">בייחוד לנוכח הנזק שהסב לבני משפחת המנוח </w:t>
      </w:r>
      <w:r>
        <w:rPr>
          <w:rtl w:val="true"/>
        </w:rPr>
        <w:t>(</w:t>
      </w:r>
      <w:hyperlink r:id="rId7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2189/23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אהרוני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38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20.2.2024</w:t>
      </w:r>
      <w:r>
        <w:rPr>
          <w:rtl w:val="true"/>
        </w:rPr>
        <w:t>)).</w:t>
      </w:r>
    </w:p>
    <w:p>
      <w:pPr>
        <w:pStyle w:val="Ruller41"/>
        <w:ind w:end="0"/>
        <w:jc w:val="both"/>
        <w:rPr>
          <w:highlight w:val="yellow"/>
        </w:rPr>
      </w:pPr>
      <w:r>
        <w:rPr>
          <w:highlight w:val="yellow"/>
          <w:rtl w:val="true"/>
        </w:rPr>
      </w:r>
    </w:p>
    <w:p>
      <w:pPr>
        <w:pStyle w:val="Ruller41"/>
        <w:ind w:end="0"/>
        <w:jc w:val="both"/>
        <w:rPr>
          <w:highlight w:val="yellow"/>
        </w:rPr>
      </w:pPr>
      <w:r>
        <w:rPr>
          <w:highlight w:val="yellow"/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start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end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b/>
                <w:rtl w:val="true"/>
              </w:rPr>
              <w:t xml:space="preserve">ש ו פ ט  </w:t>
            </w:r>
          </w:p>
        </w:tc>
      </w:tr>
    </w:tbl>
    <w:p>
      <w:pPr>
        <w:pStyle w:val="Ruller41"/>
        <w:ind w:end="0"/>
        <w:jc w:val="both"/>
        <w:rPr>
          <w:b/>
          <w:highlight w:val="yellow"/>
        </w:rPr>
      </w:pPr>
      <w:r>
        <w:rPr>
          <w:b/>
          <w:highlight w:val="yellow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  <w:u w:val="single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שטיין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  <w:u w:val="single"/>
        </w:rPr>
      </w:pPr>
      <w:r>
        <w:rPr>
          <w:rFonts w:cs="Miriam" w:ascii="Century" w:hAnsi="Century"/>
          <w:b/>
          <w:spacing w:val="0"/>
          <w:szCs w:val="24"/>
          <w:u w:val="single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>.</w:t>
      </w:r>
    </w:p>
    <w:p>
      <w:pPr>
        <w:pStyle w:val="Ruller41"/>
        <w:ind w:end="0"/>
        <w:jc w:val="both"/>
        <w:rPr>
          <w:b/>
          <w:highlight w:val="yellow"/>
        </w:rPr>
      </w:pPr>
      <w:r>
        <w:rPr>
          <w:b/>
          <w:highlight w:val="yellow"/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start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end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b/>
                <w:rtl w:val="true"/>
              </w:rPr>
              <w:t>ש ו פ ט</w:t>
            </w:r>
          </w:p>
        </w:tc>
      </w:tr>
    </w:tbl>
    <w:p>
      <w:pPr>
        <w:pStyle w:val="Ruller41"/>
        <w:ind w:end="0"/>
        <w:jc w:val="both"/>
        <w:rPr>
          <w:b/>
          <w:highlight w:val="yellow"/>
        </w:rPr>
      </w:pPr>
      <w:r>
        <w:rPr>
          <w:b/>
          <w:highlight w:val="yellow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  <w:u w:val="single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השופטת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כנפי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שטייניץ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  <w:u w:val="single"/>
        </w:rPr>
      </w:pPr>
      <w:r>
        <w:rPr>
          <w:rFonts w:cs="Miriam" w:ascii="Century" w:hAnsi="Century"/>
          <w:b/>
          <w:spacing w:val="0"/>
          <w:szCs w:val="24"/>
          <w:u w:val="single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מסכימה</w:t>
      </w:r>
      <w:r>
        <w:rPr>
          <w:rtl w:val="true"/>
        </w:rPr>
        <w:t>.</w:t>
      </w:r>
    </w:p>
    <w:p>
      <w:pPr>
        <w:pStyle w:val="Ruller41"/>
        <w:ind w:end="0"/>
        <w:jc w:val="both"/>
        <w:rPr>
          <w:b/>
          <w:highlight w:val="yellow"/>
          <w:u w:val="single"/>
        </w:rPr>
      </w:pPr>
      <w:r>
        <w:rPr>
          <w:b/>
          <w:highlight w:val="yellow"/>
          <w:u w:val="single"/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start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end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b/>
                <w:rtl w:val="true"/>
              </w:rPr>
              <w:t>ש ו פ ט ת</w:t>
            </w:r>
          </w:p>
        </w:tc>
      </w:tr>
    </w:tbl>
    <w:p>
      <w:pPr>
        <w:pStyle w:val="Ruller41"/>
        <w:ind w:end="0"/>
        <w:jc w:val="both"/>
        <w:rPr>
          <w:b/>
          <w:highlight w:val="yellow"/>
        </w:rPr>
      </w:pPr>
      <w:r>
        <w:rPr>
          <w:b/>
          <w:highlight w:val="yellow"/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הוחלט כאמור בפסק דינו של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אלרון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bookmarkStart w:id="26" w:name="Nitan"/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ט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בתמוז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21.7.2024</w:t>
      </w:r>
      <w:r>
        <w:rPr>
          <w:rtl w:val="true"/>
        </w:rPr>
        <w:t xml:space="preserve">). </w:t>
      </w:r>
      <w:bookmarkEnd w:id="26"/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start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  <w:color w:val="FFFFFF"/>
                <w:sz w:val="2"/>
                <w:szCs w:val="2"/>
              </w:rPr>
              <w:t>54678313</w:t>
            </w:r>
            <w:r>
              <w:rPr>
                <w:rFonts w:ascii="Times New Roman" w:hAnsi="Times New Roman" w:cs="Times New Roman"/>
                <w:b/>
                <w:b/>
                <w:rtl w:val="true"/>
              </w:rPr>
              <w:t xml:space="preserve">ש ו פ ט 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b/>
                <w:rtl w:val="true"/>
              </w:rPr>
              <w:t>ש ו פ 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end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b/>
                <w:rtl w:val="true"/>
              </w:rPr>
              <w:t>ש ו פ ט ת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23066920</w:t>
      </w:r>
      <w:r>
        <w:rPr>
          <w:sz w:val="16"/>
          <w:rtl w:val="true"/>
        </w:rPr>
        <w:t>_</w:t>
      </w:r>
      <w:r>
        <w:rPr>
          <w:sz w:val="16"/>
        </w:rPr>
        <w:t>J04.docx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שא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79">
        <w:r>
          <w:rPr>
            <w:rStyle w:val="Hyperlink"/>
            <w:sz w:val="16"/>
          </w:rPr>
          <w:t>https://supreme.court.gov.il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י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אלרון </w:t>
      </w:r>
      <w:r>
        <w:rPr>
          <w:rFonts w:cs="David" w:ascii="David" w:hAnsi="David"/>
          <w:color w:val="000000"/>
          <w:szCs w:val="22"/>
        </w:rPr>
        <w:t>54678313-6692/23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80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81"/>
      <w:footerReference w:type="default" r:id="rId82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FrankRuehl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24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6692/23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גאורגי זלקוב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>
        <w:lang w:bidi="he-IL"/>
      </w:r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lang w:bidi="he-IL"/>
    </w:rPr>
  </w:style>
  <w:style w:type="character" w:styleId="WW8Num12z0">
    <w:name w:val="WW8Num12z0"/>
    <w:qFormat/>
    <w:rPr>
      <w:rFonts w:ascii="Symbol" w:hAnsi="Symbol" w:eastAsia="Times New Roman" w:cs="FrankRuehl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3z0">
    <w:name w:val="WW8Num13z0"/>
    <w:qFormat/>
    <w:rPr>
      <w:rFonts w:ascii="Symbol" w:hAnsi="Symbol" w:eastAsia="Times New Roman" w:cs="FrankRuehl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3z3">
    <w:name w:val="WW8Num13z3"/>
    <w:qFormat/>
    <w:rPr>
      <w:rFonts w:ascii="Symbol" w:hAnsi="Symbol" w:cs="Symbol"/>
    </w:rPr>
  </w:style>
  <w:style w:type="character" w:styleId="WW8Num14z0">
    <w:name w:val="WW8Num14z0"/>
    <w:qFormat/>
    <w:rPr/>
  </w:style>
  <w:style w:type="character" w:styleId="WW8Num15z0">
    <w:name w:val="WW8Num15z0"/>
    <w:qFormat/>
    <w:rPr>
      <w:rFonts w:ascii="FrankRuehl" w:hAnsi="FrankRuehl" w:eastAsia="Times New Roman" w:cs="FrankRuehl"/>
      <w:sz w:val="28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5z3">
    <w:name w:val="WW8Num15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term2">
    <w:name w:val="term_2"/>
    <w:basedOn w:val="DefaultParagraphFont"/>
    <w:qFormat/>
    <w:rPr/>
  </w:style>
  <w:style w:type="character" w:styleId="Ruller4">
    <w:name w:val="Ruller4 תו"/>
    <w:qFormat/>
    <w:rPr>
      <w:rFonts w:ascii="Arial TUR;Arial" w:hAnsi="Arial TUR;Arial" w:cs="FrankRuehl"/>
      <w:spacing w:val="10"/>
      <w:sz w:val="22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1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2">
    <w:name w:val="Ruller 4 ממוספר"/>
    <w:basedOn w:val="Ruller41"/>
    <w:next w:val="Ruller41"/>
    <w:qFormat/>
    <w:pPr>
      <w:numPr>
        <w:ilvl w:val="0"/>
        <w:numId w:val="1"/>
      </w:numPr>
    </w:pPr>
    <w:rPr>
      <w:rFonts w:ascii="Garamond" w:hAnsi="Garamond" w:cs="Garamond"/>
      <w:sz w:val="24"/>
    </w:rPr>
  </w:style>
  <w:style w:type="paragraph" w:styleId="Ruller43">
    <w:name w:val="Ruller4 אלפביתי"/>
    <w:basedOn w:val="Ruller41"/>
    <w:next w:val="Ruller41"/>
    <w:qFormat/>
    <w:pPr>
      <w:numPr>
        <w:ilvl w:val="0"/>
        <w:numId w:val="2"/>
      </w:numPr>
    </w:pPr>
    <w:rPr/>
  </w:style>
  <w:style w:type="paragraph" w:styleId="ruller40">
    <w:name w:val="ruller40"/>
    <w:basedOn w:val="Normal"/>
    <w:qFormat/>
    <w:pPr>
      <w:overflowPunct w:val="true"/>
      <w:autoSpaceDE w:val="true"/>
      <w:bidi w:val="0"/>
      <w:spacing w:before="280" w:after="280"/>
      <w:textAlignment w:val="auto"/>
    </w:pPr>
    <w:rPr>
      <w:rFonts w:cs="Times New Roman"/>
      <w:sz w:val="24"/>
    </w:rPr>
  </w:style>
  <w:style w:type="paragraph" w:styleId="ruller411">
    <w:name w:val="ruller41"/>
    <w:basedOn w:val="Normal"/>
    <w:qFormat/>
    <w:pPr>
      <w:overflowPunct w:val="true"/>
      <w:autoSpaceDE w:val="true"/>
      <w:bidi w:val="0"/>
      <w:spacing w:before="280" w:after="280"/>
      <w:textAlignment w:val="auto"/>
    </w:pPr>
    <w:rPr>
      <w:rFonts w:cs="Times New Roman"/>
      <w:sz w:val="24"/>
    </w:rPr>
  </w:style>
  <w:style w:type="paragraph" w:styleId="Revision">
    <w:name w:val="Revision"/>
    <w:qFormat/>
    <w:pPr>
      <w:widowControl/>
      <w:bidi w:val="0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4">
    <w:name w:val="ללא מרווח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8000724" TargetMode="External"/><Relationship Id="rId3" Type="http://schemas.openxmlformats.org/officeDocument/2006/relationships/hyperlink" Target="http://www.nevo.co.il/safrut/book/30035" TargetMode="External"/><Relationship Id="rId4" Type="http://schemas.openxmlformats.org/officeDocument/2006/relationships/hyperlink" Target="http://www.nevo.co.il/safrut/book/30035" TargetMode="External"/><Relationship Id="rId5" Type="http://schemas.openxmlformats.org/officeDocument/2006/relationships/hyperlink" Target="http://www.nevo.co.il/safrut/bookgroup/2258" TargetMode="External"/><Relationship Id="rId6" Type="http://schemas.openxmlformats.org/officeDocument/2006/relationships/hyperlink" Target="http://www.nevo.co.il/safrut/bookgroup/2258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/40.d" TargetMode="External"/><Relationship Id="rId9" Type="http://schemas.openxmlformats.org/officeDocument/2006/relationships/hyperlink" Target="http://www.nevo.co.il/law/70301/40c.a" TargetMode="External"/><Relationship Id="rId10" Type="http://schemas.openxmlformats.org/officeDocument/2006/relationships/hyperlink" Target="http://www.nevo.co.il/law/70301/40c.b" TargetMode="External"/><Relationship Id="rId11" Type="http://schemas.openxmlformats.org/officeDocument/2006/relationships/hyperlink" Target="http://www.nevo.co.il/law/70301/40d" TargetMode="External"/><Relationship Id="rId12" Type="http://schemas.openxmlformats.org/officeDocument/2006/relationships/hyperlink" Target="http://www.nevo.co.il/law/70301/40d.a" TargetMode="External"/><Relationship Id="rId13" Type="http://schemas.openxmlformats.org/officeDocument/2006/relationships/hyperlink" Target="http://www.nevo.co.il/law/70301/40d.b" TargetMode="External"/><Relationship Id="rId14" Type="http://schemas.openxmlformats.org/officeDocument/2006/relationships/hyperlink" Target="http://www.nevo.co.il/law/70301/40e" TargetMode="External"/><Relationship Id="rId15" Type="http://schemas.openxmlformats.org/officeDocument/2006/relationships/hyperlink" Target="http://www.nevo.co.il/law/70301/40i.a.5." TargetMode="External"/><Relationship Id="rId16" Type="http://schemas.openxmlformats.org/officeDocument/2006/relationships/hyperlink" Target="http://www.nevo.co.il/law/70301/40i.a.7." TargetMode="External"/><Relationship Id="rId17" Type="http://schemas.openxmlformats.org/officeDocument/2006/relationships/hyperlink" Target="http://www.nevo.co.il/law/70301/40i.a.8" TargetMode="External"/><Relationship Id="rId18" Type="http://schemas.openxmlformats.org/officeDocument/2006/relationships/hyperlink" Target="http://www.nevo.co.il/law/70301/40j.b.2" TargetMode="External"/><Relationship Id="rId19" Type="http://schemas.openxmlformats.org/officeDocument/2006/relationships/hyperlink" Target="http://www.nevo.co.il/law/70301/244" TargetMode="External"/><Relationship Id="rId20" Type="http://schemas.openxmlformats.org/officeDocument/2006/relationships/hyperlink" Target="http://www.nevo.co.il/law/70301/300.a" TargetMode="External"/><Relationship Id="rId21" Type="http://schemas.openxmlformats.org/officeDocument/2006/relationships/hyperlink" Target="http://www.nevo.co.il/law/70301/300a" TargetMode="External"/><Relationship Id="rId22" Type="http://schemas.openxmlformats.org/officeDocument/2006/relationships/hyperlink" Target="http://www.nevo.co.il/law/70348" TargetMode="External"/><Relationship Id="rId23" Type="http://schemas.openxmlformats.org/officeDocument/2006/relationships/hyperlink" Target="http://www.nevo.co.il/law/70348/25.b" TargetMode="External"/><Relationship Id="rId24" Type="http://schemas.openxmlformats.org/officeDocument/2006/relationships/hyperlink" Target="http://www.nevo.co.il/law/70320" TargetMode="External"/><Relationship Id="rId25" Type="http://schemas.openxmlformats.org/officeDocument/2006/relationships/hyperlink" Target="http://www.nevo.co.il/law/70301" TargetMode="External"/><Relationship Id="rId26" Type="http://schemas.openxmlformats.org/officeDocument/2006/relationships/hyperlink" Target="http://www.nevo.co.il/law/70320" TargetMode="External"/><Relationship Id="rId27" Type="http://schemas.openxmlformats.org/officeDocument/2006/relationships/hyperlink" Target="http://www.nevo.co.il/case/28000724" TargetMode="External"/><Relationship Id="rId28" Type="http://schemas.openxmlformats.org/officeDocument/2006/relationships/hyperlink" Target="http://www.nevo.co.il/law/70301/300.a" TargetMode="External"/><Relationship Id="rId29" Type="http://schemas.openxmlformats.org/officeDocument/2006/relationships/hyperlink" Target="http://www.nevo.co.il/law/70301" TargetMode="External"/><Relationship Id="rId30" Type="http://schemas.openxmlformats.org/officeDocument/2006/relationships/hyperlink" Target="http://www.nevo.co.il/law/70301/244" TargetMode="External"/><Relationship Id="rId31" Type="http://schemas.openxmlformats.org/officeDocument/2006/relationships/hyperlink" Target="http://www.nevo.co.il/law/70301" TargetMode="External"/><Relationship Id="rId32" Type="http://schemas.openxmlformats.org/officeDocument/2006/relationships/hyperlink" Target="http://www.nevo.co.il/law/70301/40i.a.5.;40i.a.7.;40i.a.8" TargetMode="External"/><Relationship Id="rId33" Type="http://schemas.openxmlformats.org/officeDocument/2006/relationships/hyperlink" Target="http://www.nevo.co.il/law/70301/40d" TargetMode="External"/><Relationship Id="rId34" Type="http://schemas.openxmlformats.org/officeDocument/2006/relationships/hyperlink" Target="http://www.nevo.co.il/case/28429413" TargetMode="External"/><Relationship Id="rId35" Type="http://schemas.openxmlformats.org/officeDocument/2006/relationships/hyperlink" Target="http://www.nevo.co.il/case/28358114" TargetMode="External"/><Relationship Id="rId36" Type="http://schemas.openxmlformats.org/officeDocument/2006/relationships/hyperlink" Target="http://www.nevo.co.il/case/29392933" TargetMode="External"/><Relationship Id="rId37" Type="http://schemas.openxmlformats.org/officeDocument/2006/relationships/hyperlink" Target="http://www.nevo.co.il/case/27915737" TargetMode="External"/><Relationship Id="rId38" Type="http://schemas.openxmlformats.org/officeDocument/2006/relationships/hyperlink" Target="http://www.nevo.co.il/case/28313659" TargetMode="External"/><Relationship Id="rId39" Type="http://schemas.openxmlformats.org/officeDocument/2006/relationships/hyperlink" Target="http://www.nevo.co.il/case/27418439" TargetMode="External"/><Relationship Id="rId40" Type="http://schemas.openxmlformats.org/officeDocument/2006/relationships/hyperlink" Target="http://www.nevo.co.il/case/27487089" TargetMode="External"/><Relationship Id="rId41" Type="http://schemas.openxmlformats.org/officeDocument/2006/relationships/hyperlink" Target="http://www.nevo.co.il/case/29696499" TargetMode="External"/><Relationship Id="rId42" Type="http://schemas.openxmlformats.org/officeDocument/2006/relationships/hyperlink" Target="http://www.nevo.co.il/case/29709783" TargetMode="External"/><Relationship Id="rId43" Type="http://schemas.openxmlformats.org/officeDocument/2006/relationships/hyperlink" Target="http://www.nevo.co.il/law/70301/40.d" TargetMode="External"/><Relationship Id="rId44" Type="http://schemas.openxmlformats.org/officeDocument/2006/relationships/hyperlink" Target="http://www.nevo.co.il/law/70301/40j.b.2" TargetMode="External"/><Relationship Id="rId45" Type="http://schemas.openxmlformats.org/officeDocument/2006/relationships/hyperlink" Target="http://www.nevo.co.il/case/17948082" TargetMode="External"/><Relationship Id="rId46" Type="http://schemas.openxmlformats.org/officeDocument/2006/relationships/hyperlink" Target="http://www.nevo.co.il/case/28693576" TargetMode="External"/><Relationship Id="rId47" Type="http://schemas.openxmlformats.org/officeDocument/2006/relationships/hyperlink" Target="http://www.nevo.co.il/case/20985886" TargetMode="External"/><Relationship Id="rId48" Type="http://schemas.openxmlformats.org/officeDocument/2006/relationships/hyperlink" Target="http://www.nevo.co.il/case/28681495" TargetMode="External"/><Relationship Id="rId49" Type="http://schemas.openxmlformats.org/officeDocument/2006/relationships/hyperlink" Target="http://www.nevo.co.il/case/4887262" TargetMode="External"/><Relationship Id="rId50" Type="http://schemas.openxmlformats.org/officeDocument/2006/relationships/hyperlink" Target="http://www.nevo.co.il/law/70301/300a" TargetMode="External"/><Relationship Id="rId51" Type="http://schemas.openxmlformats.org/officeDocument/2006/relationships/hyperlink" Target="http://www.nevo.co.il/law/70348/25.b" TargetMode="External"/><Relationship Id="rId52" Type="http://schemas.openxmlformats.org/officeDocument/2006/relationships/hyperlink" Target="http://www.nevo.co.il/law/70348" TargetMode="External"/><Relationship Id="rId53" Type="http://schemas.openxmlformats.org/officeDocument/2006/relationships/hyperlink" Target="http://www.nevo.co.il/case/27608320" TargetMode="External"/><Relationship Id="rId54" Type="http://schemas.openxmlformats.org/officeDocument/2006/relationships/hyperlink" Target="http://www.nevo.co.il/law/70301/40c.a" TargetMode="External"/><Relationship Id="rId55" Type="http://schemas.openxmlformats.org/officeDocument/2006/relationships/hyperlink" Target="http://www.nevo.co.il/law/70301/40c.b" TargetMode="External"/><Relationship Id="rId56" Type="http://schemas.openxmlformats.org/officeDocument/2006/relationships/hyperlink" Target="http://www.nevo.co.il/law/70301/40d" TargetMode="External"/><Relationship Id="rId57" Type="http://schemas.openxmlformats.org/officeDocument/2006/relationships/hyperlink" Target="http://www.nevo.co.il/law/70301/40e" TargetMode="External"/><Relationship Id="rId58" Type="http://schemas.openxmlformats.org/officeDocument/2006/relationships/hyperlink" Target="http://www.nevo.co.il/law/70301" TargetMode="External"/><Relationship Id="rId59" Type="http://schemas.openxmlformats.org/officeDocument/2006/relationships/hyperlink" Target="http://www.nevo.co.il/law/70301/40d" TargetMode="External"/><Relationship Id="rId60" Type="http://schemas.openxmlformats.org/officeDocument/2006/relationships/hyperlink" Target="http://www.nevo.co.il/law/70301/40d.a" TargetMode="External"/><Relationship Id="rId61" Type="http://schemas.openxmlformats.org/officeDocument/2006/relationships/hyperlink" Target="http://www.nevo.co.il/safrut/book/30035" TargetMode="External"/><Relationship Id="rId62" Type="http://schemas.openxmlformats.org/officeDocument/2006/relationships/hyperlink" Target="http://www.nevo.co.il/safrut/bookgroup/2258" TargetMode="External"/><Relationship Id="rId63" Type="http://schemas.openxmlformats.org/officeDocument/2006/relationships/hyperlink" Target="http://www.nevo.co.il/law/70301/40d.a" TargetMode="External"/><Relationship Id="rId64" Type="http://schemas.openxmlformats.org/officeDocument/2006/relationships/hyperlink" Target="http://www.nevo.co.il/case/22938500" TargetMode="External"/><Relationship Id="rId65" Type="http://schemas.openxmlformats.org/officeDocument/2006/relationships/hyperlink" Target="http://www.nevo.co.il/case/25989428" TargetMode="External"/><Relationship Id="rId66" Type="http://schemas.openxmlformats.org/officeDocument/2006/relationships/hyperlink" Target="http://www.nevo.co.il/law/70301/40d.b" TargetMode="External"/><Relationship Id="rId67" Type="http://schemas.openxmlformats.org/officeDocument/2006/relationships/hyperlink" Target="http://www.nevo.co.il/case/10442671" TargetMode="External"/><Relationship Id="rId68" Type="http://schemas.openxmlformats.org/officeDocument/2006/relationships/hyperlink" Target="http://www.nevo.co.il/law/70301/40d" TargetMode="External"/><Relationship Id="rId69" Type="http://schemas.openxmlformats.org/officeDocument/2006/relationships/hyperlink" Target="http://www.nevo.co.il/case/17015235" TargetMode="External"/><Relationship Id="rId70" Type="http://schemas.openxmlformats.org/officeDocument/2006/relationships/hyperlink" Target="http://www.nevo.co.il/law/70320" TargetMode="External"/><Relationship Id="rId71" Type="http://schemas.openxmlformats.org/officeDocument/2006/relationships/hyperlink" Target="http://www.nevo.co.il/case/20402459" TargetMode="External"/><Relationship Id="rId72" Type="http://schemas.openxmlformats.org/officeDocument/2006/relationships/hyperlink" Target="http://www.nevo.co.il/case/28899064" TargetMode="External"/><Relationship Id="rId73" Type="http://schemas.openxmlformats.org/officeDocument/2006/relationships/hyperlink" Target="http://www.nevo.co.il/law/70301/40d.b" TargetMode="External"/><Relationship Id="rId74" Type="http://schemas.openxmlformats.org/officeDocument/2006/relationships/hyperlink" Target="http://www.nevo.co.il/law/70301/40d.b" TargetMode="External"/><Relationship Id="rId75" Type="http://schemas.openxmlformats.org/officeDocument/2006/relationships/hyperlink" Target="http://www.nevo.co.il/law/70301/40d.b" TargetMode="External"/><Relationship Id="rId76" Type="http://schemas.openxmlformats.org/officeDocument/2006/relationships/hyperlink" Target="http://www.nevo.co.il/case/28912788" TargetMode="External"/><Relationship Id="rId77" Type="http://schemas.openxmlformats.org/officeDocument/2006/relationships/hyperlink" Target="http://www.nevo.co.il/law/70301/40d.b" TargetMode="External"/><Relationship Id="rId78" Type="http://schemas.openxmlformats.org/officeDocument/2006/relationships/hyperlink" Target="http://www.nevo.co.il/case/29490938" TargetMode="External"/><Relationship Id="rId79" Type="http://schemas.openxmlformats.org/officeDocument/2006/relationships/hyperlink" Target="https://supreme.court.gov.il/" TargetMode="External"/><Relationship Id="rId80" Type="http://schemas.openxmlformats.org/officeDocument/2006/relationships/hyperlink" Target="http://www.nevo.co.il/advertisements/nevo-100.doc" TargetMode="External"/><Relationship Id="rId81" Type="http://schemas.openxmlformats.org/officeDocument/2006/relationships/header" Target="header1.xml"/><Relationship Id="rId82" Type="http://schemas.openxmlformats.org/officeDocument/2006/relationships/footer" Target="footer1.xml"/><Relationship Id="rId83" Type="http://schemas.openxmlformats.org/officeDocument/2006/relationships/numbering" Target="numbering.xml"/><Relationship Id="rId84" Type="http://schemas.openxmlformats.org/officeDocument/2006/relationships/fontTable" Target="fontTable.xml"/><Relationship Id="rId85" Type="http://schemas.openxmlformats.org/officeDocument/2006/relationships/settings" Target="settings.xml"/><Relationship Id="rId8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2024-07-21T10:14:00Z</dcterms:created>
  <dc:creator>h4</dc:creator>
  <dc:description/>
  <cp:keywords/>
  <dc:language>en-IL</dc:language>
  <cp:lastModifiedBy>orly</cp:lastModifiedBy>
  <cp:lastPrinted>2024-07-21T07:18:00Z</cp:lastPrinted>
  <dcterms:modified xsi:type="dcterms:W3CDTF">2024-07-21T10:14:00Z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גאורגי זלקוב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BOOKGROUPTMP1">
    <vt:lpwstr>2258</vt:lpwstr>
  </property>
  <property fmtid="{D5CDD505-2E9C-101B-9397-08002B2CF9AE}" pid="9" name="BOOKLISTTMP1">
    <vt:lpwstr>30035</vt:lpwstr>
  </property>
  <property fmtid="{D5CDD505-2E9C-101B-9397-08002B2CF9AE}" pid="10" name="CASESLISTTMP1">
    <vt:lpwstr>28000724:2;28429413;28358114;29392933;27915737;28313659;27418439;27487089;29696499;29709783;17948082;28693576;20985886;28681495;4887262;27608320;22938500;25989428;10442671;17015235;20402459;28899064;28912788;29490938</vt:lpwstr>
  </property>
  <property fmtid="{D5CDD505-2E9C-101B-9397-08002B2CF9AE}" pid="11" name="CITY">
    <vt:lpwstr/>
  </property>
  <property fmtid="{D5CDD505-2E9C-101B-9397-08002B2CF9AE}" pid="12" name="DATE">
    <vt:lpwstr>20240721</vt:lpwstr>
  </property>
  <property fmtid="{D5CDD505-2E9C-101B-9397-08002B2CF9AE}" pid="13" name="DELEMATA">
    <vt:lpwstr/>
  </property>
  <property fmtid="{D5CDD505-2E9C-101B-9397-08002B2CF9AE}" pid="14" name="ISABSTRACT">
    <vt:lpwstr>Y</vt:lpwstr>
  </property>
  <property fmtid="{D5CDD505-2E9C-101B-9397-08002B2CF9AE}" pid="15" name="JUDGE">
    <vt:lpwstr>י' אלרון;א' שטיין;ג' כנפי שטייניץ</vt:lpwstr>
  </property>
  <property fmtid="{D5CDD505-2E9C-101B-9397-08002B2CF9AE}" pid="16" name="LAWLISTTMP1">
    <vt:lpwstr>70301/300.a;244;040i.a.5;040i.a.7;040i.a.8;040d:4;040.d;040j.b.2;300a;040c.a;040c.b;040e;040d.a:2;040d.b:5</vt:lpwstr>
  </property>
  <property fmtid="{D5CDD505-2E9C-101B-9397-08002B2CF9AE}" pid="17" name="LAWLISTTMP2">
    <vt:lpwstr>70348/025.b</vt:lpwstr>
  </property>
  <property fmtid="{D5CDD505-2E9C-101B-9397-08002B2CF9AE}" pid="18" name="LAWLISTTMP3">
    <vt:lpwstr>70320</vt:lpwstr>
  </property>
  <property fmtid="{D5CDD505-2E9C-101B-9397-08002B2CF9AE}" pid="19" name="LAWYER">
    <vt:lpwstr>ליאוניד פרחובניק;יגאל בלפור;עדי שגב;מורן נירשברג-דרורי</vt:lpwstr>
  </property>
  <property fmtid="{D5CDD505-2E9C-101B-9397-08002B2CF9AE}" pid="20" name="LINKK1">
    <vt:lpwstr/>
  </property>
  <property fmtid="{D5CDD505-2E9C-101B-9397-08002B2CF9AE}" pid="21" name="LINKK2">
    <vt:lpwstr/>
  </property>
  <property fmtid="{D5CDD505-2E9C-101B-9397-08002B2CF9AE}" pid="22" name="LINKK3">
    <vt:lpwstr/>
  </property>
  <property fmtid="{D5CDD505-2E9C-101B-9397-08002B2CF9AE}" pid="23" name="LINKK4">
    <vt:lpwstr/>
  </property>
  <property fmtid="{D5CDD505-2E9C-101B-9397-08002B2CF9AE}" pid="24" name="LINKK5">
    <vt:lpwstr/>
  </property>
  <property fmtid="{D5CDD505-2E9C-101B-9397-08002B2CF9AE}" pid="25" name="METAKZER">
    <vt:lpwstr>נעה</vt:lpwstr>
  </property>
  <property fmtid="{D5CDD505-2E9C-101B-9397-08002B2CF9AE}" pid="26" name="NEWPARTA">
    <vt:lpwstr/>
  </property>
  <property fmtid="{D5CDD505-2E9C-101B-9397-08002B2CF9AE}" pid="27" name="NEWPARTB">
    <vt:lpwstr/>
  </property>
  <property fmtid="{D5CDD505-2E9C-101B-9397-08002B2CF9AE}" pid="28" name="NEWPARTC">
    <vt:lpwstr/>
  </property>
  <property fmtid="{D5CDD505-2E9C-101B-9397-08002B2CF9AE}" pid="29" name="NEWPROC">
    <vt:lpwstr/>
  </property>
  <property fmtid="{D5CDD505-2E9C-101B-9397-08002B2CF9AE}" pid="30" name="NOSE11">
    <vt:lpwstr>עונשין</vt:lpwstr>
  </property>
  <property fmtid="{D5CDD505-2E9C-101B-9397-08002B2CF9AE}" pid="31" name="NOSE110">
    <vt:lpwstr/>
  </property>
  <property fmtid="{D5CDD505-2E9C-101B-9397-08002B2CF9AE}" pid="32" name="NOSE12">
    <vt:lpwstr>עונשין</vt:lpwstr>
  </property>
  <property fmtid="{D5CDD505-2E9C-101B-9397-08002B2CF9AE}" pid="33" name="NOSE13">
    <vt:lpwstr>עונשין</vt:lpwstr>
  </property>
  <property fmtid="{D5CDD505-2E9C-101B-9397-08002B2CF9AE}" pid="34" name="NOSE14">
    <vt:lpwstr>עונשין</vt:lpwstr>
  </property>
  <property fmtid="{D5CDD505-2E9C-101B-9397-08002B2CF9AE}" pid="35" name="NOSE15">
    <vt:lpwstr/>
  </property>
  <property fmtid="{D5CDD505-2E9C-101B-9397-08002B2CF9AE}" pid="36" name="NOSE16">
    <vt:lpwstr/>
  </property>
  <property fmtid="{D5CDD505-2E9C-101B-9397-08002B2CF9AE}" pid="37" name="NOSE17">
    <vt:lpwstr/>
  </property>
  <property fmtid="{D5CDD505-2E9C-101B-9397-08002B2CF9AE}" pid="38" name="NOSE18">
    <vt:lpwstr/>
  </property>
  <property fmtid="{D5CDD505-2E9C-101B-9397-08002B2CF9AE}" pid="39" name="NOSE19">
    <vt:lpwstr/>
  </property>
  <property fmtid="{D5CDD505-2E9C-101B-9397-08002B2CF9AE}" pid="40" name="NOSE1ID">
    <vt:lpwstr>77;77;77;77</vt:lpwstr>
  </property>
  <property fmtid="{D5CDD505-2E9C-101B-9397-08002B2CF9AE}" pid="41" name="NOSE21">
    <vt:lpwstr>עבירת הרצח</vt:lpwstr>
  </property>
  <property fmtid="{D5CDD505-2E9C-101B-9397-08002B2CF9AE}" pid="42" name="NOSE210">
    <vt:lpwstr/>
  </property>
  <property fmtid="{D5CDD505-2E9C-101B-9397-08002B2CF9AE}" pid="43" name="NOSE22">
    <vt:lpwstr>ענישה</vt:lpwstr>
  </property>
  <property fmtid="{D5CDD505-2E9C-101B-9397-08002B2CF9AE}" pid="44" name="NOSE23">
    <vt:lpwstr>ענישה</vt:lpwstr>
  </property>
  <property fmtid="{D5CDD505-2E9C-101B-9397-08002B2CF9AE}" pid="45" name="NOSE24">
    <vt:lpwstr>ענישה</vt:lpwstr>
  </property>
  <property fmtid="{D5CDD505-2E9C-101B-9397-08002B2CF9AE}" pid="46" name="NOSE25">
    <vt:lpwstr/>
  </property>
  <property fmtid="{D5CDD505-2E9C-101B-9397-08002B2CF9AE}" pid="47" name="NOSE26">
    <vt:lpwstr/>
  </property>
  <property fmtid="{D5CDD505-2E9C-101B-9397-08002B2CF9AE}" pid="48" name="NOSE27">
    <vt:lpwstr/>
  </property>
  <property fmtid="{D5CDD505-2E9C-101B-9397-08002B2CF9AE}" pid="49" name="NOSE28">
    <vt:lpwstr/>
  </property>
  <property fmtid="{D5CDD505-2E9C-101B-9397-08002B2CF9AE}" pid="50" name="NOSE29">
    <vt:lpwstr/>
  </property>
  <property fmtid="{D5CDD505-2E9C-101B-9397-08002B2CF9AE}" pid="51" name="NOSE2ID">
    <vt:lpwstr>12455;1446;1446;1446</vt:lpwstr>
  </property>
  <property fmtid="{D5CDD505-2E9C-101B-9397-08002B2CF9AE}" pid="52" name="NOSE31">
    <vt:lpwstr>תיקון 137</vt:lpwstr>
  </property>
  <property fmtid="{D5CDD505-2E9C-101B-9397-08002B2CF9AE}" pid="53" name="NOSE310">
    <vt:lpwstr/>
  </property>
  <property fmtid="{D5CDD505-2E9C-101B-9397-08002B2CF9AE}" pid="54" name="NOSE32">
    <vt:lpwstr>תיקון 113</vt:lpwstr>
  </property>
  <property fmtid="{D5CDD505-2E9C-101B-9397-08002B2CF9AE}" pid="55" name="NOSE33">
    <vt:lpwstr>מדיניות ענישה: עבירת רצח</vt:lpwstr>
  </property>
  <property fmtid="{D5CDD505-2E9C-101B-9397-08002B2CF9AE}" pid="56" name="NOSE34">
    <vt:lpwstr>מדיניות ענישה: שיקולים לקולה</vt:lpwstr>
  </property>
  <property fmtid="{D5CDD505-2E9C-101B-9397-08002B2CF9AE}" pid="57" name="NOSE35">
    <vt:lpwstr/>
  </property>
  <property fmtid="{D5CDD505-2E9C-101B-9397-08002B2CF9AE}" pid="58" name="NOSE36">
    <vt:lpwstr/>
  </property>
  <property fmtid="{D5CDD505-2E9C-101B-9397-08002B2CF9AE}" pid="59" name="NOSE37">
    <vt:lpwstr/>
  </property>
  <property fmtid="{D5CDD505-2E9C-101B-9397-08002B2CF9AE}" pid="60" name="NOSE38">
    <vt:lpwstr/>
  </property>
  <property fmtid="{D5CDD505-2E9C-101B-9397-08002B2CF9AE}" pid="61" name="NOSE39">
    <vt:lpwstr/>
  </property>
  <property fmtid="{D5CDD505-2E9C-101B-9397-08002B2CF9AE}" pid="62" name="NOSE3ID">
    <vt:lpwstr>18905;15240;14615;8996</vt:lpwstr>
  </property>
  <property fmtid="{D5CDD505-2E9C-101B-9397-08002B2CF9AE}" pid="63" name="PADIDATE">
    <vt:lpwstr>20240721</vt:lpwstr>
  </property>
  <property fmtid="{D5CDD505-2E9C-101B-9397-08002B2CF9AE}" pid="64" name="PADIMAIL">
    <vt:lpwstr>YES</vt:lpwstr>
  </property>
  <property fmtid="{D5CDD505-2E9C-101B-9397-08002B2CF9AE}" pid="65" name="PAGE">
    <vt:lpwstr/>
  </property>
  <property fmtid="{D5CDD505-2E9C-101B-9397-08002B2CF9AE}" pid="66" name="PART">
    <vt:lpwstr/>
  </property>
  <property fmtid="{D5CDD505-2E9C-101B-9397-08002B2CF9AE}" pid="67" name="PROCESS">
    <vt:lpwstr>עפ;עפ</vt:lpwstr>
  </property>
  <property fmtid="{D5CDD505-2E9C-101B-9397-08002B2CF9AE}" pid="68" name="PROCNUM">
    <vt:lpwstr>6692;6708</vt:lpwstr>
  </property>
  <property fmtid="{D5CDD505-2E9C-101B-9397-08002B2CF9AE}" pid="69" name="PROCYEAR">
    <vt:lpwstr>23;23</vt:lpwstr>
  </property>
  <property fmtid="{D5CDD505-2E9C-101B-9397-08002B2CF9AE}" pid="70" name="PSAKDIN">
    <vt:lpwstr>פסק-דין</vt:lpwstr>
  </property>
  <property fmtid="{D5CDD505-2E9C-101B-9397-08002B2CF9AE}" pid="71" name="TYPE">
    <vt:lpwstr>1</vt:lpwstr>
  </property>
  <property fmtid="{D5CDD505-2E9C-101B-9397-08002B2CF9AE}" pid="72" name="TYPE_ABS_DATE">
    <vt:lpwstr>410120240721</vt:lpwstr>
  </property>
  <property fmtid="{D5CDD505-2E9C-101B-9397-08002B2CF9AE}" pid="73" name="TYPE_N_DATE">
    <vt:lpwstr>41020240721</vt:lpwstr>
  </property>
  <property fmtid="{D5CDD505-2E9C-101B-9397-08002B2CF9AE}" pid="74" name="VOLUME">
    <vt:lpwstr/>
  </property>
  <property fmtid="{D5CDD505-2E9C-101B-9397-08002B2CF9AE}" pid="75" name="WORDNUMPAGES">
    <vt:lpwstr>22</vt:lpwstr>
  </property>
</Properties>
</file>