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6697/20</w:t>
            </w:r>
            <w:r>
              <w:rPr>
                <w:sz w:val="28"/>
                <w:szCs w:val="28"/>
                <w:rtl w:val="true"/>
              </w:rPr>
              <w:t xml:space="preserve"> - 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sz w:val="28"/>
                <w:szCs w:val="28"/>
                <w:rtl w:val="true"/>
              </w:rPr>
              <w:t>'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6490/20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מבקשת העיון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6490/20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6697/20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)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6490/20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6697/20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בקשה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לעיון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בתיקי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המשפט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תשובת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6490/20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תשובת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המערערת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6697/20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3" w:name="Links_Start"/>
      <w:bookmarkStart w:id="4" w:name="Links_Start"/>
      <w:bookmarkEnd w:id="4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ספרות</w:t>
      </w:r>
      <w:r>
        <w:rPr>
          <w:rFonts w:cs="FrankRuehl;Times New Roman" w:ascii="FrankRuehl;Times New Roman" w:hAnsi="FrankRuehl;Times New Roman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;Times New Roman" w:hAnsi="FrankRuehl;Times New Roman" w:cs="FrankRuehl;Times New Roman"/>
          <w:sz w:val="24"/>
          <w:u w:val="none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יצחק עמית   </w:t>
        </w:r>
        <w:r>
          <w:rPr>
            <w:rStyle w:val="Hyperlink"/>
            <w:rFonts w:ascii="FrankRuehl;Times New Roman" w:hAnsi="FrankRuehl;Times New Roman" w:cs="FrankRuehl;Times New Roman"/>
            <w:b/>
            <w:b/>
            <w:bCs/>
            <w:sz w:val="24"/>
            <w:sz w:val="24"/>
            <w:u w:val="none"/>
            <w:rtl w:val="true"/>
          </w:rPr>
          <w:t xml:space="preserve">חסיונות ואינטרסים מוגנים </w:t>
        </w:r>
        <w:r>
          <w:rPr>
            <w:rStyle w:val="Hyperlink"/>
            <w:rFonts w:cs="FrankRuehl;Times New Roman" w:ascii="FrankRuehl;Times New Roman" w:hAnsi="FrankRuehl;Times New Roman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;Times New Roman" w:hAnsi="FrankRuehl;Times New Roman" w:cs="FrankRuehl;Times New Roman"/>
            <w:b/>
            <w:b/>
            <w:bCs/>
            <w:sz w:val="24"/>
            <w:sz w:val="24"/>
            <w:u w:val="none"/>
            <w:rtl w:val="true"/>
          </w:rPr>
          <w:t xml:space="preserve">הליכי גילוי ועיון במשפט האזרחי והפלילי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זכויות נפגעי עבירה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2001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7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תקנות בתי המשפט ובתי הדין לעבודה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עיון בתיקים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2003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9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יסוד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השפיטה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1984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ו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68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קיבל את בקשת 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שאינה צד להליכים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לעיין בהודעות הערעור ונימוקי הערעור שהגיש המערער שהורשע בביצוע עבירות מין בנפגעת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ללא נספחיהם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מעצם הרשעת המערער קיים לנפגעת העבירה אינטרס מובהק וממשי לעיין בתיק וכי אין בנימוקי התנגדותו של המערער כדי להצביע על טעם מבורר המצדיק שלא לאפשר עיון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פומביות הדיון – עיון בתיקים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פומביות הדיון – התרת פרסום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6490/20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הורשע בביצוע עבירות מין בבתו החורגת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 הוגש ערעור המדינה וערעור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אינם מופנים כלפי הפיצוי שהמערער חויב לשלם לנפגעת העבירה ומטעם זה נפגעת העבירה אינה בעלת דין פורמלית בהליכים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בבקשת נפגעת העבירה לקבל לידיה את הודעות הערעור ואת נימוקי הערעור המפורטים שהגיש המערער בערעורו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הרשם 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גולדשטיין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הבקשה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בעובדה שנפגעת העבירה אינה צד להליך כדי למנוע ממנה את העיון המבוקש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ויש לבחון את בקשתה לפי תקנה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לתקנות בתי המשפט ובתי הדין לעבודה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עיון בתיקים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תקנות אלה מתוות מסגרת דיונית המאפשרת את מימוש זכות העיון בתיקי בתי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זכות זו הינה אחת הנגזרות החשובות של עיקרון פומביות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וזכותו של אדם לעיין בתיק בית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איננו בעל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נגזרת מעקרון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תקנה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לתקנות מתווה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מסלול תלת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לבחינת בקשת עיון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 ראשון נבחנת השאלה האם יש איסור בדין לעיון בחומר המבוקש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נפסק כי צו איסור פרסום אינו מאיין באופן אוטומטי את זכותו של צד שלישי לעיין בתיק וכי איסור פרסום אין משמעו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בהכרח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איסור עיון שלא למטרת 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 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וככל שאין איסור שבדין לעיון בחומר המבוקש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נשאלת השאלה האם העיון מוצדק לגופו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נקודת המוצא הינה התרת העיון בתיקי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אף אם המבקש אינו צד להליך וזאת לנוכח חשיבותו ומעמדו של עקרון פומביות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נטל ההנמקה המוטל על מבקש העיון הוא קל יחסית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זכות העיון אינה מוחלטת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כפופה למערך של איזונים שבמסגרתו נלקחים בחשבון זכויות ואינטרסים אחרים הראויים להגנה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 שלישי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בהנחה שנקבע כי יש הצדקה עקרונית לאפשר את העיון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נבחנת השאלה כיצד ניתן להגשים את מטרת העיון תוך פגיעה מידתית ככל האפשר בזכויות ובאינטרסים של בעלי הדין שהתנגדו לעיון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הנוגעים למי שמבקש לעיין בתיק שהוא אינו צד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ואשר נקודת המוצא שלהם הינה התרת העיון בתיק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חלים ביתר שאת לגבי נפגע עבירה המבקש לעיין בחומרי ההליך הפלילי המתנהל בקשר עם העבירה שממנה נפגע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יש להיעתר לבקשת העיון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הדיונים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התנהלו בדלתיים סגורות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נפגע העבירה רשאי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 ובכפוף לסייגים מסוימים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 עותק מכתב האישום ולהיות נוכח בדיונים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אפילו הם מתנהלים בדלתיים סגורות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שנפגעת העבירה לא הבהירה במפורש מדוע היא מבקשת לעיין בהודעות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כי העיון המבוקש אינו מיועד לצרכי 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שההליך התנהל בדלתיים סגורות אינה מחייבת או מצדיקה 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דחיית בקשת העיון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איסור פרסום אין משמעו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בהכרח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איסור עיון שלא למטרת 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הצביע על נתונים קונקרטיים הכלולים בהודעות הערעור ובנימוקי הערעור שחשיפתם תגרום לו לנזק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מבקשת העיון עמדה בנטל ההנמקה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שהערעורים אינם מופנים כנגד רכיב הפיצוי ונפגעת העבירה אינה צד להם אין בה כדי למנוע את העיון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העובדה שחוק זכויות נפגעי עבירה אינו מקנה לנפגעת העבירה את הזכות לקבל את הודעות הערעור ואת נימוקי הערעור אין בה כדי למנוע היעתרות לבקשה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מזכה את הנפגע ככלל בעיון בכתב האישום ואינו מוסיף על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הפסיקה פירשה בהרחבה את הזכויות המוקנות לנפגע העבירה מכוח חוק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פרשנות רחבה זו מקרינה גם על האופן שבו נבחנת בקשה מכוח התקנות מטעם נפגע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מימוש מטרת העיון תוך פגיעה מידתית ככל האפשר בזכויות ובאינטרסים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לאפשר למבקשת העיון לעיין בהודעת הערעור ובנימוקי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בנספחיהם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בתסקירים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 איסור לפרסום פרטים שאינם מותרים בפרסום ואין במתן היתר העיון משום מתן היתר לפרסום חומרים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Writer_Name"/>
      <w:bookmarkStart w:id="18" w:name="Writer_Name"/>
      <w:bookmarkEnd w:id="18"/>
    </w:p>
    <w:p>
      <w:pPr>
        <w:pStyle w:val="Ruller4"/>
        <w:ind w:end="0"/>
        <w:jc w:val="both"/>
        <w:rPr/>
      </w:pPr>
      <w:bookmarkStart w:id="19" w:name="Start_Write"/>
      <w:bookmarkEnd w:id="19"/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      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6490/20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א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הלמן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י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שיטרית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Miriam" w:hAnsi="Miriam" w:cs="Miriam"/>
          <w:sz w:val="20"/>
          <w:sz w:val="20"/>
          <w:szCs w:val="24"/>
          <w:rtl w:val="true"/>
        </w:rPr>
        <w:t>ס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דבור</w:t>
      </w:r>
      <w:r>
        <w:rPr>
          <w:rtl w:val="true"/>
        </w:rPr>
        <w:t xml:space="preserve">; 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5779-08-19</w:t>
        </w:r>
      </w:hyperlink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נפגעת העבירה</w:t>
      </w:r>
      <w:r>
        <w:rPr>
          <w:rtl w:val="true"/>
        </w:rPr>
        <w:t xml:space="preserve">).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tl w:val="true"/>
        </w:rPr>
        <w:t xml:space="preserve">: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6697/20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6490/20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מונחת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מתנגד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ראשית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Fonts w:ascii="Miriam" w:hAnsi="Miriam" w:cs="Miriam"/>
          <w:sz w:val="20"/>
          <w:sz w:val="2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ופרוטוקולים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; </w:t>
      </w:r>
      <w:r>
        <w:rPr>
          <w:rFonts w:ascii="Miriam" w:hAnsi="Miriam" w:cs="Miriam"/>
          <w:sz w:val="20"/>
          <w:sz w:val="2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cs="Miriam" w:ascii="Miriam" w:hAnsi="Miriam"/>
          <w:sz w:val="20"/>
          <w:szCs w:val="24"/>
          <w:rtl w:val="true"/>
        </w:rPr>
        <w:t>-</w:t>
      </w:r>
      <w:r>
        <w:rPr>
          <w:rFonts w:ascii="Miriam" w:hAnsi="Miriam" w:cs="Miriam"/>
          <w:sz w:val="20"/>
          <w:sz w:val="20"/>
          <w:szCs w:val="24"/>
          <w:rtl w:val="true"/>
        </w:rPr>
        <w:t>רביעית</w:t>
      </w:r>
      <w:r>
        <w:rPr>
          <w:rtl w:val="true"/>
        </w:rPr>
        <w:t xml:space="preserve">, 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חוק 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זכויות </w:t>
      </w:r>
      <w:r>
        <w:rPr>
          <w:rFonts w:ascii="Miriam" w:hAnsi="Miriam" w:cs="Miriam"/>
          <w:sz w:val="20"/>
          <w:sz w:val="20"/>
          <w:szCs w:val="24"/>
          <w:rtl w:val="true"/>
        </w:rPr>
        <w:t>נפגעי עבירה</w:t>
      </w:r>
      <w:r>
        <w:rPr>
          <w:rtl w:val="true"/>
        </w:rPr>
        <w:t xml:space="preserve">),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בתגובתו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</w:t>
      </w:r>
      <w:r>
        <w:rPr>
          <w:rtl w:val="true"/>
        </w:rPr>
        <w:t>ת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כמקובל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לתקנה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לעבודה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עיון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בתיקים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0"/>
          <w:sz w:val="20"/>
          <w:szCs w:val="24"/>
          <w:rtl w:val="true"/>
        </w:rPr>
        <w:t>תקנות העיון</w:t>
      </w:r>
      <w:r>
        <w:rPr>
          <w:rtl w:val="true"/>
        </w:rPr>
        <w:t xml:space="preserve">; </w:t>
      </w:r>
      <w:r>
        <w:rPr>
          <w:rtl w:val="true"/>
        </w:rPr>
        <w:t>השוו</w:t>
      </w:r>
      <w:r>
        <w:rPr>
          <w:rtl w:val="true"/>
        </w:rPr>
        <w:t>,</w:t>
      </w:r>
      <w:r>
        <w:rPr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2917/01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26.4.2011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המעוגן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tl w:val="true"/>
        </w:rPr>
        <w:t xml:space="preserve">: </w:t>
      </w:r>
      <w:r>
        <w:rPr>
          <w:rtl w:val="true"/>
        </w:rPr>
        <w:t>השפיטה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ובסעיף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כאזרחי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המכוונים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פניות</w:t>
      </w:r>
      <w:r>
        <w:rPr>
          <w:rtl w:val="true"/>
        </w:rPr>
        <w:t>" (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334/81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הגינזר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827</w:t>
      </w:r>
      <w:r>
        <w:rPr>
          <w:rtl w:val="true"/>
        </w:rPr>
        <w:t xml:space="preserve">, </w:t>
      </w:r>
      <w:r>
        <w:rPr/>
        <w:t>832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);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353/88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וילנר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444</w:t>
      </w:r>
      <w:r>
        <w:rPr>
          <w:rtl w:val="true"/>
        </w:rPr>
        <w:t xml:space="preserve">, </w:t>
      </w:r>
      <w:r>
        <w:rPr/>
        <w:t>451-450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)).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הפתוחים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בפומבי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לתשתיתה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הדמוקרטית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678/82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טייר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386</w:t>
      </w:r>
      <w:r>
        <w:rPr>
          <w:rtl w:val="true"/>
        </w:rPr>
        <w:t xml:space="preserve">, </w:t>
      </w:r>
      <w:r>
        <w:rPr/>
        <w:t>387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)).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2783/19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קרא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2.1.2020</w:t>
      </w:r>
      <w:r>
        <w:rPr>
          <w:rtl w:val="true"/>
        </w:rPr>
        <w:t xml:space="preserve">);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25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6988/19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הוצאת עיתון הארץ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(</w:t>
      </w:r>
      <w:r>
        <w:rPr/>
        <w:t>26.11.2019</w:t>
      </w:r>
      <w:r>
        <w:rPr>
          <w:rtl w:val="true"/>
        </w:rPr>
        <w:t xml:space="preserve">)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3976/04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בורנשטיין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קבוצת כרמלטון בע</w:t>
      </w:r>
      <w:r>
        <w:rPr>
          <w:rFonts w:cs="Miriam" w:ascii="Miriam" w:hAnsi="Miriam"/>
          <w:sz w:val="20"/>
          <w:szCs w:val="24"/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מ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25.10.2014</w:t>
      </w:r>
      <w:r>
        <w:rPr>
          <w:rtl w:val="true"/>
        </w:rPr>
        <w:t xml:space="preserve">)),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ובמדינות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2840/20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מרכז מכרות היהלומים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29.11.2020</w:t>
      </w:r>
      <w:r>
        <w:rPr>
          <w:rtl w:val="true"/>
        </w:rPr>
        <w:t xml:space="preserve">)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שם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 xml:space="preserve">.        </w:t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בתקנה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4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),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, </w:t>
      </w:r>
      <w:r>
        <w:rPr>
          <w:rtl w:val="true"/>
        </w:rPr>
        <w:t>ייתן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לענינו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לענינם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[..]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ו</w:t>
      </w:r>
      <w:r>
        <w:rPr>
          <w:rtl w:val="true"/>
        </w:rPr>
        <w:t>)</w:t>
        <w:tab/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הגבלת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...".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Miriam" w:hAnsi="Miriam" w:cs="Miriam"/>
          <w:sz w:val="20"/>
          <w:szCs w:val="24"/>
          <w:u w:val="single"/>
        </w:rPr>
      </w:pPr>
      <w:r>
        <w:rPr>
          <w:rtl w:val="true"/>
        </w:rPr>
        <w:tab/>
      </w:r>
      <w:r>
        <w:rPr>
          <w:rtl w:val="true"/>
        </w:rPr>
        <w:t>תקנה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" </w:t>
      </w:r>
      <w:r>
        <w:rPr>
          <w:rtl w:val="true"/>
        </w:rPr>
        <w:t>לבחינ</w:t>
      </w:r>
      <w:r>
        <w:rPr>
          <w:rtl w:val="true"/>
        </w:rPr>
        <w:t>ת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1651/08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עינת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ממונה מע</w:t>
      </w:r>
      <w:r>
        <w:rPr>
          <w:rFonts w:cs="Miriam" w:ascii="Miriam" w:hAnsi="Miriam"/>
          <w:sz w:val="20"/>
          <w:szCs w:val="24"/>
          <w:rtl w:val="true"/>
        </w:rPr>
        <w:t>"</w:t>
      </w:r>
      <w:r>
        <w:rPr>
          <w:rFonts w:ascii="Miriam" w:hAnsi="Miriam" w:cs="Miriam"/>
          <w:sz w:val="20"/>
          <w:sz w:val="20"/>
          <w:szCs w:val="24"/>
          <w:rtl w:val="true"/>
        </w:rPr>
        <w:t>מ גוש דן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27.7.2008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להרחבה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יצחק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עמית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חסיונות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ואינטרסים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מוגנים</w:t>
        </w:r>
      </w:hyperlink>
      <w:r>
        <w:rPr>
          <w:rFonts w:ascii="Miriam" w:hAnsi="Miriam" w:cs="Miriam"/>
          <w:sz w:val="20"/>
          <w:sz w:val="20"/>
          <w:szCs w:val="24"/>
          <w:rtl w:val="true"/>
        </w:rPr>
        <w:t xml:space="preserve"> – הליכי גילוי ועיון במשפט האזרחי והפלילי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/>
        <w:t>423-422</w:t>
      </w:r>
      <w:r>
        <w:rPr>
          <w:rtl w:val="true"/>
        </w:rPr>
        <w:t xml:space="preserve"> (</w:t>
      </w:r>
      <w:r>
        <w:rPr/>
        <w:t>2021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Miriam" w:hAnsi="Miriam" w:cs="Miriam"/>
          <w:sz w:val="20"/>
          <w:szCs w:val="24"/>
          <w:u w:val="single"/>
        </w:rPr>
      </w:pPr>
      <w:r>
        <w:rPr>
          <w:rFonts w:cs="Miriam" w:ascii="Miriam" w:hAnsi="Miriam"/>
          <w:sz w:val="2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Miriam" w:hAnsi="Miriam"/>
          <w:sz w:val="20"/>
          <w:szCs w:val="24"/>
          <w:rtl w:val="true"/>
        </w:rPr>
        <w:tab/>
      </w:r>
      <w:r>
        <w:rPr>
          <w:rFonts w:ascii="Miriam" w:hAnsi="Miriam" w:cs="Miriam"/>
          <w:sz w:val="20"/>
          <w:sz w:val="20"/>
          <w:szCs w:val="24"/>
          <w:u w:val="single"/>
          <w:rtl w:val="true"/>
        </w:rPr>
        <w:t>בשלב הראשון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5699/07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יובל יועז</w:t>
      </w:r>
      <w:r>
        <w:rPr>
          <w:rFonts w:cs="Miriam" w:ascii="Miriam" w:hAnsi="Miriam"/>
          <w:sz w:val="20"/>
          <w:szCs w:val="24"/>
          <w:rtl w:val="true"/>
        </w:rPr>
        <w:t xml:space="preserve">, </w:t>
      </w:r>
      <w:r>
        <w:rPr>
          <w:rFonts w:ascii="Miriam" w:hAnsi="Miriam" w:cs="Miriam"/>
          <w:sz w:val="20"/>
          <w:sz w:val="20"/>
          <w:szCs w:val="24"/>
          <w:rtl w:val="true"/>
        </w:rPr>
        <w:t>עיתונאי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היועץ המשפטי 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23.4.2009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Miriam" w:hAnsi="Miriam" w:cs="Miriam"/>
          <w:sz w:val="20"/>
          <w:sz w:val="20"/>
          <w:szCs w:val="24"/>
          <w:u w:val="single"/>
          <w:rtl w:val="true"/>
        </w:rPr>
        <w:t>בשלב השני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, </w:t>
      </w:r>
      <w:r>
        <w:rPr>
          <w:rtl w:val="true"/>
        </w:rPr>
        <w:t>נשאלת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32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9474/00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גל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ראש עיריית חיפה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714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4825/97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גהל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פקיד השומה למפעלים גדולים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, </w:t>
      </w:r>
      <w:r>
        <w:rPr/>
        <w:t>437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34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5917/97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האגודה לזכויות האזרח בישראל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שר המשפטים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8.10.2009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Fonts w:ascii="Miriam" w:hAnsi="Miriam" w:cs="Miriam"/>
          <w:sz w:val="18"/>
          <w:sz w:val="18"/>
          <w:szCs w:val="24"/>
          <w:u w:val="single"/>
          <w:rtl w:val="true"/>
        </w:rPr>
        <w:t>בשלב השלישי</w:t>
      </w:r>
      <w:r>
        <w:rPr>
          <w:rtl w:val="true"/>
        </w:rPr>
        <w:t xml:space="preserve">, </w:t>
      </w:r>
      <w:r>
        <w:rPr>
          <w:rtl w:val="true"/>
        </w:rPr>
        <w:t>ובהנחה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tl w:val="true"/>
        </w:rPr>
        <w:t xml:space="preserve">, </w:t>
      </w:r>
      <w:r>
        <w:rPr>
          <w:rtl w:val="true"/>
        </w:rPr>
        <w:t>נבחנת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,</w:t>
      </w:r>
      <w:r>
        <w:rPr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3884/16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פלונית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 xml:space="preserve">השר לביטחון פנים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26.2.2017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6659/20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פלונית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28.10.2020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מוגברת</w:t>
      </w:r>
      <w:r>
        <w:rPr>
          <w:rtl w:val="true"/>
        </w:rPr>
        <w:t xml:space="preserve">".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Miriam" w:hAnsi="Miriam" w:cs="Miriam"/>
          <w:sz w:val="20"/>
          <w:sz w:val="20"/>
          <w:szCs w:val="24"/>
          <w:rtl w:val="true"/>
        </w:rPr>
        <w:t>ג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לובינסקי</w:t>
      </w:r>
      <w:r>
        <w:rPr>
          <w:rFonts w:cs="Miriam" w:ascii="Miriam" w:hAnsi="Miriam"/>
          <w:sz w:val="20"/>
          <w:szCs w:val="24"/>
          <w:rtl w:val="true"/>
        </w:rPr>
        <w:t>-</w:t>
      </w:r>
      <w:r>
        <w:rPr>
          <w:rFonts w:ascii="Miriam" w:hAnsi="Miriam" w:cs="Miriam"/>
          <w:sz w:val="20"/>
          <w:sz w:val="20"/>
          <w:szCs w:val="24"/>
          <w:rtl w:val="true"/>
        </w:rPr>
        <w:t>זיו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)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השורה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4538/12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חפץ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12.11.2014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1616/15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26.5.2015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3776/17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21.10.2018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9122/18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שקד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18.6.2019</w:t>
      </w:r>
      <w:r>
        <w:rPr>
          <w:rtl w:val="true"/>
        </w:rPr>
        <w:t xml:space="preserve">); 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9228/20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17.3.2021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7323/20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28.6.2021</w:t>
      </w:r>
      <w:r>
        <w:rPr>
          <w:rtl w:val="true"/>
        </w:rPr>
        <w:t xml:space="preserve">); 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1675/21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פלונית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9.6.2021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יישומן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4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5">
        <w:r>
          <w:rPr>
            <w:rStyle w:val="Hyperlink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,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8980/12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מאק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4.9.2016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שהערעור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3636/12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שאוויש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'-</w:t>
      </w:r>
      <w:r>
        <w:rPr>
          <w:rtl w:val="true"/>
        </w:rPr>
        <w:t>ז</w:t>
      </w:r>
      <w:r>
        <w:rPr>
          <w:rtl w:val="true"/>
        </w:rPr>
        <w:t>' (</w:t>
      </w:r>
      <w:r>
        <w:rPr/>
        <w:t>6.1.2013</w:t>
      </w:r>
      <w:r>
        <w:rPr>
          <w:rtl w:val="true"/>
        </w:rPr>
        <w:t xml:space="preserve">), </w:t>
      </w:r>
      <w:r>
        <w:rPr>
          <w:rtl w:val="true"/>
        </w:rPr>
        <w:t>ופרשנות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מובהק וממשי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1367/04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אלמשלי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10.9.2012</w:t>
      </w:r>
      <w:r>
        <w:rPr>
          <w:rtl w:val="true"/>
        </w:rPr>
        <w:t xml:space="preserve">)),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tl w:val="true"/>
        </w:rPr>
        <w:t xml:space="preserve">, </w:t>
      </w:r>
      <w:r>
        <w:rPr>
          <w:rtl w:val="true"/>
        </w:rPr>
        <w:t>כמקובל</w:t>
      </w:r>
      <w:r>
        <w:rPr>
          <w:rtl w:val="true"/>
        </w:rPr>
        <w:t xml:space="preserve">,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בנספחיהם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</w:t>
      </w:r>
      <w:r>
        <w:rPr>
          <w:rtl w:val="true"/>
        </w:rPr>
        <w:t>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נספחיהם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</w:t>
      </w:r>
      <w:r>
        <w:rPr>
          <w:rtl w:val="true"/>
        </w:rPr>
        <w:t>המזכירות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5.8.2021</w:t>
      </w:r>
      <w:r>
        <w:rPr>
          <w:rtl w:val="true"/>
        </w:rPr>
        <w:t xml:space="preserve">). </w:t>
      </w:r>
      <w:bookmarkEnd w:id="2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778"/>
        <w:gridCol w:w="2805"/>
      </w:tblGrid>
      <w:tr>
        <w:trPr/>
        <w:tc>
          <w:tcPr>
            <w:tcW w:w="2780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78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805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רון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  <w:tr>
        <w:trPr/>
        <w:tc>
          <w:tcPr>
            <w:tcW w:w="2780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05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ם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20066970</w:t>
      </w:r>
      <w:r>
        <w:rPr>
          <w:sz w:val="16"/>
          <w:rtl w:val="true"/>
        </w:rPr>
        <w:t>_</w:t>
      </w:r>
      <w:r>
        <w:rPr>
          <w:sz w:val="16"/>
        </w:rPr>
        <w:t>S03.docx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 xml:space="preserve">רון גולדשטיין </w:t>
      </w:r>
      <w:r>
        <w:rPr>
          <w:rFonts w:cs="David" w:ascii="David" w:hAnsi="David"/>
          <w:color w:val="000000"/>
          <w:szCs w:val="22"/>
        </w:rPr>
        <w:t>54678313-6697/20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55"/>
      <w:footerReference w:type="default" r:id="rId5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6697/20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579" TargetMode="External"/><Relationship Id="rId3" Type="http://schemas.openxmlformats.org/officeDocument/2006/relationships/hyperlink" Target="http://www.nevo.co.il/safrut/bookgroup/2579" TargetMode="External"/><Relationship Id="rId4" Type="http://schemas.openxmlformats.org/officeDocument/2006/relationships/hyperlink" Target="http://www.nevo.co.il/law/71835" TargetMode="External"/><Relationship Id="rId5" Type="http://schemas.openxmlformats.org/officeDocument/2006/relationships/hyperlink" Target="http://www.nevo.co.il/law/71835/9" TargetMode="External"/><Relationship Id="rId6" Type="http://schemas.openxmlformats.org/officeDocument/2006/relationships/hyperlink" Target="http://www.nevo.co.il/law/71835/15" TargetMode="External"/><Relationship Id="rId7" Type="http://schemas.openxmlformats.org/officeDocument/2006/relationships/hyperlink" Target="http://www.nevo.co.il/law/98629" TargetMode="External"/><Relationship Id="rId8" Type="http://schemas.openxmlformats.org/officeDocument/2006/relationships/hyperlink" Target="http://www.nevo.co.il/law/98629/4" TargetMode="External"/><Relationship Id="rId9" Type="http://schemas.openxmlformats.org/officeDocument/2006/relationships/hyperlink" Target="http://www.nevo.co.il/law/74874" TargetMode="External"/><Relationship Id="rId10" Type="http://schemas.openxmlformats.org/officeDocument/2006/relationships/hyperlink" Target="http://www.nevo.co.il/law/74874/3" TargetMode="External"/><Relationship Id="rId11" Type="http://schemas.openxmlformats.org/officeDocument/2006/relationships/hyperlink" Target="http://www.nevo.co.il/law/74849" TargetMode="External"/><Relationship Id="rId12" Type="http://schemas.openxmlformats.org/officeDocument/2006/relationships/hyperlink" Target="http://www.nevo.co.il/law/74849/68.a" TargetMode="External"/><Relationship Id="rId13" Type="http://schemas.openxmlformats.org/officeDocument/2006/relationships/hyperlink" Target="http://www.nevo.co.il/case/25924606" TargetMode="External"/><Relationship Id="rId14" Type="http://schemas.openxmlformats.org/officeDocument/2006/relationships/hyperlink" Target="http://www.nevo.co.il/law/71835" TargetMode="External"/><Relationship Id="rId15" Type="http://schemas.openxmlformats.org/officeDocument/2006/relationships/hyperlink" Target="http://www.nevo.co.il/law/98629/4" TargetMode="External"/><Relationship Id="rId16" Type="http://schemas.openxmlformats.org/officeDocument/2006/relationships/hyperlink" Target="http://www.nevo.co.il/law/98629" TargetMode="External"/><Relationship Id="rId17" Type="http://schemas.openxmlformats.org/officeDocument/2006/relationships/hyperlink" Target="http://www.nevo.co.il/case/6210008" TargetMode="External"/><Relationship Id="rId18" Type="http://schemas.openxmlformats.org/officeDocument/2006/relationships/hyperlink" Target="http://www.nevo.co.il/law/74874/3" TargetMode="External"/><Relationship Id="rId19" Type="http://schemas.openxmlformats.org/officeDocument/2006/relationships/hyperlink" Target="http://www.nevo.co.il/law/74849/68.a" TargetMode="External"/><Relationship Id="rId20" Type="http://schemas.openxmlformats.org/officeDocument/2006/relationships/hyperlink" Target="http://www.nevo.co.il/law/74849" TargetMode="External"/><Relationship Id="rId21" Type="http://schemas.openxmlformats.org/officeDocument/2006/relationships/hyperlink" Target="http://www.nevo.co.il/case/17946502" TargetMode="External"/><Relationship Id="rId22" Type="http://schemas.openxmlformats.org/officeDocument/2006/relationships/hyperlink" Target="http://www.nevo.co.il/case/17936217" TargetMode="External"/><Relationship Id="rId23" Type="http://schemas.openxmlformats.org/officeDocument/2006/relationships/hyperlink" Target="http://www.nevo.co.il/case/17930048" TargetMode="External"/><Relationship Id="rId24" Type="http://schemas.openxmlformats.org/officeDocument/2006/relationships/hyperlink" Target="http://www.nevo.co.il/case/25633321" TargetMode="External"/><Relationship Id="rId25" Type="http://schemas.openxmlformats.org/officeDocument/2006/relationships/hyperlink" Target="http://www.nevo.co.il/case/26130960" TargetMode="External"/><Relationship Id="rId26" Type="http://schemas.openxmlformats.org/officeDocument/2006/relationships/hyperlink" Target="http://www.nevo.co.il/case/5911088" TargetMode="External"/><Relationship Id="rId27" Type="http://schemas.openxmlformats.org/officeDocument/2006/relationships/hyperlink" Target="http://www.nevo.co.il/case/26644957" TargetMode="External"/><Relationship Id="rId28" Type="http://schemas.openxmlformats.org/officeDocument/2006/relationships/hyperlink" Target="http://www.nevo.co.il/law/98629/4" TargetMode="External"/><Relationship Id="rId29" Type="http://schemas.openxmlformats.org/officeDocument/2006/relationships/hyperlink" Target="http://www.nevo.co.il/case/5782423" TargetMode="External"/><Relationship Id="rId30" Type="http://schemas.openxmlformats.org/officeDocument/2006/relationships/hyperlink" Target="http://www.nevo.co.il/safrut/bookgroup/2579" TargetMode="External"/><Relationship Id="rId31" Type="http://schemas.openxmlformats.org/officeDocument/2006/relationships/hyperlink" Target="http://www.nevo.co.il/case/6030519" TargetMode="External"/><Relationship Id="rId32" Type="http://schemas.openxmlformats.org/officeDocument/2006/relationships/hyperlink" Target="http://www.nevo.co.il/case/6092013" TargetMode="External"/><Relationship Id="rId33" Type="http://schemas.openxmlformats.org/officeDocument/2006/relationships/hyperlink" Target="http://www.nevo.co.il/case/5978130" TargetMode="External"/><Relationship Id="rId34" Type="http://schemas.openxmlformats.org/officeDocument/2006/relationships/hyperlink" Target="http://www.nevo.co.il/case/6039277" TargetMode="External"/><Relationship Id="rId35" Type="http://schemas.openxmlformats.org/officeDocument/2006/relationships/hyperlink" Target="http://www.nevo.co.il/case/21474208" TargetMode="External"/><Relationship Id="rId36" Type="http://schemas.openxmlformats.org/officeDocument/2006/relationships/hyperlink" Target="http://www.nevo.co.il/case/27022345" TargetMode="External"/><Relationship Id="rId37" Type="http://schemas.openxmlformats.org/officeDocument/2006/relationships/hyperlink" Target="http://www.nevo.co.il/case/5897193" TargetMode="External"/><Relationship Id="rId38" Type="http://schemas.openxmlformats.org/officeDocument/2006/relationships/hyperlink" Target="http://www.nevo.co.il/case/20156809" TargetMode="External"/><Relationship Id="rId39" Type="http://schemas.openxmlformats.org/officeDocument/2006/relationships/hyperlink" Target="http://www.nevo.co.il/case/22636469" TargetMode="External"/><Relationship Id="rId40" Type="http://schemas.openxmlformats.org/officeDocument/2006/relationships/hyperlink" Target="http://www.nevo.co.il/case/25266017" TargetMode="External"/><Relationship Id="rId41" Type="http://schemas.openxmlformats.org/officeDocument/2006/relationships/hyperlink" Target="http://www.nevo.co.il/case/27292084" TargetMode="External"/><Relationship Id="rId42" Type="http://schemas.openxmlformats.org/officeDocument/2006/relationships/hyperlink" Target="http://www.nevo.co.il/case/27100018" TargetMode="External"/><Relationship Id="rId43" Type="http://schemas.openxmlformats.org/officeDocument/2006/relationships/hyperlink" Target="http://www.nevo.co.il/case/27461416" TargetMode="External"/><Relationship Id="rId44" Type="http://schemas.openxmlformats.org/officeDocument/2006/relationships/hyperlink" Target="http://www.nevo.co.il/law/71835/9" TargetMode="External"/><Relationship Id="rId45" Type="http://schemas.openxmlformats.org/officeDocument/2006/relationships/hyperlink" Target="http://www.nevo.co.il/law/71835/15" TargetMode="External"/><Relationship Id="rId46" Type="http://schemas.openxmlformats.org/officeDocument/2006/relationships/hyperlink" Target="http://www.nevo.co.il/law/71835" TargetMode="External"/><Relationship Id="rId47" Type="http://schemas.openxmlformats.org/officeDocument/2006/relationships/hyperlink" Target="http://www.nevo.co.il/case/6015219" TargetMode="External"/><Relationship Id="rId48" Type="http://schemas.openxmlformats.org/officeDocument/2006/relationships/hyperlink" Target="http://www.nevo.co.il/law/71835" TargetMode="External"/><Relationship Id="rId49" Type="http://schemas.openxmlformats.org/officeDocument/2006/relationships/hyperlink" Target="http://www.nevo.co.il/law/71835/9" TargetMode="External"/><Relationship Id="rId50" Type="http://schemas.openxmlformats.org/officeDocument/2006/relationships/hyperlink" Target="http://www.nevo.co.il/law/71835" TargetMode="External"/><Relationship Id="rId51" Type="http://schemas.openxmlformats.org/officeDocument/2006/relationships/hyperlink" Target="http://www.nevo.co.il/case/5578479" TargetMode="External"/><Relationship Id="rId52" Type="http://schemas.openxmlformats.org/officeDocument/2006/relationships/hyperlink" Target="http://www.nevo.co.il/case/5765059" TargetMode="External"/><Relationship Id="rId53" Type="http://schemas.openxmlformats.org/officeDocument/2006/relationships/hyperlink" Target="https://supreme.court.gov.il/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2021-08-08T09:23:00Z</dcterms:created>
  <dc:creator>h4</dc:creator>
  <dc:description/>
  <cp:keywords/>
  <dc:language>en-IL</dc:language>
  <cp:lastModifiedBy>orly</cp:lastModifiedBy>
  <cp:lastPrinted>2021-08-05T14:45:00Z</cp:lastPrinted>
  <dcterms:modified xsi:type="dcterms:W3CDTF">2021-08-08T09:23:00Z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2579</vt:lpwstr>
  </property>
  <property fmtid="{D5CDD505-2E9C-101B-9397-08002B2CF9AE}" pid="9" name="CASESLISTTMP1">
    <vt:lpwstr>25924606;6210008;17946502;17936217;17930048;25633321;26130960;5911088;26644957;5782423;6030519;6092013;5978130;6039277;21474208;27022345;5897193;20156809;22636469;25266017;27292084;27100018;27461416;6015219;5578479;5765059</vt:lpwstr>
  </property>
  <property fmtid="{D5CDD505-2E9C-101B-9397-08002B2CF9AE}" pid="10" name="CITY">
    <vt:lpwstr/>
  </property>
  <property fmtid="{D5CDD505-2E9C-101B-9397-08002B2CF9AE}" pid="11" name="DATE">
    <vt:lpwstr>20210805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רון גולדשטיין</vt:lpwstr>
  </property>
  <property fmtid="{D5CDD505-2E9C-101B-9397-08002B2CF9AE}" pid="15" name="LAWLISTTMP1">
    <vt:lpwstr>71835/009:2;015</vt:lpwstr>
  </property>
  <property fmtid="{D5CDD505-2E9C-101B-9397-08002B2CF9AE}" pid="16" name="LAWLISTTMP2">
    <vt:lpwstr>98629/004:2</vt:lpwstr>
  </property>
  <property fmtid="{D5CDD505-2E9C-101B-9397-08002B2CF9AE}" pid="17" name="LAWLISTTMP3">
    <vt:lpwstr>74874/003</vt:lpwstr>
  </property>
  <property fmtid="{D5CDD505-2E9C-101B-9397-08002B2CF9AE}" pid="18" name="LAWLISTTMP4">
    <vt:lpwstr>74849/068.a</vt:lpwstr>
  </property>
  <property fmtid="{D5CDD505-2E9C-101B-9397-08002B2CF9AE}" pid="19" name="LAWYER">
    <vt:lpwstr/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בתי-משפט</vt:lpwstr>
  </property>
  <property fmtid="{D5CDD505-2E9C-101B-9397-08002B2CF9AE}" pid="31" name="NOSE110">
    <vt:lpwstr/>
  </property>
  <property fmtid="{D5CDD505-2E9C-101B-9397-08002B2CF9AE}" pid="32" name="NOSE12">
    <vt:lpwstr>בתי-משפט</vt:lpwstr>
  </property>
  <property fmtid="{D5CDD505-2E9C-101B-9397-08002B2CF9AE}" pid="33" name="NOSE13">
    <vt:lpwstr/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14;14</vt:lpwstr>
  </property>
  <property fmtid="{D5CDD505-2E9C-101B-9397-08002B2CF9AE}" pid="41" name="NOSE21">
    <vt:lpwstr>פומביות הדיון</vt:lpwstr>
  </property>
  <property fmtid="{D5CDD505-2E9C-101B-9397-08002B2CF9AE}" pid="42" name="NOSE210">
    <vt:lpwstr/>
  </property>
  <property fmtid="{D5CDD505-2E9C-101B-9397-08002B2CF9AE}" pid="43" name="NOSE22">
    <vt:lpwstr>פומביות הדיון</vt:lpwstr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335;335</vt:lpwstr>
  </property>
  <property fmtid="{D5CDD505-2E9C-101B-9397-08002B2CF9AE}" pid="52" name="NOSE31">
    <vt:lpwstr>עיון בתיקים</vt:lpwstr>
  </property>
  <property fmtid="{D5CDD505-2E9C-101B-9397-08002B2CF9AE}" pid="53" name="NOSE310">
    <vt:lpwstr/>
  </property>
  <property fmtid="{D5CDD505-2E9C-101B-9397-08002B2CF9AE}" pid="54" name="NOSE32">
    <vt:lpwstr>התרת פרסום</vt:lpwstr>
  </property>
  <property fmtid="{D5CDD505-2E9C-101B-9397-08002B2CF9AE}" pid="55" name="NOSE33">
    <vt:lpwstr/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2752;12868</vt:lpwstr>
  </property>
  <property fmtid="{D5CDD505-2E9C-101B-9397-08002B2CF9AE}" pid="63" name="PADIDATE">
    <vt:lpwstr>20210808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עפ;עפ</vt:lpwstr>
  </property>
  <property fmtid="{D5CDD505-2E9C-101B-9397-08002B2CF9AE}" pid="68" name="PROCNUM">
    <vt:lpwstr>6697;6490</vt:lpwstr>
  </property>
  <property fmtid="{D5CDD505-2E9C-101B-9397-08002B2CF9AE}" pid="69" name="PROCYEAR">
    <vt:lpwstr>20;20</vt:lpwstr>
  </property>
  <property fmtid="{D5CDD505-2E9C-101B-9397-08002B2CF9AE}" pid="70" name="PSAKDIN">
    <vt:lpwstr>החלטה</vt:lpwstr>
  </property>
  <property fmtid="{D5CDD505-2E9C-101B-9397-08002B2CF9AE}" pid="71" name="TYPE">
    <vt:lpwstr>1</vt:lpwstr>
  </property>
  <property fmtid="{D5CDD505-2E9C-101B-9397-08002B2CF9AE}" pid="72" name="TYPE_ABS_DATE">
    <vt:lpwstr>410120210805</vt:lpwstr>
  </property>
  <property fmtid="{D5CDD505-2E9C-101B-9397-08002B2CF9AE}" pid="73" name="TYPE_N_DATE">
    <vt:lpwstr>41020210805</vt:lpwstr>
  </property>
  <property fmtid="{D5CDD505-2E9C-101B-9397-08002B2CF9AE}" pid="74" name="VOLUME">
    <vt:lpwstr/>
  </property>
  <property fmtid="{D5CDD505-2E9C-101B-9397-08002B2CF9AE}" pid="75" name="WORDNUMPAGES">
    <vt:lpwstr>8</vt:lpwstr>
  </property>
</Properties>
</file>