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671/19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אבוטבול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15787-01-17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6.10.2019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8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נדחה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ובכללו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10,000</w:t>
      </w:r>
      <w:r>
        <w:rPr>
          <w:rFonts w:cs="FrankRuehl;Times New Roman"/>
          <w:sz w:val="24"/>
          <w:szCs w:val="26"/>
          <w:rtl w:val="true"/>
        </w:rPr>
        <w:t xml:space="preserve"> ₪.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לחרוג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הוביל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הגבוהים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יבוא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וקנס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כספי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10,000</w:t>
      </w:r>
      <w:r>
        <w:rPr>
          <w:rFonts w:cs="FrankRuehl;Times New Roman"/>
          <w:sz w:val="24"/>
          <w:szCs w:val="26"/>
          <w:rtl w:val="true"/>
        </w:rPr>
        <w:t xml:space="preserve"> ₪,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תמורתו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סולברג ובהסכמת השופטים מזוז ואלרון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התערבות ערכאת הערעור בעונש שמורה למצבים חריגים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שמקרה זה אינו נופל בגדרם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טענת המערער לפיה משבוצעה העבירה מתוך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עצימת עיניים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ראוי היה לקבוע את תחתית המתחם ברף נמוך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כבר נפסק כי עצימת עיניים איננה נסיבה מקלה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עבור בלדר הסמים אין קל מלעצום את עיניו כלפי תוכנה של החבילה שקיבל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קבלת טענה מעין זו משמעותה פריצת פרצה שבכוחה לפטור את בלדרי הסמים מאחריות על מלוא הנזקים הכבדים שנגרמים מפעולתם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קביעת מתחם הענישה הסתמכה על השוואה למקרים דומים בנסיבותיהם ובמידת חומרתם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שבהם נקבעו מתחמים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 נמצא כי נפל בה פגם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 המערער לפיה ראוי היה לחרוג באופן משמעותי ממתחם הענישה ההולם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עד כדי הימנעות מהטלת עונש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40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העונשין מורה כי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רשאי לחרוג ממתחם העונש ההולם ולקבוע את עונשו של הנאשם לפי שיקולי 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מצא כי השתקם או כי קיים סיכוי של ממש שישתקם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נקודת המוצא לפי סעיף זה היא העדפה של שיקולי השיקום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מקום שבו קיים סיכוי של ממש שהנאשם ישתקם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במצבים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 ההלימה מוסיפים לדור לצד שיקולי השיקום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קבע אמנם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כי קיים סיכוי של ממש שהמערער ישתקם בעתיד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לצד זאת ציין כי אין מדובר במקרה שבו התהליך השיקומי הוביל לשינוי כה משמעותי אשר יצדיק את הטלת העונש על פי שיקולי שיקומו של הנאשם בלבד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בתוך כך הדגיש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לא שוכנע שהתקיים שינוי משמעותי עמוק בהתנהגות ובדרך החשיבה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והבעת החרטה מצדו לא הייתה מלאה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מקום להתערב בקביעת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בעניין הזה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טענות המערער בעניין ההתחשבות בתקופה שבה שהה בפיקוח אלקטרוני נדחו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נתן את דעתו על תקופת שהייתו בפיקוח אלקטרוני בעת גזירת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מיקם את המערער ברף התחתון של המתחם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ואף חרג מכך לקולא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מקום לשנות מהחלטתו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טענות המערער לעניין הקנס נדחו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רכיב זה נועד לבטא ענישה בגין הרווח הכלכלי שביקש העבריין לגרוף לכיסו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ענישה מעין זו מתחייבת מאופי עבירות הסמים שסובבות סביב בצע כסף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הקנס שהוטל על המערער אינו מן הגבוהים בנסיבות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בשים לב לכמות הסם וסוגו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ופריסת תשלומי הקנס הותאמה למצבו הכלכלי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מרכז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13.12.2018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10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15787-01-17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ע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קובו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אבוטבול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10,000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תמורתו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20.12.2016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אבוטבול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הארץ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25.12.2016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כשבאמתחתו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מזוודה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תחתית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כפולה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קוקאין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6.98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ג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2.45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28.6.2018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דיוני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עובדתי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היסוד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במובן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ועצם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עיניו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בסמים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אבוטבול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13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19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13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;Times New Roman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חדש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ג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1973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7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)+(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לפקודה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המחוזי על עיקרי כתב האישום ועל טענות הצדדים לעניין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באירוע עברייני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יש לקבוע מתחם עונש הולם אחד לשתי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עמד על הערך החברתי שנפגע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הגנה על הציבור מפני הנזקים הנלווים לשימוש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מידת הפגיעה מצויה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הגבוה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Century"/>
          <w:rtl w:val="true"/>
        </w:rPr>
        <w:t>כיוון שעסקינן בקוקאין שהוא מהקשים שבסמים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כמות הסם הגדולה שנתפסה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 בית המשפט את התכנון שקדם למעשה ואת חלקו המשמעותי של אבוטבול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הסיבות שהביאו את אבוטבול לביצוע העבירה טמונות בהתמכרותו להימורים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ושהעבירה בוצעה עבור בצע כסף ולמטרה כלכלית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סמך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שסקר את מדיניות הענישה הנוהגת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תחם בית המשפט את מתחם העונש ההולם בין </w:t>
      </w:r>
      <w:r>
        <w:rPr>
          <w:rFonts w:cs="Century" w:ascii="Century" w:hAnsi="Century"/>
        </w:rPr>
        <w:t>4.5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בבחינת הנסיבות שאינן 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בצעיר ללא 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שהה במעצר מאחורי סורג ובריח במשך שלושה חודשים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ובמעצר בפיקוח אלקטרוני במשך תקופה ארוכה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להתחשב בכך שאחותו חולה במחלת הסרטן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ושעונש מאסר ממושך יפגע במשפחתו וביכולתה לתמוך באחותו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צוינו נסיבות חייו הקשות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 גירושי הוריו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קשיים אישיים וכלכליים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והתמכרותו להימורים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 זאת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הימנעות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מתסקיר שירות המבחן עולה שאבוטבול השתלב בתוכנית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מרכז יום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ביחידה לטיפול בהתמכרויות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הפגין מחויבות רבה להליך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וקודם לתפקיד אחראי קבוצה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התהליך השיקומי שעבר אבוטבול עד כה אינו משמעותי כל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שיצדיק את הטלת העונש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שיקולי שיקום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ותוך התעלמות מהאינטרס הציבורי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לא מצא שהתהליך הוביל לשינוי עמוק בהתנהגות ובדרך החשיבה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קבע שהבעת החרטה מצדו היתה חלקית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בית המשפט את המלצת שירות המבחן להימנע מהטלת עונש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יש לחרוג אך חריגה קלה מהרף התחתון של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המשפט על הנאשם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הושת על אבוטבול קנס כספי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ימי מאסר תמורתו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הואיל והעבירה בוצעה למטרות כלכליות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הקנס ישולם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תשלומים חודשיים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הראשון שבהם ישולם ביום </w:t>
      </w:r>
      <w:r>
        <w:rPr>
          <w:rFonts w:cs="Century" w:ascii="Century" w:hAnsi="Century"/>
        </w:rPr>
        <w:t>1.1.2022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אבוטבול מלין על חומרת העונשים שנגזרו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תחתית המתחם שנקבעה גבוהה מדי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לא נתן משקל לכך שהעבירות בוצעו תחת יסוד נפשי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 אבוטבול כי ראוי היה להעמיד את תחתית מתחם עונש המאסר על שנתיים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אבוטבול כי נוכח התהליך הטיפולי המשמעותי שעבר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נסיבותיו האישיות וסיכויי שיקומו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מקום לאמץ את המלצת שרות המבחן ולא להטיל עליו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לחלופין לחרוג באופן משמעותי יותר מתחתית מתחם הענישה שנקבע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מבקש אבוטבול להסתמך על עמדתו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אורן גזל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להתחשב בכך שהיה נתון במעצר בפיקוח אלקטרוני במשך כמעט שנתיים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ימים עובר למועד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עונשו של אבוטבול היה נקבע בתחתית המתחם גם בהתעלם מנתון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אף שבית המשפט הזכירו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קיבל ביטוי ממשי בגזירת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הדרך היחידה לתת ביטוי לתקופת הפיקוח האלקטרוני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חריגה ממתחם העונש ההולם משיקולי 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לפחות בתקופה השווה למחצית תקופת הפיקוח האלקטרוני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 אבוטבול כי ראוי היה להפחית שנה מעונשו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מלין אבוטבול על רכיב הקנס הכספי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חסר אמצעים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שרוי בחובות כבדים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מקור תעסוקה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וללא יכולת לקבל עזרה כלכלית מבני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תקופת המאסר הארוכה אליה הוא צפוי להיכנס ממילא תמנע ממנו את האפשרות לשלם את חובו בזמן והוא צפוי להאמיר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לצבור ריבית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ולהוסיף ולדרדר את 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לשאלת המאסר חלף 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קביעת תקופה של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ימי מאסר כנגד הקנס מתרגמת את חירותו לעלות של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ליום אשר יש בה משום זילות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מצבו הכלכלי של אבוטבול והסיכון הגבוה שלא יוכל לעמוד בתשלום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המאסר חלף קנס אינו מגשים את תכליתו העיקרית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תמרוץ הנאשם לשלם את הקנס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ולמעשה מהווה תוספת ענישה של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מבקש אבוטבול לבטל את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לחלופין לבטל את המאסר חלף 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 חילופין להפחית את הקנס באופן משמעותי ולקבוע כי תחילת התשלום תהיה ששה חודשים לאחר שחרורו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הובא לעיוננו תסקיר משלים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האמור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עם תחילת ריצוי מאסרו בכלא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חרמון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שולב אבוטבול בקבוצות טיפוליות שונות ולקח חלק פעיל במפגשים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כחודשיים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אבוטבול מחברו שיבקש בשמו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בקשת חברות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ברשת חברתית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מסוהרת עמה התיידד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הועבר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שטען שלא ידע כי המעשה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לכלא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צלמון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שבו אין מסלול טיפולי בהתמכרויות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23.7.2019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נקלט אבוטבול בכלא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דקל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ושולב במחלקה טיפולית להתמכרויות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התרשמות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 כי אבוטבול מתאמץ לערוך התבוננות מעמיקה של דפוסי התנהגותו והתנהלותו העבריינית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ומגלה מוטיבציה להמשיך ולבחון זאת באמצעות ההליך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משך הטיפול הייעודי נע בין תשעה חודשים לשנה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והודגשה החשיבות של סיום ההליך הטיפולי אותו החל אבוטבול עם מעברו לכלא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דקל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בדיון שהתקיים לפנינו ביום </w:t>
      </w:r>
      <w:r>
        <w:rPr>
          <w:rFonts w:cs="Century" w:ascii="Century" w:hAnsi="Century"/>
        </w:rPr>
        <w:t>6.10.2019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אבוטבול על עיקר טענותיו והדגיש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מטעמי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מוצדקת סטייה משמעותית ממתחם העונש שנקבע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לשנות מהחלטתו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הנזק הפוטנציאלי המשמעותי שעלול היה להיגרם כתוצאה ממעשיו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הצדקה להקל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חרף התהליך השיקומי שבו החל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לרכיב הקנס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התחשב במצבו הכלכלי של אבוטבול בפריסת תשלומי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וככל שתידרשנה התאמות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יוכל אבוטבול לפנות בבוא העת למרכז לגביית קנסות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התערבותה של ערכאת הערעור בעונש שמורה למצבים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שגזרה חורג באופן קיצוני ממדיניות הענישה הנוהגת במקרים דומים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3091/08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המקרה שלפנינו אינו נופל בגדר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לקבל את טענתו הראשונה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משבוצעה העבירה מתוך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עצימת עיניים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ראוי היה לקבוע את תחתית המתחם ברף נמוך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לאחרונה עמדתי על עניין זה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מלעצום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שקיבל</w:t>
      </w:r>
      <w:r>
        <w:rPr>
          <w:rFonts w:cs="Miriam" w:ascii="Century" w:hAnsi="Century"/>
          <w:b/>
          <w:spacing w:val="0"/>
          <w:szCs w:val="24"/>
          <w:rtl w:val="true"/>
        </w:rPr>
        <w:t>...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מפעולתם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8915/18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מועזיז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24.9.2019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 מתחם הענישה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הסתמכה על השוואה למקרים דומים בנסיבותיהם ובמידת חומרתם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נקבעו מתחמים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נפל בה פגם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לקבל אף את טענתו השנייה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ראוי היה לחרוג באופן משמעותי ממתחם הענישה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אימוץ המלצת שירות המבחן והימנעות מהטלת עונש מאסר בפועל</w:t>
      </w:r>
      <w:r>
        <w:rPr>
          <w:rFonts w:cs="Century" w:ascii="Century" w:hAnsi="Century"/>
          <w:rtl w:val="true"/>
        </w:rPr>
        <w:t xml:space="preserve">.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רשאי לחרוג ממתחם העונש ההולם ולקבוע את עונשו של הנאשם לפי שיקולי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מצא כי השתקם או כי קיים סיכוי של ממש שישתקם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סעיף זה היא העדפה של שיקולי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שבו קיים סיכוי של ממש שהנאשם ישתקם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במצבים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שיקולי ההלימה מוסיפים לדור לצד שיקולי השיקום </w:t>
      </w:r>
      <w:r>
        <w:rPr>
          <w:rFonts w:cs="Century" w:ascii="Century" w:hAnsi="Century"/>
          <w:rtl w:val="true"/>
        </w:rPr>
        <w:t>(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6637/17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18.04.2018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אמנם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קיים סיכוי של ממש שאבוטבול ישתקם בעתיד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לצד זאת ציין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Century"/>
          <w:rtl w:val="true"/>
        </w:rPr>
        <w:t>בתוך כך הדגיש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שוכנע שהתקיים שינוי משמעותי עמוק בהתנהגות ובדרך החשיבה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והבעת החרטה מצדו לא הייתה מלאה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מוצא לנכון להתערב בקביעתו של בית המשפט המחוזי גם בעניין הזה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לטענותיו של אבוטבול בעניין ההתחשבות בתקופה שבה שהה בפיקוח אלקטרוני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גם אותן יש לדחות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נתן את דעתו על תקופת שהייתו בפיקוח אלקטרוני בעת גזירת העונש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גם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חלונות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משמעותיים היו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מיקם את אבוטבול ברף התחתון של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חרג מכך לקולא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לנכון לשנות מהחלטתו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לדחות אף טענותיו של אבוטבול לעניין הקנס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רכיב זה נועד לבטא ענישה בגין הרווח הכלכלי שביקש העבריין לגרוף לכיסו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2996/09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שח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11.5.2011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ענישה מעין זו מתחייבת מאופיין של עבירות הסמים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מחטייב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10.2.2014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הקנס שהוטל על אבוטבול כלל וכלל אינו מן הגבוהים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בשים לב לכמות הסם וסוגו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5104/06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בנייורישלויל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21.5.2007</w:t>
      </w:r>
      <w:r>
        <w:rPr>
          <w:rFonts w:cs="Century" w:ascii="Century" w:hAnsi="Century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7955/15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15.2.2016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ופריסת תשלומי הקנס הותאמה למצבו הכלכלי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קשייו הכלכליים של אבוטבול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ראיתי הצדקה להתערב ברכיב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14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7.10.2019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19006710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54678313-671/19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671/19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דוד חיים אבוטבול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70359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d.a" TargetMode="External"/><Relationship Id="rId10" Type="http://schemas.openxmlformats.org/officeDocument/2006/relationships/hyperlink" Target="http://www.nevo.co.il/case/22070359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.;7.c" TargetMode="External"/><Relationship Id="rId15" Type="http://schemas.openxmlformats.org/officeDocument/2006/relationships/hyperlink" Target="http://www.nevo.co.il/case/5755866" TargetMode="External"/><Relationship Id="rId16" Type="http://schemas.openxmlformats.org/officeDocument/2006/relationships/hyperlink" Target="http://www.nevo.co.il/case/5875466" TargetMode="External"/><Relationship Id="rId17" Type="http://schemas.openxmlformats.org/officeDocument/2006/relationships/hyperlink" Target="http://www.nevo.co.il/case/25241468" TargetMode="External"/><Relationship Id="rId18" Type="http://schemas.openxmlformats.org/officeDocument/2006/relationships/hyperlink" Target="http://www.nevo.co.il/law/70301/40d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2938500" TargetMode="External"/><Relationship Id="rId21" Type="http://schemas.openxmlformats.org/officeDocument/2006/relationships/hyperlink" Target="http://www.nevo.co.il/case/5734189" TargetMode="External"/><Relationship Id="rId22" Type="http://schemas.openxmlformats.org/officeDocument/2006/relationships/hyperlink" Target="http://www.nevo.co.il/case/11204005" TargetMode="External"/><Relationship Id="rId23" Type="http://schemas.openxmlformats.org/officeDocument/2006/relationships/hyperlink" Target="http://www.nevo.co.il/case/5993550" TargetMode="External"/><Relationship Id="rId24" Type="http://schemas.openxmlformats.org/officeDocument/2006/relationships/hyperlink" Target="http://www.nevo.co.il/case/20683595" TargetMode="External"/><Relationship Id="rId25" Type="http://schemas.openxmlformats.org/officeDocument/2006/relationships/hyperlink" Target="http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2019-10-15T08:44:00Z</dcterms:created>
  <dc:creator>h4</dc:creator>
  <dc:description/>
  <cp:keywords/>
  <dc:language>en-IL</dc:language>
  <cp:lastModifiedBy>orly</cp:lastModifiedBy>
  <cp:lastPrinted>2019-10-07T17:17:00Z</cp:lastPrinted>
  <dcterms:modified xsi:type="dcterms:W3CDTF">2019-10-15T08:44:00Z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חיים אבוטבול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22070359:2;5755866;5875466;25241468;22938500;5734189;11204005;5993550;20683595</vt:lpwstr>
  </property>
  <property fmtid="{D5CDD505-2E9C-101B-9397-08002B2CF9AE}" pid="9" name="CITY">
    <vt:lpwstr/>
  </property>
  <property fmtid="{D5CDD505-2E9C-101B-9397-08002B2CF9AE}" pid="10" name="DATE">
    <vt:lpwstr>20191007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מזוז;י' אלרון</vt:lpwstr>
  </property>
  <property fmtid="{D5CDD505-2E9C-101B-9397-08002B2CF9AE}" pid="14" name="LAWLISTTMP1">
    <vt:lpwstr>4216/013;019a;007.a;007.c</vt:lpwstr>
  </property>
  <property fmtid="{D5CDD505-2E9C-101B-9397-08002B2CF9AE}" pid="15" name="LAWLISTTMP2">
    <vt:lpwstr>70301/040d.a</vt:lpwstr>
  </property>
  <property fmtid="{D5CDD505-2E9C-101B-9397-08002B2CF9AE}" pid="16" name="LAWYER">
    <vt:lpwstr>עילית מידן;מוטי לוי;ברכה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התערבות ערכאת הערעור</vt:lpwstr>
  </property>
  <property fmtid="{D5CDD505-2E9C-101B-9397-08002B2CF9AE}" pid="53" name="NOSE34">
    <vt:lpwstr>מתחם הענישה</vt:lpwstr>
  </property>
  <property fmtid="{D5CDD505-2E9C-101B-9397-08002B2CF9AE}" pid="54" name="NOSE35">
    <vt:lpwstr>דרכי ענישה: קנס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8991;8996;8978;14985;8971</vt:lpwstr>
  </property>
  <property fmtid="{D5CDD505-2E9C-101B-9397-08002B2CF9AE}" pid="60" name="PADIDATE">
    <vt:lpwstr>20191015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671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410120191007</vt:lpwstr>
  </property>
  <property fmtid="{D5CDD505-2E9C-101B-9397-08002B2CF9AE}" pid="70" name="TYPE_N_DATE">
    <vt:lpwstr>41020191007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