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6731/23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סטרוג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46440-08-20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  <w:r>
              <w:rPr>
                <w:sz w:val="24"/>
                <w:szCs w:val="24"/>
                <w:rtl w:val="true"/>
              </w:rPr>
              <w:t>]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23.4.2023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3.7.2023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פריבס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18"/>
                <w:szCs w:val="24"/>
              </w:rPr>
            </w:pPr>
            <w:r>
              <w:rPr>
                <w:sz w:val="18"/>
                <w:szCs w:val="24"/>
                <w:rtl w:val="true"/>
              </w:rPr>
              <w:t>(</w:t>
            </w:r>
            <w:r>
              <w:rPr>
                <w:sz w:val="18"/>
                <w:szCs w:val="24"/>
              </w:rPr>
              <w:t>1.5.2024</w:t>
            </w:r>
            <w:r>
              <w:rPr>
                <w:sz w:val="18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בועז סנג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רו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ביקורת דיני העונשין הישראליים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8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סמכויות אכיפה – מעצרים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שמתגלמות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משקפות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FrankRuehl"/>
          <w:sz w:val="24"/>
          <w:szCs w:val="26"/>
          <w:rtl w:val="true"/>
        </w:rPr>
        <w:t xml:space="preserve">. </w:t>
        <w:tab/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שטיין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רונן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תוצאתיות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המוגמרת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המוגמרת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התבוננות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משמעי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שמתגלמות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מתממשת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הצבאי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המערער</w:t>
      </w:r>
      <w:r>
        <w:rPr>
          <w:rtl w:val="true"/>
        </w:rPr>
        <w:t xml:space="preserve">, </w:t>
      </w:r>
      <w:r>
        <w:rPr>
          <w:rtl w:val="true"/>
        </w:rPr>
        <w:t>יעקב סטרוג</w:t>
      </w:r>
      <w:r>
        <w:rPr>
          <w:rtl w:val="true"/>
        </w:rPr>
        <w:t xml:space="preserve">, </w:t>
      </w:r>
      <w:r>
        <w:rPr>
          <w:rtl w:val="true"/>
        </w:rPr>
        <w:t xml:space="preserve">נגזר עונש של 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, </w:t>
      </w:r>
      <w:r>
        <w:rPr>
          <w:rtl w:val="true"/>
        </w:rPr>
        <w:t>בגין הרשעתו בעבירות ניסיון לרצח ושיבוש מהלכי משפט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הערעור שלפנינו מופנה כלפי הכרעת דינו וגזר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46440-08-20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 xml:space="preserve">מימים </w:t>
      </w:r>
      <w:r>
        <w:rPr/>
        <w:t>23.4.2023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3.7.2023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נשוי ואב לשניים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 xml:space="preserve">בנו הבכור נהרג בשנת </w:t>
      </w:r>
      <w:r>
        <w:rPr>
          <w:rFonts w:cs="Century" w:ascii="Century" w:hAnsi="Century"/>
          <w:sz w:val="22"/>
        </w:rPr>
        <w:t>2018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במהלך שירותו הצבאי</w:t>
      </w:r>
      <w:r>
        <w:rPr>
          <w:rtl w:val="true"/>
        </w:rPr>
        <w:t xml:space="preserve">. </w:t>
      </w:r>
      <w:r>
        <w:rPr>
          <w:rtl w:val="true"/>
        </w:rPr>
        <w:t>המערער מנהל חברה המספקת שירותי ניקיון</w:t>
      </w:r>
      <w:r>
        <w:rPr>
          <w:rtl w:val="true"/>
        </w:rPr>
        <w:t xml:space="preserve">, </w:t>
      </w:r>
      <w:r>
        <w:rPr>
          <w:rtl w:val="true"/>
        </w:rPr>
        <w:t xml:space="preserve">אשר אחד מסניפיה נוהל על ידי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>המערער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ניהלו קשר זוגי אינטימי במשך כ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ללא ידיעת משפחת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המפגשים בין השניים התקיימו בדירתה של ל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>בשנה שקדמה לאירוע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החלו לדבר ביניהם על חשיפת הרומן בפני אשתו ובתו של המערער ועל מעבר למגורים משותפים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לשם כך המערער אף שוחח עם בעלת הדירה של 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במטרה להגדילה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בתקופה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השניים ניסו להביא ילד משותף לעולם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על רקע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סיכמו כי ביום </w:t>
      </w:r>
      <w:r>
        <w:rPr>
          <w:rFonts w:cs="Century" w:ascii="Century" w:hAnsi="Century"/>
          <w:sz w:val="22"/>
        </w:rPr>
        <w:t>3.8.2020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בשעות הערב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יודיע לאשתו ולבתו על אודות הקשר ביניהם וכן על החלטתו לעבור להתגורר עם ל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>אלא שסמוך ליום המעבר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גמלה בליבו של המערער החלטה להביא למותה של ל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>לשם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תכנן להגיע לדירתה של ל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לרצוח אותה וליצור מצג כוזב לפיו היא נרצחה במהלך שוד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בהגיע יום </w:t>
      </w:r>
      <w:r>
        <w:rPr>
          <w:rFonts w:cs="Century" w:ascii="Century" w:hAnsi="Century"/>
          <w:sz w:val="22"/>
        </w:rPr>
        <w:t>3.8.2020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בשעה </w:t>
      </w:r>
      <w:r>
        <w:rPr>
          <w:rFonts w:cs="Century" w:ascii="Century" w:hAnsi="Century"/>
          <w:sz w:val="22"/>
        </w:rPr>
        <w:t>7:45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לערך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התקשר 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בעת שיצא מביתו לעבודה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ושוחח עמה כמנהגו מידי יום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במהלך השיחה אמר לה כי בכוונתו לבקרה בבוקר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כדי לנשום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שיהיה לו כוח לעשות את המעבר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שתוכנן כאמור לאותו יום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מכן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נסע לפגישת עבודה שהתקיימה בפתח תקווה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בסמוך לשעה </w:t>
      </w:r>
      <w:r>
        <w:rPr>
          <w:rFonts w:cs="Century" w:ascii="Century" w:hAnsi="Century"/>
          <w:sz w:val="22"/>
        </w:rPr>
        <w:t>9:10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והסתיימה כעבור מספר דקות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תוך שהמערער ויתר משתתפי הפגישה סיכמו להיפגש שוב בשעה </w:t>
      </w:r>
      <w:r>
        <w:rPr>
          <w:rFonts w:cs="Century" w:ascii="Century" w:hAnsi="Century"/>
          <w:sz w:val="22"/>
        </w:rPr>
        <w:t>12:00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בתום הפגישה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העביר את מכשיר הטלפון הנייד שלו 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מצב טיסה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על מנת שלא יהיה ניתן לאתר את מיקומו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את מכשיר הטלפון הנייד ואת רכבו הותיר המערער בפתח תקווה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החליף את בגדיו במדי צבא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חבש כובע לראשו ועטה מסכת פנים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יוזכר כי בימים אלה פשתה מגפת הקורונה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משם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עשה את דרכו לדירתה של ל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 xml:space="preserve">הוא הגיע במונית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לפי הכרעת הדין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עד לקניון הראל במבשרת ציון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ובסביבות השעה </w:t>
      </w:r>
      <w:r>
        <w:rPr>
          <w:rFonts w:cs="Century" w:ascii="Century" w:hAnsi="Century"/>
          <w:sz w:val="22"/>
        </w:rPr>
        <w:t>10:00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הוא יצא משם באמצעות מונית ליישוב הר אדר שבו ממוקמת הדירה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לנהג המונית המערער סיפר בכזב כי גויס למילואים בשל מגפת הקורונה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בשעה </w:t>
      </w:r>
      <w:r>
        <w:rPr>
          <w:rFonts w:cs="Century" w:ascii="Century" w:hAnsi="Century"/>
          <w:sz w:val="22"/>
        </w:rPr>
        <w:t>10:30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לערך המערער הגיע לדירתה של ל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 xml:space="preserve">ואמר לה כי בא במטרה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לקחת מידות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עבור ארון בגדים חדש לרגל מעבר הדירה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שפשט את חולצת המדים שלבש ונותר עם חולצת טריקו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השניים שתו קפה יחדיו במרפסת הדירה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בשלב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אמר 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כי הביא לה מתנה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כדי להוריד את הלחץ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לקראת המעבר הצפוי באותו ערב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המערער ביקש מ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להיכנס לדירה ולשבת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אחרי שהתיישבה בסלון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ביקשה לשבת על כיסא בפינת האוכל ולעצום את עיניה בטרם יעניק לה את המתנה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 אז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נעמד מאחורי ל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וברגע שעצמה את עיניה החל במפתיע להכות בראשה בעוצמה באמצעות חפץ שהחזיק בידו כשהוא עוטה כפפות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נפלה לרצפה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והמערער המשיך להכותה בראשה ובעורפה בכוח רב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המערער לא חדל ממעשיו חרף תחנוניה של 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שיפסיק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ואלה גרמו לה לדימום מסיבי מהגולגולת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מהאוזן ומהעורף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במהלך התקיפה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ובשעה ש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מתחננת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הטיח בה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כמה שתתמוטטי יותר מהר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זה ייגמר יותר מהר</w:t>
      </w:r>
      <w:r>
        <w:rPr>
          <w:rFonts w:cs="Century" w:ascii="Century" w:hAnsi="Century"/>
          <w:sz w:val="22"/>
          <w:rtl w:val="true"/>
        </w:rPr>
        <w:t>", "</w:t>
      </w:r>
      <w:r>
        <w:rPr>
          <w:rFonts w:ascii="Century" w:hAnsi="Century" w:cs="Century"/>
          <w:sz w:val="22"/>
          <w:sz w:val="22"/>
          <w:rtl w:val="true"/>
        </w:rPr>
        <w:t>את הרגת את הבת שלי</w:t>
      </w:r>
      <w:r>
        <w:rPr>
          <w:rFonts w:cs="Century" w:ascii="Century" w:hAnsi="Century"/>
          <w:sz w:val="22"/>
          <w:rtl w:val="true"/>
        </w:rPr>
        <w:t>", "</w:t>
      </w:r>
      <w:r>
        <w:rPr>
          <w:rFonts w:ascii="Century" w:hAnsi="Century" w:cs="Century"/>
          <w:sz w:val="22"/>
          <w:sz w:val="22"/>
          <w:rtl w:val="true"/>
        </w:rPr>
        <w:t>עכשיו ש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יידע שאבא שלו עבריין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ביקשה מהמערער לחדול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אך הלה ענה לה בתגובה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עכשיו אם אני אשאיר אותך חיה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תספרי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המערער המשיך להכותה לפרק זמן לא ידוע עד שסבר שגרם למותה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בשלב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החל להתארגן לקראת יציאה מהדירה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רחץ את עצמו מכתמי הדם של ל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ולבש חזרה את חולצת המדים על גבי חולצת הטריקו במטרה להסתיר כתמי דם אפשריים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בעודו עושה את דרכו החוצה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הבחין כי 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עודנה בחיים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בתגובה המערער אמר לה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לא מתה</w:t>
      </w:r>
      <w:r>
        <w:rPr>
          <w:rFonts w:cs="Century" w:ascii="Century" w:hAnsi="Century"/>
          <w:sz w:val="22"/>
          <w:rtl w:val="true"/>
        </w:rPr>
        <w:t xml:space="preserve">?" </w:t>
      </w:r>
      <w:r>
        <w:rPr>
          <w:rFonts w:ascii="Century" w:hAnsi="Century" w:cs="Century"/>
          <w:sz w:val="22"/>
          <w:sz w:val="22"/>
          <w:rtl w:val="true"/>
        </w:rPr>
        <w:t>וחזר להכותה בראשה באמצעות החפץ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חדל ממעשיו רק לאחר ש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השימה עצמה כמתה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ובהתאם המערער חשב כי הצליח להמיתה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על מנת לשוות למעשיו חזות של שוד בהתאם לתוכניתו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נטל את מכשיר הטלפון הנייד של 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ואת מפתחות רכבה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בסמוך לשעה </w:t>
      </w:r>
      <w:r>
        <w:rPr>
          <w:rFonts w:cs="Century" w:ascii="Century" w:hAnsi="Century"/>
          <w:sz w:val="22"/>
        </w:rPr>
        <w:t>12:30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יצא מהדירה כשהוא מותיר את המערערת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אותה חשב למתה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כשהיא מוטלת על הרצפה המגואלת בדם רב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סגר את הדלת היוצאת אל המרפסת ונעל אחריו את דלת הדירה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שהעביר את מכשיר הטלפון הנייד של 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מצב טיסה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כדי שלא ניתן יהיה לאתרו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יצא באמצעות רכבה להמשך יום עבודתו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בסביבות השעה </w:t>
      </w:r>
      <w:r>
        <w:rPr>
          <w:rFonts w:cs="Century" w:ascii="Century" w:hAnsi="Century"/>
          <w:sz w:val="22"/>
        </w:rPr>
        <w:t>13:00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הגיע לעיר מודיעין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הותיר את רכבה של 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באחד הרחובות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החליף את בגדיו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אותם השליך מאוחר יותר יחד עם החפץ שבאמצעותו תקף את ל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>על אף שהחזיק במכשיר הטלפון הנייד של ל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המערער ביקש מעובר אורח להזמין עבורו מונית וזאת במטרה למנוע את האפשרות לאתרו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כשהגיעה המונית באזור השעה </w:t>
      </w:r>
      <w:r>
        <w:rPr>
          <w:rFonts w:cs="Century" w:ascii="Century" w:hAnsi="Century"/>
          <w:sz w:val="22"/>
        </w:rPr>
        <w:t>13:15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נסע לפתח תקווה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נטל את מכשיר הטלפון הנייד שלו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החזירו לפעילות רגילה והמשיך בשגרת יום עבודה רגילה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בין לבין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בשעה </w:t>
      </w:r>
      <w:r>
        <w:rPr>
          <w:rFonts w:cs="Century" w:ascii="Century" w:hAnsi="Century"/>
          <w:sz w:val="22"/>
        </w:rPr>
        <w:t>12:45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לערך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לאחר שגילתה כי מכשיר הטלפון שלה נעלם ודלת הבית נעולה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הצליחה בשארית כוחותיה לפתוח את דלת המרפסת ולקרוא לשכנה שמתגוררת מעליה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וזו הזעיקה עזרה ועדכנה את בעלת הדירה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תוך זמן קצר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כוחות הצלה ומשטרה הגיעו למקום ופינו את 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לבית החולים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לשם הגיעה עם דימום מאסיבי פורץ מהראש והובהלה לחדר הטראומה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בעלת הדירה יצרה קשר באופן דחוף עם משפחתה של ל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 xml:space="preserve">והחל מהשעה </w:t>
      </w:r>
      <w:r>
        <w:rPr>
          <w:rFonts w:cs="Century" w:ascii="Century" w:hAnsi="Century"/>
          <w:sz w:val="22"/>
        </w:rPr>
        <w:t>12:49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ניסתה לעדכן גם את המערער על שאירע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רק בשעה </w:t>
      </w:r>
      <w:r>
        <w:rPr>
          <w:rFonts w:cs="Century" w:ascii="Century" w:hAnsi="Century"/>
          <w:sz w:val="22"/>
        </w:rPr>
        <w:t>13:57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 ענה לבעלת הדירה הנסערת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וביקשה כי תירגע ותיגש לאחד השוטרים כדי לברר מה בדיוק קרה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במטרה לברר מה ידוע למשטרה ואם תוכניתו להסתיר את מעורבותו צלחה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כחלק מתוכניתו ועל מנת להסתיר את מעורבותו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המשיך לקיים שיחות עבודה שונות באמצעות מכשיר הטלפון הנייד שלו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כאשר עשה את דרכו לעבר בית החולים ברכבו הפרטי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בסמוך לשעה </w:t>
      </w:r>
      <w:r>
        <w:rPr>
          <w:rFonts w:cs="Century" w:ascii="Century" w:hAnsi="Century"/>
          <w:sz w:val="22"/>
        </w:rPr>
        <w:t>15:00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נעצר כשהיה בדרכו לבית החולים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אושפזה בבית החולים למשך כשבועיים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כתוצאה ממעשי המערער נגרמו לה חבלות בעורף ובראש שהובילו לדימום תת עכבישי קל פרזנטלי בצד השמאלי של הראש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נזק קשה לאוזן השמאלית באופן שהצריך שחזור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ביצוע של כ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60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תפרים בראשה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באוזנה השמאלית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תפרים בעורפה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במעשיו המתוארים המערער ניסה לגרום למותה של ל</w:t>
      </w:r>
      <w:r>
        <w:rPr>
          <w:rtl w:val="true"/>
        </w:rPr>
        <w:t xml:space="preserve">'.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בוצעו על ידו פעולות רבות בכוונה למנוע חקירה ולהביא לידי עיוות דין בדרך של העלמת ראיות</w:t>
      </w:r>
      <w:r>
        <w:rPr>
          <w:rtl w:val="true"/>
        </w:rPr>
        <w:t xml:space="preserve">. </w:t>
      </w:r>
      <w:r>
        <w:rPr>
          <w:rtl w:val="true"/>
        </w:rPr>
        <w:t>בגין כך</w:t>
      </w:r>
      <w:r>
        <w:rPr>
          <w:rtl w:val="true"/>
        </w:rPr>
        <w:t xml:space="preserve">, </w:t>
      </w:r>
      <w:r>
        <w:rPr>
          <w:rtl w:val="true"/>
        </w:rPr>
        <w:t xml:space="preserve">יוחסו לו עבירות של ניסיון רצח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ושיבוש מהלכי משפט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בתום ניהול הליך הוכחות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המחוזי הרשיע את המערער פה אחד בעבירות שיוחסו לו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במוקד המחלוקת בין הצדדים ניצבה סוגיית כוונתו של המערער להביא למותה של ל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>לעניין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עמדו לפני בית המשפט המחוזי שתי גרסאות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זו של 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וזו של המערער מאידך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מלבד גרסאותיהם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הונח לפני בית המשפט המחוזי מארג ראייתי הכולל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ממצאים רפואיים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ממצאים של מז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מחקרי תקשורת ועוד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גרסת המערער הובעה על ידו לראשונה בעדותו בבית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שבחקירותיו שמר על זכות השתיקה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לפי עיקרי גרסתו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אומנם תקף ופצע את ל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אך המאורע לא היה מתוכנן והוא לא התכוון לרוצחה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לדבריו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ביום המאורע אמר 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שהוא אינו יכול לבצע את מעבר הדירה בשלב זה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הגיבה לדבריו בצעקות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שהוא מנסה להרגיעה ולהבהיר כי מדובר בדחייה בלבד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בתגובה אמרה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שזה נגמר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כי היא הולכת לספר לאשתו ולבתו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וכי מה שבתו עברה בעקבות מות בנו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זה כלום לעומת מה שאגרום לה לעבור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כך לפי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בעקבות דברים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סיפר שלקח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משהו מהשולחן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היכה את 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כמה פעמים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ויצא מהמקום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בחלוף מספר שניות חזר ומצאה ישובה על הכיסא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כשסביבה היה דם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אמרה לו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תלך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אני לא אספר כלום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עוד מסר המערער כי הוא אינו זוכר מה היה החפץ שבו השתמש כדי להכות את ל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וכי הוא לא זוכר שאמר לה שאם היא תספר אז יהרוג אותה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גרסת 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מתוארת בעיקרה בכתב האישום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בית המשפט המחוזי העדיפה על פני זו של המערער לנוכח התרשמותו הישירה </w:t>
      </w:r>
      <w:r>
        <w:rPr>
          <w:rtl w:val="true"/>
        </w:rPr>
        <w:t>מעדותה</w:t>
      </w:r>
      <w:r>
        <w:rPr>
          <w:rtl w:val="true"/>
        </w:rPr>
        <w:t xml:space="preserve">, </w:t>
      </w:r>
      <w:r>
        <w:rPr>
          <w:rtl w:val="true"/>
        </w:rPr>
        <w:t xml:space="preserve">שנמצאה </w:t>
      </w:r>
      <w:r>
        <w:rPr>
          <w:rtl w:val="true"/>
        </w:rPr>
        <w:t>"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בהירה ונחרצת</w:t>
      </w:r>
      <w:r>
        <w:rPr>
          <w:rtl w:val="true"/>
        </w:rPr>
        <w:t xml:space="preserve">" </w:t>
      </w:r>
      <w:r>
        <w:rPr>
          <w:rtl w:val="true"/>
        </w:rPr>
        <w:t>ביחס למטרת המערער במעשיו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Fonts w:ascii="Century" w:hAnsi="Century" w:cs="Century"/>
          <w:sz w:val="22"/>
          <w:sz w:val="22"/>
          <w:rtl w:val="true"/>
        </w:rPr>
        <w:t>בהסתמך על בחינת המסכת הראייתית בכללותה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עמד על </w:t>
      </w:r>
      <w:r>
        <w:rPr>
          <w:rFonts w:cs="Miriam"/>
          <w:b/>
          <w:b/>
          <w:spacing w:val="0"/>
          <w:szCs w:val="24"/>
          <w:rtl w:val="true"/>
        </w:rPr>
        <w:t>טיב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ועוצמת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הפגיעה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כפי שאלו עולים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מתמונות בהן ראשה מלא כתמי דם</w:t>
      </w:r>
      <w:r>
        <w:rPr>
          <w:rtl w:val="true"/>
        </w:rPr>
        <w:t xml:space="preserve">, </w:t>
      </w:r>
      <w:r>
        <w:rPr>
          <w:rtl w:val="true"/>
        </w:rPr>
        <w:t>חתכים ופצעים</w:t>
      </w:r>
      <w:r>
        <w:rPr>
          <w:rtl w:val="true"/>
        </w:rPr>
        <w:t xml:space="preserve">; </w:t>
      </w:r>
      <w:r>
        <w:rPr>
          <w:rtl w:val="true"/>
        </w:rPr>
        <w:t>מתמונות הדירה שבהן נראית הרצפה מכוסה בדם</w:t>
      </w:r>
      <w:r>
        <w:rPr>
          <w:rtl w:val="true"/>
        </w:rPr>
        <w:t xml:space="preserve">; </w:t>
      </w:r>
      <w:r>
        <w:rPr>
          <w:rtl w:val="true"/>
        </w:rPr>
        <w:t>וממסמכים רפואיים שבהם אף צוין כי מכלול החבלות עלול היה לסכן חיים</w:t>
      </w:r>
      <w:r>
        <w:rPr>
          <w:rtl w:val="true"/>
        </w:rPr>
        <w:t xml:space="preserve">. </w:t>
      </w:r>
      <w:r>
        <w:rPr>
          <w:rtl w:val="true"/>
        </w:rPr>
        <w:t xml:space="preserve">על בסיס אלה הוסק כי עוצמת האלימות שהמערער הפעיל הייתה </w:t>
      </w:r>
      <w:r>
        <w:rPr>
          <w:rtl w:val="true"/>
        </w:rPr>
        <w:t>"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מאסיבית וקשה מאוד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לכך הוסף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לדיר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לפי עדותה של ל</w:t>
      </w:r>
      <w:r>
        <w:rPr>
          <w:rtl w:val="true"/>
        </w:rPr>
        <w:t xml:space="preserve">', </w:t>
      </w:r>
      <w:r>
        <w:rPr>
          <w:rtl w:val="true"/>
        </w:rPr>
        <w:t>המערער היה מגיע תמיד במכוניתו</w:t>
      </w:r>
      <w:r>
        <w:rPr>
          <w:rtl w:val="true"/>
        </w:rPr>
        <w:t xml:space="preserve">, </w:t>
      </w:r>
      <w:r>
        <w:rPr>
          <w:rtl w:val="true"/>
        </w:rPr>
        <w:t>וכך היה אף לפי גרסתו למעט בפעמים בודדות</w:t>
      </w:r>
      <w:r>
        <w:rPr>
          <w:rtl w:val="true"/>
        </w:rPr>
        <w:t xml:space="preserve">. </w:t>
      </w:r>
      <w:r>
        <w:rPr>
          <w:rtl w:val="true"/>
        </w:rPr>
        <w:t>אף על פי כן</w:t>
      </w:r>
      <w:r>
        <w:rPr>
          <w:rtl w:val="true"/>
        </w:rPr>
        <w:t xml:space="preserve">, </w:t>
      </w:r>
      <w:r>
        <w:rPr>
          <w:rtl w:val="true"/>
        </w:rPr>
        <w:t>ביום האירוע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"</w:t>
      </w:r>
      <w:r>
        <w:rPr>
          <w:rtl w:val="true"/>
        </w:rPr>
        <w:t>היטלטל</w:t>
      </w:r>
      <w:r>
        <w:rPr>
          <w:rtl w:val="true"/>
        </w:rPr>
        <w:t xml:space="preserve">" </w:t>
      </w:r>
      <w:r>
        <w:rPr>
          <w:rtl w:val="true"/>
        </w:rPr>
        <w:t>באמצעות מונית מפתח תקווה למבשרת ציון</w:t>
      </w:r>
      <w:r>
        <w:rPr>
          <w:rtl w:val="true"/>
        </w:rPr>
        <w:t xml:space="preserve">, </w:t>
      </w:r>
      <w:r>
        <w:rPr>
          <w:rtl w:val="true"/>
        </w:rPr>
        <w:t>משם להר אדר</w:t>
      </w:r>
      <w:r>
        <w:rPr>
          <w:rtl w:val="true"/>
        </w:rPr>
        <w:t xml:space="preserve">, </w:t>
      </w:r>
      <w:r>
        <w:rPr>
          <w:rtl w:val="true"/>
        </w:rPr>
        <w:t>ואת דרכו חזרה לפתח תקווה עשה דרך מודיעין</w:t>
      </w:r>
      <w:r>
        <w:rPr>
          <w:rtl w:val="true"/>
        </w:rPr>
        <w:t xml:space="preserve">, </w:t>
      </w:r>
      <w:r>
        <w:rPr>
          <w:rtl w:val="true"/>
        </w:rPr>
        <w:t>שם זנח את רכבה של ל</w:t>
      </w:r>
      <w:r>
        <w:rPr>
          <w:rtl w:val="true"/>
        </w:rPr>
        <w:t xml:space="preserve">'.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 xml:space="preserve">כשברשותו זמן מועט בלבד ושעה שיום זה היה קריטי מבחינה עסקית עבור המערער לפי עדותו שלו </w:t>
      </w:r>
      <w:r>
        <w:rPr>
          <w:rtl w:val="true"/>
        </w:rPr>
        <w:t>–</w:t>
      </w:r>
      <w:r>
        <w:rPr>
          <w:rtl w:val="true"/>
        </w:rPr>
        <w:t xml:space="preserve"> שכן</w:t>
      </w:r>
      <w:r>
        <w:rPr>
          <w:rtl w:val="true"/>
        </w:rPr>
        <w:t xml:space="preserve">, </w:t>
      </w:r>
      <w:r>
        <w:rPr>
          <w:rtl w:val="true"/>
        </w:rPr>
        <w:t xml:space="preserve">באותו היום הוא אמור היה לחתום על חוזה רחב היקף בפתח תקווה בשעה </w:t>
      </w:r>
      <w:r>
        <w:rPr/>
        <w:t>12:00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נקבע כי המסקנה ההגיונית שמשתלבת עם יתר הראיות היא שהמערער ביקש להעלים את עובדת הגעתו לדירת ל</w:t>
      </w:r>
      <w:r>
        <w:rPr>
          <w:rtl w:val="true"/>
        </w:rPr>
        <w:t>'.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נקבע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מכשיר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טיסה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אינה עולה בקנה אחד עם גרסתו</w:t>
      </w:r>
      <w:r>
        <w:rPr>
          <w:rtl w:val="true"/>
        </w:rPr>
        <w:t xml:space="preserve">. </w:t>
      </w:r>
      <w:r>
        <w:rPr>
          <w:rtl w:val="true"/>
        </w:rPr>
        <w:t>טענת המשיבה לפני בית המשפט המחוזי הייתה כי מכשיר הטלפון הנייד הוחזק על ידי המערער במצב טיסה לאורך האירוע</w:t>
      </w:r>
      <w:r>
        <w:rPr>
          <w:rtl w:val="true"/>
        </w:rPr>
        <w:t xml:space="preserve">, </w:t>
      </w:r>
      <w:r>
        <w:rPr>
          <w:rtl w:val="true"/>
        </w:rPr>
        <w:t>וזאת בניגוד לסברתה ההתחלתית של המשיבה לפיה המכשיר הושאר במכוניתו בפתח תקווה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הודגש כי העיקר הוא שהמכשיר היה מצוי ב</w:t>
      </w:r>
      <w:r>
        <w:rPr>
          <w:rtl w:val="true"/>
        </w:rPr>
        <w:t>"</w:t>
      </w:r>
      <w:r>
        <w:rPr>
          <w:rtl w:val="true"/>
        </w:rPr>
        <w:t>מצב טיסה</w:t>
      </w:r>
      <w:r>
        <w:rPr>
          <w:rtl w:val="true"/>
        </w:rPr>
        <w:t xml:space="preserve">". </w:t>
      </w:r>
      <w:r>
        <w:rPr>
          <w:rtl w:val="true"/>
        </w:rPr>
        <w:t>בהינתן עובדה זו</w:t>
      </w:r>
      <w:r>
        <w:rPr>
          <w:rtl w:val="true"/>
        </w:rPr>
        <w:t xml:space="preserve">, </w:t>
      </w:r>
      <w:r>
        <w:rPr>
          <w:rtl w:val="true"/>
        </w:rPr>
        <w:t xml:space="preserve">ולנוכח החשיבות העסקית הרבה של העסקה שצפויה הייתה להיערך בשעה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נקבע כי מטרת השימוש ב</w:t>
      </w:r>
      <w:r>
        <w:rPr>
          <w:rtl w:val="true"/>
        </w:rPr>
        <w:t>"</w:t>
      </w:r>
      <w:r>
        <w:rPr>
          <w:rtl w:val="true"/>
        </w:rPr>
        <w:t>מצב טיסה</w:t>
      </w:r>
      <w:r>
        <w:rPr>
          <w:rtl w:val="true"/>
        </w:rPr>
        <w:t xml:space="preserve">" </w:t>
      </w:r>
      <w:r>
        <w:rPr>
          <w:rtl w:val="true"/>
        </w:rPr>
        <w:t>היא מניעת היכולת לאתר את מכשיר הטלפון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לאמור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הצביע על כך שהמערער נשא עמו נעליים ויותר מזוג בגדים אחד להחלפה</w:t>
      </w:r>
      <w:r>
        <w:rPr>
          <w:rtl w:val="true"/>
        </w:rPr>
        <w:t xml:space="preserve">, </w:t>
      </w:r>
      <w:r>
        <w:rPr>
          <w:rtl w:val="true"/>
        </w:rPr>
        <w:t xml:space="preserve">וכן הגיע לדירה במדים או בבגדים דמויי מדים </w:t>
      </w:r>
      <w:r>
        <w:rPr>
          <w:rtl w:val="true"/>
        </w:rPr>
        <w:t>–</w:t>
      </w:r>
      <w:r>
        <w:rPr>
          <w:rtl w:val="true"/>
        </w:rPr>
        <w:t xml:space="preserve"> וזאת ללא כל הסבר מספק</w:t>
      </w:r>
      <w:r>
        <w:rPr>
          <w:rtl w:val="true"/>
        </w:rPr>
        <w:t xml:space="preserve">; </w:t>
      </w:r>
      <w:r>
        <w:rPr>
          <w:rtl w:val="true"/>
        </w:rPr>
        <w:t xml:space="preserve">על </w:t>
      </w:r>
      <w:r>
        <w:rPr>
          <w:rtl w:val="true"/>
        </w:rPr>
        <w:t>"</w:t>
      </w:r>
      <w:r>
        <w:rPr>
          <w:rtl w:val="true"/>
        </w:rPr>
        <w:t>המהפכה</w:t>
      </w:r>
      <w:r>
        <w:rPr>
          <w:rtl w:val="true"/>
        </w:rPr>
        <w:t xml:space="preserve">" </w:t>
      </w:r>
      <w:r>
        <w:rPr>
          <w:rtl w:val="true"/>
        </w:rPr>
        <w:t>ששררה בחדר השינה בדירתה של ל</w:t>
      </w:r>
      <w:r>
        <w:rPr>
          <w:rtl w:val="true"/>
        </w:rPr>
        <w:t xml:space="preserve">'; </w:t>
      </w:r>
      <w:r>
        <w:rPr>
          <w:rtl w:val="true"/>
        </w:rPr>
        <w:t>ועל כך שהמערער נעל את דלת הדירה</w:t>
      </w:r>
      <w:r>
        <w:rPr>
          <w:rtl w:val="true"/>
        </w:rPr>
        <w:t xml:space="preserve">, </w:t>
      </w:r>
      <w:r>
        <w:rPr>
          <w:rtl w:val="true"/>
        </w:rPr>
        <w:t>נטל עמו את המפתחות</w:t>
      </w:r>
      <w:r>
        <w:rPr>
          <w:rtl w:val="true"/>
        </w:rPr>
        <w:t xml:space="preserve">, </w:t>
      </w:r>
      <w:r>
        <w:rPr>
          <w:rtl w:val="true"/>
        </w:rPr>
        <w:t>את מכשיר הטלפון הנייד של ל</w:t>
      </w:r>
      <w:r>
        <w:rPr>
          <w:rtl w:val="true"/>
        </w:rPr>
        <w:t xml:space="preserve">' </w:t>
      </w:r>
      <w:r>
        <w:rPr>
          <w:rtl w:val="true"/>
        </w:rPr>
        <w:t>ואת מכוניתה</w:t>
      </w:r>
      <w:r>
        <w:rPr>
          <w:rtl w:val="true"/>
        </w:rPr>
        <w:t xml:space="preserve">, </w:t>
      </w:r>
      <w:r>
        <w:rPr>
          <w:rtl w:val="true"/>
        </w:rPr>
        <w:t>תוך שהוא מותירה פצועה באורח קשה</w:t>
      </w:r>
      <w:r>
        <w:rPr>
          <w:rtl w:val="true"/>
        </w:rPr>
        <w:t xml:space="preserve">. </w:t>
      </w:r>
      <w:r>
        <w:rPr>
          <w:rtl w:val="true"/>
        </w:rPr>
        <w:t>כן נקבע כי יש לקבל את גרסתה של ל</w:t>
      </w:r>
      <w:r>
        <w:rPr>
          <w:rtl w:val="true"/>
        </w:rPr>
        <w:t xml:space="preserve">' </w:t>
      </w:r>
      <w:r>
        <w:rPr>
          <w:rtl w:val="true"/>
        </w:rPr>
        <w:t>לפיה המערער עזב</w:t>
      </w:r>
      <w:r>
        <w:rPr>
          <w:rtl w:val="true"/>
        </w:rPr>
        <w:t xml:space="preserve">, </w:t>
      </w:r>
      <w:r>
        <w:rPr>
          <w:rtl w:val="true"/>
        </w:rPr>
        <w:t>אך לאחר שראה כי היא עודה בהכרה</w:t>
      </w:r>
      <w:r>
        <w:rPr>
          <w:rtl w:val="true"/>
        </w:rPr>
        <w:t xml:space="preserve">, </w:t>
      </w:r>
      <w:r>
        <w:rPr>
          <w:rtl w:val="true"/>
        </w:rPr>
        <w:t>אמר לה שככל שתמות מהר יותר כך עדיף</w:t>
      </w:r>
      <w:r>
        <w:rPr>
          <w:rtl w:val="true"/>
        </w:rPr>
        <w:t xml:space="preserve">, </w:t>
      </w:r>
      <w:r>
        <w:rPr>
          <w:rtl w:val="true"/>
        </w:rPr>
        <w:t>המשיך להכותה ואז יצא מהמקום</w:t>
      </w:r>
      <w:r>
        <w:rPr>
          <w:rtl w:val="true"/>
        </w:rPr>
        <w:t xml:space="preserve">. </w:t>
      </w:r>
      <w:r>
        <w:rPr>
          <w:rtl w:val="true"/>
        </w:rPr>
        <w:t>על כל אלה התווספה העובדה שהמערער שתק וכבש את עדותו במשך כל חקירותיו</w:t>
      </w:r>
      <w:r>
        <w:rPr>
          <w:rtl w:val="true"/>
        </w:rPr>
        <w:t xml:space="preserve">; </w:t>
      </w:r>
      <w:r>
        <w:rPr>
          <w:rtl w:val="true"/>
        </w:rPr>
        <w:t>כשלצד זאת</w:t>
      </w:r>
      <w:r>
        <w:rPr>
          <w:rtl w:val="true"/>
        </w:rPr>
        <w:t xml:space="preserve">, </w:t>
      </w:r>
      <w:r>
        <w:rPr>
          <w:rtl w:val="true"/>
        </w:rPr>
        <w:t>בעת מעצרו הכחיש כי היה ביישוב הר אדר באותו היום</w:t>
      </w:r>
      <w:r>
        <w:rPr>
          <w:rtl w:val="true"/>
        </w:rPr>
        <w:t xml:space="preserve">, </w:t>
      </w:r>
      <w:r>
        <w:rPr>
          <w:rtl w:val="true"/>
        </w:rPr>
        <w:t>וגם בתום החקירות הכחיש את היותו מבצע המעשה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>נקבע כי זו נלמדת מכלל מעשיו של המערער לפני האירוע ולאחריו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המחוזי עמד על המחשבה שקדמה למעשיו של המערער ועל נקיטתו בשורת צעדים מתוכננים כדי לטשטש את מעורבותו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שאין מדובר במעידה פתאומית או באובדן רגעי של שיקול הדעת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הודגשה חומרתה של עבירת הניסיון לרצח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ופסיקתו של בית משפט זה בדבר הצורך לנקוט נגדה בענישה מחמירה בראי תופעת האלימות נגד נשים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בהמשך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התייחסות למדיניות הענישה הנוהגת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נקבע כי מתחם העונש ההולם בעניינו של המערער הוא בין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בגדרי המתחם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המחוזי זקף לזכות המערער את היותו נעדר עבר פלילי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תפקודו הנורמטיבי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עד לאירוע ואת צמצום יריעת המחלוקת בשלב ניהול ההליך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על רקע זה נגזר על המערער עונש של </w:t>
      </w:r>
      <w:r>
        <w:rPr>
          <w:rFonts w:cs="Century" w:ascii="Century" w:hAnsi="Century"/>
          <w:sz w:val="22"/>
        </w:rPr>
        <w:t>13.5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מאסר על תנאי בן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 לבל יעבור את העבירה שבה הורשע בהליך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למשך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תשלום פיצוי 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בסך </w:t>
      </w:r>
      <w:r>
        <w:rPr>
          <w:rFonts w:cs="Century" w:ascii="Century" w:hAnsi="Century"/>
          <w:sz w:val="22"/>
        </w:rPr>
        <w:t>250,000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אם ישלם את מלוא הפיצוי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2,150,000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על פי פסק דין שניתן בהליך אזרחי בינו לבין ל</w:t>
      </w:r>
      <w:r>
        <w:rPr>
          <w:rFonts w:cs="Century" w:ascii="Century" w:hAnsi="Century"/>
          <w:sz w:val="22"/>
          <w:rtl w:val="true"/>
        </w:rPr>
        <w:t>'.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  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כשהרשיעו בעבירת הניסיון לרצח ולא בעבירה שחומרתה פחותה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שהקביעה לפיה מדובר באירוע מתוכנן אינה המסקנה האפשרית היחידה ממכלול הנסיבות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נטען כי היסוד הנפשי הנדרש לעבירת הניסיון לרצח אינו מתקיים במקרה דנן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המערער טען כי ניתן משקל יתר לגרסת ל</w:t>
      </w:r>
      <w:r>
        <w:rPr>
          <w:rtl w:val="true"/>
        </w:rPr>
        <w:t xml:space="preserve">', </w:t>
      </w:r>
      <w:r>
        <w:rPr>
          <w:rtl w:val="true"/>
        </w:rPr>
        <w:t>אשר היא שניצבת בלב מסכת הראיות</w:t>
      </w:r>
      <w:r>
        <w:rPr>
          <w:rtl w:val="true"/>
        </w:rPr>
        <w:t xml:space="preserve">, </w:t>
      </w:r>
      <w:r>
        <w:rPr>
          <w:rtl w:val="true"/>
        </w:rPr>
        <w:t>וזאת תוך התעלמות מראיות אחרות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סתירות</w:t>
      </w:r>
      <w:r>
        <w:rPr>
          <w:rtl w:val="true"/>
        </w:rPr>
        <w:t xml:space="preserve">" </w:t>
      </w:r>
      <w:r>
        <w:rPr>
          <w:rtl w:val="true"/>
        </w:rPr>
        <w:t>שנפלו לדבריו בגרסתה ומשינויים שחלו בה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נטען כי ל</w:t>
      </w:r>
      <w:r>
        <w:rPr>
          <w:rtl w:val="true"/>
        </w:rPr>
        <w:t xml:space="preserve">' </w:t>
      </w:r>
      <w:r>
        <w:rPr>
          <w:rtl w:val="true"/>
        </w:rPr>
        <w:t>טענה בתחילה כי תקיפת המערער בוצעה באמצעות שוקר חשמלי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לאחר בדיקה שבה לא נמצאו סימנים המתיישבים עם תקיפה מעין זו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 xml:space="preserve">לא הוסיפה להזכיר את דבר קיומן של </w:t>
      </w:r>
      <w:r>
        <w:rPr>
          <w:rtl w:val="true"/>
        </w:rPr>
        <w:t>"</w:t>
      </w:r>
      <w:r>
        <w:rPr>
          <w:rtl w:val="true"/>
        </w:rPr>
        <w:t>מכות חשמל</w:t>
      </w:r>
      <w:r>
        <w:rPr>
          <w:rtl w:val="true"/>
        </w:rPr>
        <w:t xml:space="preserve">". </w:t>
      </w:r>
      <w:r>
        <w:rPr>
          <w:rtl w:val="true"/>
        </w:rPr>
        <w:t>עוד נטען בהקשר זה כי לפי כתב האישום</w:t>
      </w:r>
      <w:r>
        <w:rPr>
          <w:rtl w:val="true"/>
        </w:rPr>
        <w:t xml:space="preserve">, </w:t>
      </w:r>
      <w:r>
        <w:rPr>
          <w:rtl w:val="true"/>
        </w:rPr>
        <w:t>המערער חדל ממעשיו רק אחרי ש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 xml:space="preserve">העמידה פניה כפני מתה </w:t>
      </w:r>
      <w:r>
        <w:rPr>
          <w:rtl w:val="true"/>
        </w:rPr>
        <w:t>–</w:t>
      </w:r>
      <w:r>
        <w:rPr>
          <w:rtl w:val="true"/>
        </w:rPr>
        <w:t xml:space="preserve"> אך עניין זה מבוסס לדברי המערער על הודעותיה של ל</w:t>
      </w:r>
      <w:r>
        <w:rPr>
          <w:rtl w:val="true"/>
        </w:rPr>
        <w:t xml:space="preserve">' </w:t>
      </w:r>
      <w:r>
        <w:rPr>
          <w:rtl w:val="true"/>
        </w:rPr>
        <w:t>במשטרה חרף היותן לא עקביות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שתוכננה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אליבי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לפגישה</w:t>
      </w:r>
      <w:r>
        <w:rPr>
          <w:rtl w:val="true"/>
        </w:rPr>
        <w:t xml:space="preserve">. </w:t>
      </w:r>
      <w:r>
        <w:rPr>
          <w:rtl w:val="true"/>
        </w:rPr>
        <w:t>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טענה נוספת שהעלה המערער התמקדה במניע שבבסיס מעשיו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 כי למרות שמניע אינו אחד מיסודות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המניע שלהתקיימותו טענה המשיבה </w:t>
      </w:r>
      <w:r>
        <w:rPr>
          <w:rtl w:val="true"/>
        </w:rPr>
        <w:t>–</w:t>
      </w:r>
      <w:r>
        <w:rPr>
          <w:rtl w:val="true"/>
        </w:rPr>
        <w:t xml:space="preserve"> מניעת המגורים המשותפים וחשיפת הקשר בין המערער לבין ל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כלל לא הוכח</w:t>
      </w:r>
      <w:r>
        <w:rPr>
          <w:rtl w:val="true"/>
        </w:rPr>
        <w:t xml:space="preserve">. </w:t>
      </w:r>
      <w:r>
        <w:rPr>
          <w:rtl w:val="true"/>
        </w:rPr>
        <w:t>בהמשך לכך נטען כי גרסת המערער לפיה האירוע האלים התפתח באופן ספונטני לאחר שהלה בישר 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כי הוא אינו עובר לגור עמה</w:t>
      </w:r>
      <w:r>
        <w:rPr>
          <w:rtl w:val="true"/>
        </w:rPr>
        <w:t xml:space="preserve">, </w:t>
      </w:r>
      <w:r>
        <w:rPr>
          <w:rtl w:val="true"/>
        </w:rPr>
        <w:t>היא גרסה עדיפה המתיישבת עם חומר הראיות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הוסיף וטען כי בית המשפט המחוזי התעלם מכך שהוא לא הצטייד מבעוד מועד ב</w:t>
      </w:r>
      <w:r>
        <w:rPr>
          <w:rtl w:val="true"/>
        </w:rPr>
        <w:t>"</w:t>
      </w:r>
      <w:r>
        <w:rPr>
          <w:rtl w:val="true"/>
        </w:rPr>
        <w:t>כלי רצח</w:t>
      </w:r>
      <w:r>
        <w:rPr>
          <w:rtl w:val="true"/>
        </w:rPr>
        <w:t xml:space="preserve">".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כלי התקיפה היה </w:t>
      </w:r>
      <w:r>
        <w:rPr>
          <w:rtl w:val="true"/>
        </w:rPr>
        <w:t>"</w:t>
      </w:r>
      <w:r>
        <w:rPr>
          <w:rtl w:val="true"/>
        </w:rPr>
        <w:t>קטן ממדים</w:t>
      </w:r>
      <w:r>
        <w:rPr>
          <w:rtl w:val="true"/>
        </w:rPr>
        <w:t xml:space="preserve">", </w:t>
      </w:r>
      <w:r>
        <w:rPr>
          <w:rtl w:val="true"/>
        </w:rPr>
        <w:t>כלשון המערער</w:t>
      </w:r>
      <w:r>
        <w:rPr>
          <w:rtl w:val="true"/>
        </w:rPr>
        <w:t xml:space="preserve">, </w:t>
      </w:r>
      <w:r>
        <w:rPr>
          <w:rtl w:val="true"/>
        </w:rPr>
        <w:t>מה שמקשה על קבלת הטענה שהתכוון לגרום למותה של ל</w:t>
      </w:r>
      <w:r>
        <w:rPr>
          <w:rtl w:val="true"/>
        </w:rPr>
        <w:t xml:space="preserve">'. </w:t>
      </w:r>
      <w:r>
        <w:rPr>
          <w:rtl w:val="true"/>
        </w:rPr>
        <w:t xml:space="preserve">עוד נטען בהיבט זה כי גם מסקנת בית המשפט המחוזי על אודות עוצמת התקיפה היא שגויה </w:t>
      </w:r>
      <w:r>
        <w:rPr>
          <w:rtl w:val="true"/>
        </w:rPr>
        <w:t>–</w:t>
      </w:r>
      <w:r>
        <w:rPr>
          <w:rtl w:val="true"/>
        </w:rPr>
        <w:t xml:space="preserve"> שכן</w:t>
      </w:r>
      <w:r>
        <w:rPr>
          <w:rtl w:val="true"/>
        </w:rPr>
        <w:t xml:space="preserve">, </w:t>
      </w:r>
      <w:r>
        <w:rPr>
          <w:rtl w:val="true"/>
        </w:rPr>
        <w:t>ממצאי הזירה והממצאים הרפואיים</w:t>
      </w:r>
      <w:r>
        <w:rPr>
          <w:rtl w:val="true"/>
        </w:rPr>
        <w:t xml:space="preserve">, </w:t>
      </w:r>
      <w:r>
        <w:rPr>
          <w:rtl w:val="true"/>
        </w:rPr>
        <w:t>ובתוכם מיקוד חבלותיה של ל</w:t>
      </w:r>
      <w:r>
        <w:rPr>
          <w:rtl w:val="true"/>
        </w:rPr>
        <w:t xml:space="preserve">' </w:t>
      </w:r>
      <w:r>
        <w:rPr>
          <w:rtl w:val="true"/>
        </w:rPr>
        <w:t>בצד השמאלי של ראשה</w:t>
      </w:r>
      <w:r>
        <w:rPr>
          <w:rtl w:val="true"/>
        </w:rPr>
        <w:t xml:space="preserve">, </w:t>
      </w:r>
      <w:r>
        <w:rPr>
          <w:rtl w:val="true"/>
        </w:rPr>
        <w:t>מלמדים כי מדובר היה בפרץ אלימות אחד קצר שעוצמתו אינה מרובה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המערער טוען כי בית המשפט המחוזי החמיר בעונשו יתר על המידה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קבע מתחם עונש הולם מחמיר</w:t>
      </w:r>
      <w:r>
        <w:rPr>
          <w:rtl w:val="true"/>
        </w:rPr>
        <w:t xml:space="preserve">, </w:t>
      </w:r>
      <w:r>
        <w:rPr>
          <w:rtl w:val="true"/>
        </w:rPr>
        <w:t>ומבלי שניתנה התייחסות לפסיקה שאליה הפנה המערער</w:t>
      </w:r>
      <w:r>
        <w:rPr>
          <w:rtl w:val="true"/>
        </w:rPr>
        <w:t xml:space="preserve">. </w:t>
      </w:r>
      <w:r>
        <w:rPr>
          <w:rtl w:val="true"/>
        </w:rPr>
        <w:t>בכלל זאת המערער הצביע על כך שלטענתו לא ניתן משקל לנסיבות שהביאו אותו לביצוע העבירה</w:t>
      </w:r>
      <w:r>
        <w:rPr>
          <w:rtl w:val="true"/>
        </w:rPr>
        <w:t xml:space="preserve">, </w:t>
      </w:r>
      <w:r>
        <w:rPr>
          <w:rtl w:val="true"/>
        </w:rPr>
        <w:t>ובייחוד ל</w:t>
      </w:r>
      <w:r>
        <w:rPr>
          <w:rtl w:val="true"/>
        </w:rPr>
        <w:t>"</w:t>
      </w:r>
      <w:r>
        <w:rPr>
          <w:rtl w:val="true"/>
        </w:rPr>
        <w:t>שבר</w:t>
      </w:r>
      <w:r>
        <w:rPr>
          <w:rtl w:val="true"/>
        </w:rPr>
        <w:t xml:space="preserve">", </w:t>
      </w:r>
      <w:r>
        <w:rPr>
          <w:rtl w:val="true"/>
        </w:rPr>
        <w:t>כלשון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שנגרם לו כתוצאה ממות בנו במהלך שירותו הצבאי</w:t>
      </w:r>
      <w:r>
        <w:rPr>
          <w:rtl w:val="true"/>
        </w:rPr>
        <w:t xml:space="preserve">. </w:t>
      </w:r>
      <w:r>
        <w:rPr>
          <w:rtl w:val="true"/>
        </w:rPr>
        <w:t>כן נטען כי גם מיקום עונשו בתוך מתחם העונש ההולם נעשה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תוך התעלמות מחרטתו</w:t>
      </w:r>
      <w:r>
        <w:rPr>
          <w:rtl w:val="true"/>
        </w:rPr>
        <w:t xml:space="preserve">, </w:t>
      </w:r>
      <w:r>
        <w:rPr>
          <w:rtl w:val="true"/>
        </w:rPr>
        <w:t>מסיכויי שיקומו ומנסיבות חייו הקשות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 ביקש שנורה על ביטול ההחלטה לחלט את מכשיר הטלפון הנייד שלו</w:t>
      </w:r>
      <w:r>
        <w:rPr>
          <w:rtl w:val="true"/>
        </w:rPr>
        <w:t xml:space="preserve">.  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סבורה כי יש לדחות את הערעור על שני חלקיו</w:t>
      </w:r>
      <w:r>
        <w:rPr>
          <w:rtl w:val="true"/>
        </w:rPr>
        <w:t xml:space="preserve">. </w:t>
      </w:r>
      <w:r>
        <w:rPr>
          <w:rtl w:val="true"/>
        </w:rPr>
        <w:t>אשר להכרעת הדין</w:t>
      </w:r>
      <w:r>
        <w:rPr>
          <w:rtl w:val="true"/>
        </w:rPr>
        <w:t xml:space="preserve">, </w:t>
      </w:r>
      <w:r>
        <w:rPr>
          <w:rtl w:val="true"/>
        </w:rPr>
        <w:t>נטען כי עניינו של המערער אינו נמנה על המקרים החריגים המצדיקים התערבות של ערכאת הערעור בממצאי עובדה ומהימנות של הערכאה הדיונית</w:t>
      </w:r>
      <w:r>
        <w:rPr>
          <w:rtl w:val="true"/>
        </w:rPr>
        <w:t xml:space="preserve">.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>עדות ל</w:t>
      </w:r>
      <w:r>
        <w:rPr>
          <w:rtl w:val="true"/>
        </w:rPr>
        <w:t xml:space="preserve">' </w:t>
      </w:r>
      <w:r>
        <w:rPr>
          <w:rtl w:val="true"/>
        </w:rPr>
        <w:t>היא עקבית וקוהרנטית</w:t>
      </w:r>
      <w:r>
        <w:rPr>
          <w:rtl w:val="true"/>
        </w:rPr>
        <w:t xml:space="preserve">, </w:t>
      </w:r>
      <w:r>
        <w:rPr>
          <w:rtl w:val="true"/>
        </w:rPr>
        <w:t xml:space="preserve">ובהצטרפה ליתר הראיות שהובאו ביחס להשתלשלות העניינים עובר לאירוע התקיפה ולאחריו </w:t>
      </w:r>
      <w:r>
        <w:rPr>
          <w:rtl w:val="true"/>
        </w:rPr>
        <w:t>(</w:t>
      </w:r>
      <w:r>
        <w:rPr>
          <w:rtl w:val="true"/>
        </w:rPr>
        <w:t>אשר עליה אין מחלוקת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כוונת המערער להמית את ל</w:t>
      </w:r>
      <w:r>
        <w:rPr>
          <w:rtl w:val="true"/>
        </w:rPr>
        <w:t xml:space="preserve">' </w:t>
      </w:r>
      <w:r>
        <w:rPr>
          <w:rtl w:val="true"/>
        </w:rPr>
        <w:t>נלמדת בבירור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המשיבה הדגישה את הפעולות שביצע המערער ושנועדו להרחיקו מהמעשה</w:t>
      </w:r>
      <w:r>
        <w:rPr>
          <w:rtl w:val="true"/>
        </w:rPr>
        <w:t xml:space="preserve">; </w:t>
      </w:r>
      <w:r>
        <w:rPr>
          <w:rtl w:val="true"/>
        </w:rPr>
        <w:t>את טיב הפגיעה ועוצמתה</w:t>
      </w:r>
      <w:r>
        <w:rPr>
          <w:rtl w:val="true"/>
        </w:rPr>
        <w:t xml:space="preserve">; </w:t>
      </w:r>
      <w:r>
        <w:rPr>
          <w:rtl w:val="true"/>
        </w:rPr>
        <w:t>את שתיקת המערער בחקירותיו</w:t>
      </w:r>
      <w:r>
        <w:rPr>
          <w:rtl w:val="true"/>
        </w:rPr>
        <w:t xml:space="preserve">; </w:t>
      </w:r>
      <w:r>
        <w:rPr>
          <w:rtl w:val="true"/>
        </w:rPr>
        <w:t>ואת גרסתו השקרית בבית המשפט המחוזי</w:t>
      </w:r>
      <w:r>
        <w:rPr>
          <w:rtl w:val="true"/>
        </w:rPr>
        <w:t xml:space="preserve">. </w:t>
      </w:r>
      <w:r>
        <w:rPr>
          <w:rtl w:val="true"/>
        </w:rPr>
        <w:t>ברובד המשפטי</w:t>
      </w:r>
      <w:r>
        <w:rPr>
          <w:rtl w:val="true"/>
        </w:rPr>
        <w:t xml:space="preserve">, </w:t>
      </w:r>
      <w:r>
        <w:rPr>
          <w:rtl w:val="true"/>
        </w:rPr>
        <w:t xml:space="preserve">המשיבה ציינה כי בעבירת הניסיון לרצח 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אין כיום צורך בהוכחת כוונה תחילה אלא די בהוכחת כוונה במובנה הרגיל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לערעור על גזר הדין</w:t>
      </w:r>
      <w:r>
        <w:rPr>
          <w:rtl w:val="true"/>
        </w:rPr>
        <w:t xml:space="preserve">, </w:t>
      </w:r>
      <w:r>
        <w:rPr>
          <w:rtl w:val="true"/>
        </w:rPr>
        <w:t>המשיבה טענה כי העונש שגזר בית המשפט המחוזי הולם כראוי את המעשים שהמערער ביצע</w:t>
      </w:r>
      <w:r>
        <w:rPr>
          <w:rtl w:val="true"/>
        </w:rPr>
        <w:t xml:space="preserve">, </w:t>
      </w:r>
      <w:r>
        <w:rPr>
          <w:rtl w:val="true"/>
        </w:rPr>
        <w:t>ואת הפגיעה הקשה ב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שגולמה בהם</w:t>
      </w:r>
      <w:r>
        <w:rPr>
          <w:rtl w:val="true"/>
        </w:rPr>
        <w:t xml:space="preserve">. </w:t>
      </w:r>
      <w:r>
        <w:rPr>
          <w:rtl w:val="true"/>
        </w:rPr>
        <w:t>עוד נטען כי העונש שנגזר נותן ביטוי לתכנון וההכנה שקדמו למעשיו של המערער</w:t>
      </w:r>
      <w:r>
        <w:rPr>
          <w:rtl w:val="true"/>
        </w:rPr>
        <w:t xml:space="preserve">, </w:t>
      </w:r>
      <w:r>
        <w:rPr>
          <w:rtl w:val="true"/>
        </w:rPr>
        <w:t>ולעובדה שהוא לא חדל מהם אלא לאחר ש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העמידה פני מתה</w:t>
      </w:r>
      <w:r>
        <w:rPr>
          <w:rtl w:val="true"/>
        </w:rPr>
        <w:t xml:space="preserve">. </w:t>
      </w:r>
      <w:r>
        <w:rPr>
          <w:rtl w:val="true"/>
        </w:rPr>
        <w:t>בהקשר זה אף נטען כי אילו התוצאה הקטלנית הייתה חלילה מתממשת</w:t>
      </w:r>
      <w:r>
        <w:rPr>
          <w:rtl w:val="true"/>
        </w:rPr>
        <w:t xml:space="preserve">, </w:t>
      </w:r>
      <w:r>
        <w:rPr>
          <w:rtl w:val="true"/>
        </w:rPr>
        <w:t>הרי שהמערער היה עומד בפני אפשרות להרשעה בעבירת 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המשיבה הוסיפה וטענה כי המערער לא לקח אחריות על מעשיו</w:t>
      </w:r>
      <w:r>
        <w:rPr>
          <w:rtl w:val="true"/>
        </w:rPr>
        <w:t xml:space="preserve">, </w:t>
      </w:r>
      <w:r>
        <w:rPr>
          <w:rtl w:val="true"/>
        </w:rPr>
        <w:t>וכי הוא עודנו אוחז ב</w:t>
      </w:r>
      <w:r>
        <w:rPr>
          <w:rtl w:val="true"/>
        </w:rPr>
        <w:t>"</w:t>
      </w:r>
      <w:r>
        <w:rPr>
          <w:rtl w:val="true"/>
        </w:rPr>
        <w:t>עמדה קורבנית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tl w:val="true"/>
        </w:rPr>
        <w:t xml:space="preserve">, </w:t>
      </w:r>
      <w:r>
        <w:rPr>
          <w:rtl w:val="true"/>
        </w:rPr>
        <w:t>לפיה מעשיו הם כביכול תוצאה של איבוד עשתונות על רקע תגובתה של ל</w:t>
      </w:r>
      <w:r>
        <w:rPr>
          <w:rtl w:val="true"/>
        </w:rPr>
        <w:t xml:space="preserve">' </w:t>
      </w:r>
      <w:r>
        <w:rPr>
          <w:rtl w:val="true"/>
        </w:rPr>
        <w:t>להודעתו בדבר דחיית המעבר למגורים משותפים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צוין כי העונש שנגזר עולה בקנה אחד עם מדיניות הענישה הנוהגת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בטענות הצדדים בנימוקים בכתב ובדיון לפנינו</w:t>
      </w:r>
      <w:r>
        <w:rPr>
          <w:rtl w:val="true"/>
        </w:rPr>
        <w:t xml:space="preserve">, </w:t>
      </w:r>
      <w:r>
        <w:rPr>
          <w:rtl w:val="true"/>
        </w:rPr>
        <w:t xml:space="preserve">הגעתי לכלל מסקנה כי דין הערעור על הכרעת הדין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 אינם חלוקים ביחס למרבית העובדות הקשורות בהשתלשלות האירועים ביום שבו בוצעה העבירה</w:t>
      </w:r>
      <w:r>
        <w:rPr>
          <w:rtl w:val="true"/>
        </w:rPr>
        <w:t xml:space="preserve">.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 xml:space="preserve">מחלוקתם מתמצה לסוגיית התקיימות הרכיב החפצי של עבירת הניסיון לרצח </w:t>
      </w:r>
      <w:r>
        <w:rPr>
          <w:rtl w:val="true"/>
        </w:rPr>
        <w:t>–</w:t>
      </w:r>
      <w:r>
        <w:rPr>
          <w:rtl w:val="true"/>
        </w:rPr>
        <w:t xml:space="preserve"> כלומר</w:t>
      </w:r>
      <w:r>
        <w:rPr>
          <w:rtl w:val="true"/>
        </w:rPr>
        <w:t xml:space="preserve">, </w:t>
      </w:r>
      <w:r>
        <w:rPr>
          <w:rtl w:val="true"/>
        </w:rPr>
        <w:t>האם המערער התכוון להביא למותה של ל</w:t>
      </w:r>
      <w:r>
        <w:rPr>
          <w:rtl w:val="true"/>
        </w:rPr>
        <w:t xml:space="preserve">', </w:t>
      </w:r>
      <w:r>
        <w:rPr>
          <w:rtl w:val="true"/>
        </w:rPr>
        <w:t>אם לאו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עבירת הניסיון לרצח קבועה </w:t>
      </w:r>
      <w:hyperlink r:id="rId3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אשר לשונו היא זו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 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;</w:t>
      </w:r>
      <w:r>
        <w:rPr>
          <w:rtl w:val="true"/>
        </w:rPr>
        <w:t xml:space="preserve"> [...]"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בסעיף זה המחוקק יצר למעשה עבירת ניסיון מיוחדת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שאינה תוצר של דיני הניסיון הכללים כפי שאלו מעוגנים בחלק הכללי של </w:t>
      </w:r>
      <w:hyperlink r:id="rId3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אף על פי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הפסיקה עמדה על כך שהוראות החלק הכללי חלות גם על עבירה זו חרף היותה עבירה עצמאית </w:t>
      </w:r>
      <w:r>
        <w:rPr>
          <w:rFonts w:cs="Century" w:ascii="Century" w:hAnsi="Century"/>
          <w:sz w:val="22"/>
          <w:rtl w:val="true"/>
        </w:rPr>
        <w:t>(</w:t>
      </w:r>
      <w:hyperlink r:id="rId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6468/13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צרפתי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3.5.2015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יורם רבין ויניב ואקי </w:t>
      </w:r>
      <w:hyperlink r:id="rId3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כרך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583-580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 xml:space="preserve">מהדורה שלישית </w:t>
      </w:r>
      <w:r>
        <w:rPr>
          <w:rFonts w:cs="Century" w:ascii="Century" w:hAnsi="Century"/>
          <w:sz w:val="22"/>
        </w:rPr>
        <w:t>2014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וואקי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בהתאם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יסודותיה של העבירה נלמדים גם מהוראת </w:t>
      </w:r>
      <w:hyperlink r:id="rId3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אשר לפיה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היסוד העובדתי הנדרש אפוא להשתכללות עבירות ניסיון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ועבירת הניסיון לרצח בכללן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הוא כי המעשה שבוצע יצא מגדרי פעולת הכנה גרידא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להרחבה ראו פסק דיני ב</w:t>
      </w:r>
      <w:r>
        <w:rPr>
          <w:rFonts w:cs="Century" w:ascii="Century" w:hAnsi="Century"/>
          <w:sz w:val="22"/>
          <w:rtl w:val="true"/>
        </w:rPr>
        <w:t>-</w:t>
      </w:r>
      <w:hyperlink r:id="rId3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3312/19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20-16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22.1.2023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לצד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היסוד הנפשי הנדרש לגיבוש עבירות ניסיון נחלק לשניים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במישור ההכרתי יש להוכיח את מודעות המבצע לטיב המעשה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לנסיבות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ובעבירות תוצאתיות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לאפשרות גרימת התוצאה </w:t>
      </w:r>
      <w:r>
        <w:rPr>
          <w:rFonts w:cs="Century" w:ascii="Century" w:hAnsi="Century"/>
          <w:sz w:val="22"/>
          <w:rtl w:val="true"/>
        </w:rPr>
        <w:t>(</w:t>
      </w:r>
      <w:hyperlink r:id="rId3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ובמישור החפצי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בעבירות תוצאתיות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יש להוכיח הן את הרכיב החפצי הנדרש בעבירה המוגמרת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הן כי המבצע יעבור את העבירה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במטרה לבצעה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היינו במטרה להשלים את העבירה המוגמרת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עוד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וואקי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566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העומדים על כך שבפועל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שתי דרישות אלה במישור החפצי מתלכדות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22"/>
        </w:rPr>
      </w:pPr>
      <w:r>
        <w:rPr>
          <w:rtl w:val="true"/>
        </w:rPr>
        <w:t>בעבירת הניסיון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הרכיב החפצי שנדרש עובר לתחולתו של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Fonts w:cs="FrankRuehl" w:ascii="FrankRuehl" w:hAnsi="FrankRuehl"/>
          <w:color w:val="333333"/>
          <w:sz w:val="28"/>
          <w:shd w:fill="FFFFFF" w:val="clear"/>
          <w:rtl w:val="true"/>
        </w:rPr>
        <w:t>(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חוק העונשין</w:t>
        </w:r>
      </w:hyperlink>
      <w:r>
        <w:rPr>
          <w:rFonts w:ascii="FrankRuehl" w:hAnsi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color w:val="333333"/>
          <w:sz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333333"/>
          <w:sz w:val="28"/>
          <w:sz w:val="28"/>
          <w:shd w:fill="FFFFFF" w:val="clear"/>
          <w:rtl w:val="true"/>
        </w:rPr>
        <w:t>תיקון מס</w:t>
      </w:r>
      <w:r>
        <w:rPr>
          <w:rFonts w:cs="FrankRuehl" w:ascii="FrankRuehl" w:hAnsi="FrankRuehl"/>
          <w:color w:val="333333"/>
          <w:sz w:val="28"/>
          <w:shd w:fill="FFFFFF" w:val="clear"/>
          <w:rtl w:val="true"/>
        </w:rPr>
        <w:t xml:space="preserve">' </w:t>
      </w:r>
      <w:r>
        <w:rPr>
          <w:rFonts w:cs="FrankRuehl" w:ascii="FrankRuehl" w:hAnsi="FrankRuehl"/>
          <w:color w:val="333333"/>
          <w:sz w:val="28"/>
          <w:shd w:fill="FFFFFF" w:val="clear"/>
        </w:rPr>
        <w:t>137</w:t>
      </w:r>
      <w:r>
        <w:rPr>
          <w:rFonts w:cs="FrankRuehl" w:ascii="FrankRuehl" w:hAnsi="FrankRuehl"/>
          <w:color w:val="333333"/>
          <w:sz w:val="28"/>
          <w:shd w:fill="FFFFFF" w:val="clear"/>
          <w:rtl w:val="true"/>
        </w:rPr>
        <w:t xml:space="preserve">), </w:t>
      </w:r>
      <w:r>
        <w:rPr>
          <w:rFonts w:ascii="FrankRuehl" w:hAnsi="FrankRuehl" w:cs="FrankRuehl"/>
          <w:color w:val="333333"/>
          <w:sz w:val="28"/>
          <w:sz w:val="28"/>
          <w:shd w:fill="FFFFFF" w:val="clear"/>
          <w:rtl w:val="true"/>
        </w:rPr>
        <w:t>התשע</w:t>
      </w:r>
      <w:r>
        <w:rPr>
          <w:rFonts w:cs="FrankRuehl" w:ascii="FrankRuehl" w:hAnsi="FrankRuehl"/>
          <w:color w:val="333333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333333"/>
          <w:sz w:val="28"/>
          <w:sz w:val="28"/>
          <w:shd w:fill="FFFFFF" w:val="clear"/>
          <w:rtl w:val="true"/>
        </w:rPr>
        <w:t>ט</w:t>
      </w:r>
      <w:r>
        <w:rPr>
          <w:rFonts w:cs="FrankRuehl" w:ascii="FrankRuehl" w:hAnsi="FrankRuehl"/>
          <w:color w:val="333333"/>
          <w:sz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333333"/>
          <w:sz w:val="28"/>
          <w:shd w:fill="FFFFFF" w:val="clear"/>
        </w:rPr>
        <w:t>2019</w:t>
      </w:r>
      <w:r>
        <w:rPr>
          <w:rFonts w:cs="FrankRuehl"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333333"/>
          <w:sz w:val="28"/>
          <w:sz w:val="28"/>
          <w:shd w:fill="FFFFFF" w:val="clear"/>
          <w:rtl w:val="true"/>
        </w:rPr>
        <w:t>ס</w:t>
      </w:r>
      <w:r>
        <w:rPr>
          <w:rFonts w:cs="FrankRuehl" w:ascii="FrankRuehl" w:hAnsi="FrankRuehl"/>
          <w:color w:val="333333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333333"/>
          <w:sz w:val="28"/>
          <w:sz w:val="28"/>
          <w:shd w:fill="FFFFFF" w:val="clear"/>
          <w:rtl w:val="true"/>
        </w:rPr>
        <w:t xml:space="preserve">ח </w:t>
      </w:r>
      <w:r>
        <w:rPr>
          <w:rFonts w:cs="FrankRuehl" w:ascii="FrankRuehl" w:hAnsi="FrankRuehl"/>
          <w:color w:val="333333"/>
          <w:sz w:val="28"/>
          <w:shd w:fill="FFFFFF" w:val="clear"/>
        </w:rPr>
        <w:t>230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הרפורמה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בעבירות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ההמתה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הרפורמה</w:t>
      </w:r>
      <w:r>
        <w:rPr>
          <w:rtl w:val="true"/>
        </w:rPr>
        <w:t xml:space="preserve">)) </w:t>
      </w:r>
      <w:r>
        <w:rPr>
          <w:rtl w:val="true"/>
        </w:rPr>
        <w:t xml:space="preserve">היה כוונה תחילה </w:t>
      </w:r>
      <w:r>
        <w:rPr>
          <w:rtl w:val="true"/>
        </w:rPr>
        <w:t>–</w:t>
      </w:r>
      <w:r>
        <w:rPr>
          <w:rtl w:val="true"/>
        </w:rPr>
        <w:t xml:space="preserve"> כלומר רכיב חפצי זהה לזה שנדרש עבור הרשעה בעבירת הרצח שקדמה לרפורמה כפי שזו נוסחה </w:t>
      </w:r>
      <w:hyperlink r:id="rId3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1474/14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72-65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(</w:t>
      </w:r>
      <w:r>
        <w:rPr/>
        <w:t>15.12.2015</w:t>
      </w:r>
      <w:r>
        <w:rPr>
          <w:rtl w:val="true"/>
        </w:rPr>
        <w:t xml:space="preserve">)). </w:t>
      </w:r>
      <w:r>
        <w:rPr>
          <w:rtl w:val="true"/>
        </w:rPr>
        <w:t>עם כינונה של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התעוררה סוגיית הרכיב החפצי שנדרש במסגרת עבירת הניסיון לרצח </w:t>
      </w:r>
      <w:r>
        <w:rPr>
          <w:rtl w:val="true"/>
        </w:rPr>
        <w:t>–</w:t>
      </w:r>
      <w:r>
        <w:rPr>
          <w:rtl w:val="true"/>
        </w:rPr>
        <w:t xml:space="preserve"> האם</w:t>
      </w:r>
      <w:r>
        <w:rPr>
          <w:rtl w:val="true"/>
        </w:rPr>
        <w:t xml:space="preserve">, </w:t>
      </w:r>
      <w:r>
        <w:rPr>
          <w:rtl w:val="true"/>
        </w:rPr>
        <w:t>בדומה לדין שנהג לפני הרפורמה</w:t>
      </w:r>
      <w:r>
        <w:rPr>
          <w:rtl w:val="true"/>
        </w:rPr>
        <w:t xml:space="preserve">, </w:t>
      </w:r>
      <w:r>
        <w:rPr>
          <w:rtl w:val="true"/>
        </w:rPr>
        <w:t>יש להוכיח את יסוד הכוונה תחילה</w:t>
      </w:r>
      <w:r>
        <w:rPr>
          <w:rtl w:val="true"/>
        </w:rPr>
        <w:t xml:space="preserve">; </w:t>
      </w:r>
      <w:r>
        <w:rPr>
          <w:rtl w:val="true"/>
        </w:rPr>
        <w:t>או שמא כעת די בהוכחת כוונה כמובנה הרווח ב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ובתוך כך בעבירת הרצח הבסיסית לפי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קוזלוב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13.8.2023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שסעיף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להרחבה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24-21</w:t>
      </w:r>
      <w:r>
        <w:rPr>
          <w:rtl w:val="true"/>
        </w:rPr>
        <w:t xml:space="preserve">; </w:t>
      </w:r>
      <w:hyperlink r:id="rId45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בועז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סנג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'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רו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ביקורת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העונשין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הישראליים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</w:hyperlink>
      <w:r>
        <w:rPr>
          <w:rFonts w:eastAsia="Arial TUR;Arial" w:cs="Arial TUR;Arial"/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מן המקובץ עולה כי לשם הרשעת המערער בעבירת הניסיון לרצח יש להוכיח כי המעשים שביצע נעשו מתוך כוונה </w:t>
      </w:r>
      <w:r>
        <w:rPr>
          <w:rtl w:val="true"/>
        </w:rPr>
        <w:t>("</w:t>
      </w:r>
      <w:r>
        <w:rPr>
          <w:rtl w:val="true"/>
        </w:rPr>
        <w:t>רגילה</w:t>
      </w:r>
      <w:r>
        <w:rPr>
          <w:rtl w:val="true"/>
        </w:rPr>
        <w:t xml:space="preserve">") </w:t>
      </w:r>
      <w:r>
        <w:rPr>
          <w:rtl w:val="true"/>
        </w:rPr>
        <w:t>להביא למותה של ל</w:t>
      </w:r>
      <w:r>
        <w:rPr>
          <w:rtl w:val="true"/>
        </w:rPr>
        <w:t xml:space="preserve">'.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התבוננות על מכלול נסיבות המקרה דנן מוליכה באופן חד</w:t>
      </w:r>
      <w:r>
        <w:rPr>
          <w:rtl w:val="true"/>
        </w:rPr>
        <w:t>-</w:t>
      </w:r>
      <w:r>
        <w:rPr>
          <w:rtl w:val="true"/>
        </w:rPr>
        <w:t>משמעי למסקנה כי המערער התכוון לרצוח את ל</w:t>
      </w:r>
      <w:r>
        <w:rPr>
          <w:rtl w:val="true"/>
        </w:rPr>
        <w:t>' (</w:t>
      </w:r>
      <w:r>
        <w:rPr>
          <w:rtl w:val="true"/>
        </w:rPr>
        <w:t xml:space="preserve">לעניין מבחני עזר המקימים את </w:t>
      </w:r>
      <w:r>
        <w:rPr>
          <w:rtl w:val="true"/>
        </w:rPr>
        <w:t>"</w:t>
      </w:r>
      <w:r>
        <w:rPr>
          <w:rtl w:val="true"/>
        </w:rPr>
        <w:t>חזקה הכוונה</w:t>
      </w:r>
      <w:r>
        <w:rPr>
          <w:rtl w:val="true"/>
        </w:rPr>
        <w:t xml:space="preserve">" </w:t>
      </w:r>
      <w:r>
        <w:rPr>
          <w:rtl w:val="true"/>
        </w:rPr>
        <w:t>שבאמצעותה ניתן להוכיח כוונה להמית</w:t>
      </w:r>
      <w:r>
        <w:rPr>
          <w:rtl w:val="true"/>
        </w:rPr>
        <w:t xml:space="preserve">, </w:t>
      </w:r>
      <w:r>
        <w:rPr>
          <w:rtl w:val="true"/>
        </w:rPr>
        <w:t>ראו פסק דיני ב</w:t>
      </w:r>
      <w:r>
        <w:rPr>
          <w:rtl w:val="true"/>
        </w:rPr>
        <w:t>-</w:t>
      </w:r>
      <w:hyperlink r:id="rId4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20636-12-11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28.10.2013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את המקורות המלמדים על כוונתו זו ניתן לחלק לשלושה </w:t>
      </w:r>
      <w:r>
        <w:rPr>
          <w:rtl w:val="true"/>
        </w:rPr>
        <w:t>–</w:t>
      </w:r>
      <w:r>
        <w:rPr>
          <w:rtl w:val="true"/>
        </w:rPr>
        <w:t xml:space="preserve"> התנהגותו בתוך דירתה של ל</w:t>
      </w:r>
      <w:r>
        <w:rPr>
          <w:rtl w:val="true"/>
        </w:rPr>
        <w:t xml:space="preserve">'; </w:t>
      </w:r>
      <w:r>
        <w:rPr>
          <w:rtl w:val="true"/>
        </w:rPr>
        <w:t>התנהגותו עובר להגעתו לדירה ולאחר יציאתו ממנה</w:t>
      </w:r>
      <w:r>
        <w:rPr>
          <w:rtl w:val="true"/>
        </w:rPr>
        <w:t xml:space="preserve">; </w:t>
      </w:r>
      <w:r>
        <w:rPr>
          <w:rtl w:val="true"/>
        </w:rPr>
        <w:t>וגרסתו במשטרה ובבית 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כוונת המערער נלמדת בראש ובראשונה משאירע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יום התקיפה אמור היה להיות המועד שבו השניים יעברו להתגורר יחדיו</w:t>
      </w:r>
      <w:r>
        <w:rPr>
          <w:rtl w:val="true"/>
        </w:rPr>
        <w:t xml:space="preserve">. </w:t>
      </w:r>
      <w:r>
        <w:rPr>
          <w:rtl w:val="true"/>
        </w:rPr>
        <w:t>המערער ניצל עובדה זו בהסבירו 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 xml:space="preserve">כי מטרת הגעתו אליה בשעת בוקר היא </w:t>
      </w:r>
      <w:r>
        <w:rPr>
          <w:rtl w:val="true"/>
        </w:rPr>
        <w:t>"</w:t>
      </w:r>
      <w:r>
        <w:rPr>
          <w:rtl w:val="true"/>
        </w:rPr>
        <w:t>נטילת מידות</w:t>
      </w:r>
      <w:r>
        <w:rPr>
          <w:rtl w:val="true"/>
        </w:rPr>
        <w:t xml:space="preserve">" </w:t>
      </w:r>
      <w:r>
        <w:rPr>
          <w:rtl w:val="true"/>
        </w:rPr>
        <w:t>עבור ארון חדש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ועל רקע </w:t>
      </w:r>
      <w:r>
        <w:rPr>
          <w:rtl w:val="true"/>
        </w:rPr>
        <w:t>"</w:t>
      </w:r>
      <w:r>
        <w:rPr>
          <w:rtl w:val="true"/>
        </w:rPr>
        <w:t>החגיגיות</w:t>
      </w:r>
      <w:r>
        <w:rPr>
          <w:rtl w:val="true"/>
        </w:rPr>
        <w:t xml:space="preserve">" </w:t>
      </w:r>
      <w:r>
        <w:rPr>
          <w:rtl w:val="true"/>
        </w:rPr>
        <w:t>שאפפה את אותו היום מנקודת מבטה של ל</w:t>
      </w:r>
      <w:r>
        <w:rPr>
          <w:rtl w:val="true"/>
        </w:rPr>
        <w:t xml:space="preserve">', </w:t>
      </w:r>
      <w:r>
        <w:rPr>
          <w:rtl w:val="true"/>
        </w:rPr>
        <w:t>המערער ביקשה לשבת על הכיסא כשעיניה עצומות בטרם יעניק לה מתנה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בלא כל סממן מקדים</w:t>
      </w:r>
      <w:r>
        <w:rPr>
          <w:rtl w:val="true"/>
        </w:rPr>
        <w:t xml:space="preserve">, </w:t>
      </w:r>
      <w:r>
        <w:rPr>
          <w:rtl w:val="true"/>
        </w:rPr>
        <w:t xml:space="preserve">ולאחר שבמידה רבה איין את יכולתה להתגונן </w:t>
      </w:r>
      <w:r>
        <w:rPr>
          <w:rtl w:val="true"/>
        </w:rPr>
        <w:t>–</w:t>
      </w:r>
      <w:r>
        <w:rPr>
          <w:rtl w:val="true"/>
        </w:rPr>
        <w:t xml:space="preserve"> המערער הכה את ל</w:t>
      </w:r>
      <w:r>
        <w:rPr>
          <w:rtl w:val="true"/>
        </w:rPr>
        <w:t xml:space="preserve">' </w:t>
      </w:r>
      <w:r>
        <w:rPr>
          <w:rtl w:val="true"/>
        </w:rPr>
        <w:t>בראשה פעמים רבות</w:t>
      </w:r>
      <w:r>
        <w:rPr>
          <w:rtl w:val="true"/>
        </w:rPr>
        <w:t xml:space="preserve">, </w:t>
      </w:r>
      <w:r>
        <w:rPr>
          <w:rtl w:val="true"/>
        </w:rPr>
        <w:t>חלקן כשהיא שרועה על הרצפה</w:t>
      </w:r>
      <w:r>
        <w:rPr>
          <w:rtl w:val="true"/>
        </w:rPr>
        <w:t xml:space="preserve">, </w:t>
      </w:r>
      <w:r>
        <w:rPr>
          <w:rtl w:val="true"/>
        </w:rPr>
        <w:t>ובאופן שלפי חוות דעתו של ד</w:t>
      </w:r>
      <w:r>
        <w:rPr>
          <w:rtl w:val="true"/>
        </w:rPr>
        <w:t>"</w:t>
      </w:r>
      <w:r>
        <w:rPr>
          <w:rtl w:val="true"/>
        </w:rPr>
        <w:t>ר ריקרדו נחמן מהמרכז הלאומי לרפואה משפטית</w:t>
      </w:r>
      <w:r>
        <w:rPr>
          <w:rtl w:val="true"/>
        </w:rPr>
        <w:t xml:space="preserve">, </w:t>
      </w:r>
      <w:r>
        <w:rPr>
          <w:rtl w:val="true"/>
        </w:rPr>
        <w:t xml:space="preserve">היה כדי לסכן חיים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עוצמת הפגיעות נלמדת לא רק מהאמור בחוות הדעת</w:t>
      </w:r>
      <w:r>
        <w:rPr>
          <w:rtl w:val="true"/>
        </w:rPr>
        <w:t xml:space="preserve">. </w:t>
      </w:r>
      <w:r>
        <w:rPr>
          <w:rtl w:val="true"/>
        </w:rPr>
        <w:t>תמונותיה של ל</w:t>
      </w:r>
      <w:r>
        <w:rPr>
          <w:rtl w:val="true"/>
        </w:rPr>
        <w:t>'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דוח מסכם חקירת 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), </w:t>
      </w:r>
      <w:r>
        <w:rPr>
          <w:rtl w:val="true"/>
        </w:rPr>
        <w:t>שבהן ניתן לחזות בחבלות הקשות שנגרמו לה כתוצאה מהתקיפה</w:t>
      </w:r>
      <w:r>
        <w:rPr>
          <w:rtl w:val="true"/>
        </w:rPr>
        <w:t xml:space="preserve">, </w:t>
      </w:r>
      <w:r>
        <w:rPr>
          <w:rtl w:val="true"/>
        </w:rPr>
        <w:t>וכן תמונות הדירה שצולמו על ידי חוקרי מז</w:t>
      </w:r>
      <w:r>
        <w:rPr>
          <w:rtl w:val="true"/>
        </w:rPr>
        <w:t>"</w:t>
      </w:r>
      <w:r>
        <w:rPr>
          <w:rtl w:val="true"/>
        </w:rPr>
        <w:t xml:space="preserve">פ בהן נראים כתמי דם רבים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72</w:t>
      </w:r>
      <w:r>
        <w:rPr>
          <w:rtl w:val="true"/>
        </w:rPr>
        <w:t xml:space="preserve">) </w:t>
      </w:r>
      <w:r>
        <w:rPr>
          <w:rtl w:val="true"/>
        </w:rPr>
        <w:t>עד שהמקום נראה 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מטבחיים</w:t>
      </w:r>
      <w:r>
        <w:rPr>
          <w:rtl w:val="true"/>
        </w:rPr>
        <w:t>" (</w:t>
      </w:r>
      <w:r>
        <w:rPr>
          <w:rtl w:val="true"/>
        </w:rPr>
        <w:t xml:space="preserve">כתיאורה של חברתי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במהלך הדיון</w:t>
      </w:r>
      <w:r>
        <w:rPr>
          <w:rtl w:val="true"/>
        </w:rPr>
        <w:t xml:space="preserve">; </w:t>
      </w:r>
      <w:r>
        <w:rPr>
          <w:rtl w:val="true"/>
        </w:rPr>
        <w:t xml:space="preserve">אף המערער תיאר את המראות הקשים בעדותו בעמוד </w:t>
      </w:r>
      <w:r>
        <w:rPr/>
        <w:t>314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18.12.2022</w:t>
      </w:r>
      <w:r>
        <w:rPr>
          <w:rtl w:val="true"/>
        </w:rPr>
        <w:t xml:space="preserve">), </w:t>
      </w:r>
      <w:r>
        <w:rPr>
          <w:rtl w:val="true"/>
        </w:rPr>
        <w:t>כמעט שלא מותירים ספק ביחס לכוונתו הנפשעת של המערער להמיתה</w:t>
      </w:r>
      <w:r>
        <w:rPr>
          <w:rtl w:val="true"/>
        </w:rPr>
        <w:t xml:space="preserve">. </w:t>
      </w:r>
      <w:r>
        <w:rPr>
          <w:rtl w:val="true"/>
        </w:rPr>
        <w:t>החבטות העוצמתיות החוזרות ונשנות בראשה של ל</w:t>
      </w:r>
      <w:r>
        <w:rPr>
          <w:rtl w:val="true"/>
        </w:rPr>
        <w:t xml:space="preserve">' </w:t>
      </w:r>
      <w:r>
        <w:rPr>
          <w:rtl w:val="true"/>
        </w:rPr>
        <w:t>מדברות אפוא בעד עצמן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עוצמת הפגיעה ואיון יכולתה של ל</w:t>
      </w:r>
      <w:r>
        <w:rPr>
          <w:rtl w:val="true"/>
        </w:rPr>
        <w:t xml:space="preserve">' </w:t>
      </w:r>
      <w:r>
        <w:rPr>
          <w:rtl w:val="true"/>
        </w:rPr>
        <w:t>להתגונן אינם ניצבים לבדם</w:t>
      </w:r>
      <w:r>
        <w:rPr>
          <w:rtl w:val="true"/>
        </w:rPr>
        <w:t xml:space="preserve">, </w:t>
      </w:r>
      <w:r>
        <w:rPr>
          <w:rtl w:val="true"/>
        </w:rPr>
        <w:t xml:space="preserve">מאחר שאמירותיו של המערער במהלך התקיפה </w:t>
      </w:r>
      <w:r>
        <w:rPr>
          <w:rtl w:val="true"/>
        </w:rPr>
        <w:t>–</w:t>
      </w:r>
      <w:r>
        <w:rPr>
          <w:rtl w:val="true"/>
        </w:rPr>
        <w:t xml:space="preserve"> כפי שאלו עולות מגרסתה של ל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מלמדות גם הן על כוונתו הברורה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המערער ביקש להצביע על סתירות ושינויים כאלה ואחרים שנפלו לדבריו בגרסתה</w:t>
      </w:r>
      <w:r>
        <w:rPr>
          <w:rtl w:val="true"/>
        </w:rPr>
        <w:t xml:space="preserve">. </w:t>
      </w:r>
      <w:r>
        <w:rPr>
          <w:rtl w:val="true"/>
        </w:rPr>
        <w:t xml:space="preserve">אלא שהשגותיו אלה מופנות כלפי ממצאי עובדה ומהימנות מובהקים שקבעה הערכאה הדיונית </w:t>
      </w:r>
      <w:r>
        <w:rPr>
          <w:rtl w:val="true"/>
        </w:rPr>
        <w:t>–</w:t>
      </w:r>
      <w:r>
        <w:rPr>
          <w:rtl w:val="true"/>
        </w:rPr>
        <w:t xml:space="preserve"> וכלל ידוע הוא כי אין זו דרכה של ערכאת הערעור להתערב בממצאים מסוג זה </w:t>
      </w:r>
      <w:r>
        <w:rPr>
          <w:rtl w:val="true"/>
        </w:rPr>
        <w:t>(</w:t>
      </w:r>
      <w:r>
        <w:rPr>
          <w:rtl w:val="true"/>
        </w:rPr>
        <w:t>ראו מיני רבים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23.6.2024</w:t>
      </w:r>
      <w:r>
        <w:rPr>
          <w:rtl w:val="true"/>
        </w:rPr>
        <w:t xml:space="preserve">)). </w:t>
      </w:r>
      <w:r>
        <w:rPr>
          <w:rtl w:val="true"/>
        </w:rPr>
        <w:t>בית המשפט המחוזי התרשם באופן ישיר מהעדויות ששמע</w:t>
      </w:r>
      <w:r>
        <w:rPr>
          <w:rtl w:val="true"/>
        </w:rPr>
        <w:t xml:space="preserve">, </w:t>
      </w:r>
      <w:r>
        <w:rPr>
          <w:rtl w:val="true"/>
        </w:rPr>
        <w:t>ומעדותה של ל</w:t>
      </w:r>
      <w:r>
        <w:rPr>
          <w:rtl w:val="true"/>
        </w:rPr>
        <w:t xml:space="preserve">' </w:t>
      </w:r>
      <w:r>
        <w:rPr>
          <w:rtl w:val="true"/>
        </w:rPr>
        <w:t>בכללן</w:t>
      </w:r>
      <w:r>
        <w:rPr>
          <w:rtl w:val="true"/>
        </w:rPr>
        <w:t xml:space="preserve">, </w:t>
      </w:r>
      <w:r>
        <w:rPr>
          <w:rtl w:val="true"/>
        </w:rPr>
        <w:t xml:space="preserve">וציין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ונחרצת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</w:t>
      </w:r>
      <w:r>
        <w:rPr>
          <w:rtl w:val="true"/>
        </w:rPr>
        <w:t xml:space="preserve">". </w:t>
      </w:r>
      <w:r>
        <w:rPr>
          <w:rtl w:val="true"/>
        </w:rPr>
        <w:t>עיון בגרסתה של ל</w:t>
      </w:r>
      <w:r>
        <w:rPr>
          <w:rtl w:val="true"/>
        </w:rPr>
        <w:t xml:space="preserve">' </w:t>
      </w:r>
      <w:r>
        <w:rPr>
          <w:rtl w:val="true"/>
        </w:rPr>
        <w:t>ובחומרים שהונחו לפנינו אינו מגלה כל הצדקה לסטות מקביעות אלה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לגופן של אמירות המערער במהלך התקיפה</w:t>
      </w:r>
      <w:r>
        <w:rPr>
          <w:rtl w:val="true"/>
        </w:rPr>
        <w:t xml:space="preserve">. </w:t>
      </w:r>
      <w:r>
        <w:rPr>
          <w:rtl w:val="true"/>
        </w:rPr>
        <w:t>הלה אמר 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כמה שתתמוטטי יותר מהר</w:t>
      </w:r>
      <w:r>
        <w:rPr>
          <w:rtl w:val="true"/>
        </w:rPr>
        <w:t xml:space="preserve">, </w:t>
      </w:r>
      <w:r>
        <w:rPr>
          <w:rtl w:val="true"/>
        </w:rPr>
        <w:t>זה ייגמר יותר מהר</w:t>
      </w:r>
      <w:r>
        <w:rPr>
          <w:rtl w:val="true"/>
        </w:rPr>
        <w:t xml:space="preserve">". </w:t>
      </w:r>
      <w:r>
        <w:rPr>
          <w:rtl w:val="true"/>
        </w:rPr>
        <w:t xml:space="preserve">כאשר הבחין שהיא עודנה בחיים אמר </w:t>
      </w:r>
      <w:r>
        <w:rPr>
          <w:rtl w:val="true"/>
        </w:rPr>
        <w:t>"</w:t>
      </w:r>
      <w:r>
        <w:rPr>
          <w:rtl w:val="true"/>
        </w:rPr>
        <w:t>מה את לא מתה</w:t>
      </w:r>
      <w:r>
        <w:rPr>
          <w:rtl w:val="true"/>
        </w:rPr>
        <w:t xml:space="preserve">?" </w:t>
      </w:r>
      <w:r>
        <w:rPr>
          <w:rtl w:val="true"/>
        </w:rPr>
        <w:t>ושב להכותה פעם נוספת</w:t>
      </w:r>
      <w:r>
        <w:rPr>
          <w:rtl w:val="true"/>
        </w:rPr>
        <w:t xml:space="preserve">. </w:t>
      </w:r>
      <w:r>
        <w:rPr>
          <w:rtl w:val="true"/>
        </w:rPr>
        <w:t>המערער עזב את המקום שעה ש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מתבוססת בדמה</w:t>
      </w:r>
      <w:r>
        <w:rPr>
          <w:rtl w:val="true"/>
        </w:rPr>
        <w:t xml:space="preserve">, </w:t>
      </w:r>
      <w:r>
        <w:rPr>
          <w:rtl w:val="true"/>
        </w:rPr>
        <w:t xml:space="preserve">תוך שהוא סבור כי היא מתה ולאחר שנעל את דלת הבית </w:t>
      </w:r>
      <w:r>
        <w:rPr>
          <w:rtl w:val="true"/>
        </w:rPr>
        <w:t>(</w:t>
      </w:r>
      <w:r>
        <w:rPr>
          <w:rtl w:val="true"/>
        </w:rPr>
        <w:t xml:space="preserve">וראו 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בהכרעת הדין לפיה אף קבלת גרסת המערער אינה משנה לעניין זה</w:t>
      </w:r>
      <w:r>
        <w:rPr>
          <w:rtl w:val="true"/>
        </w:rPr>
        <w:t xml:space="preserve">). </w:t>
      </w:r>
      <w:r>
        <w:rPr>
          <w:rtl w:val="true"/>
        </w:rPr>
        <w:t>מכל אלה ניתן ללמוד בבירור כי רצונו היה ש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לא תיוותר בין החיים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להתנהגותו של המערער במהלך שהותו בדירתה של ל</w:t>
      </w:r>
      <w:r>
        <w:rPr>
          <w:rtl w:val="true"/>
        </w:rPr>
        <w:t xml:space="preserve">' </w:t>
      </w:r>
      <w:r>
        <w:rPr>
          <w:rtl w:val="true"/>
        </w:rPr>
        <w:t xml:space="preserve">מתווספת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מכלול התנהגותו זו מחזק בצורה ניכרת את המסקנה בדבר כוונתו לרצוח את ל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לא הגיע לדירה באמצעות רכבו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שנהג לעשות בדרך 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באמצעות שתי מוניות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האחת מפתח תקווה לקניון במבשרת ציון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השנייה מהקניון לדירתה של ל</w:t>
      </w:r>
      <w:r>
        <w:rPr>
          <w:rFonts w:cs="Century" w:ascii="Century" w:hAnsi="Century"/>
          <w:sz w:val="22"/>
          <w:rtl w:val="true"/>
        </w:rPr>
        <w:t xml:space="preserve">'; </w:t>
      </w:r>
      <w:r>
        <w:rPr>
          <w:rFonts w:ascii="Century" w:hAnsi="Century" w:cs="Century"/>
          <w:sz w:val="22"/>
          <w:sz w:val="22"/>
          <w:rtl w:val="true"/>
        </w:rPr>
        <w:t>דרש מ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כי קבלן גינון שאמור היה להגיע לדירתה באותו יום לא יגיע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העביר את מכשיר הטלפון הנייד שלו 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מצב טיסה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דווקא ביום הנושא חשיבות עסקית רבה עבורו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נשא עמו בגדים ונעליים להחלפה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וביצע פעולות</w:t>
      </w:r>
      <w:r>
        <w:rPr>
          <w:rtl w:val="true"/>
        </w:rPr>
        <w:t xml:space="preserve">, </w:t>
      </w:r>
      <w:r>
        <w:rPr>
          <w:rtl w:val="true"/>
        </w:rPr>
        <w:t>דוגמת נטילת הרכב ומכשיר הטלפון של ל</w:t>
      </w:r>
      <w:r>
        <w:rPr>
          <w:rtl w:val="true"/>
        </w:rPr>
        <w:t>',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המשוות לאירוע דימוי של מעשה שוד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שצוין בהכרעת הדין של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למעשים אלה של המערער חשיבות בשני היבטים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ומתוכננים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הושקעה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הגיונם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בטשטוש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וביצירת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הטשטוש</w:t>
      </w:r>
      <w:r>
        <w:rPr>
          <w:rtl w:val="true"/>
        </w:rPr>
        <w:t xml:space="preserve">? </w:t>
      </w:r>
      <w:r>
        <w:rPr>
          <w:rtl w:val="true"/>
        </w:rPr>
        <w:t>והרי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רומנוב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האליבי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13:52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השתלשלו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שגרתי</w:t>
      </w:r>
      <w:r>
        <w:rPr>
          <w:rtl w:val="true"/>
        </w:rPr>
        <w:t xml:space="preserve">. </w:t>
      </w:r>
      <w:r>
        <w:rPr>
          <w:rtl w:val="true"/>
        </w:rPr>
        <w:t>כשאלו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'.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בהתנהגות המערער כפי שפורטה עד כה לא די</w:t>
      </w:r>
      <w:r>
        <w:rPr>
          <w:rtl w:val="true"/>
        </w:rPr>
        <w:t xml:space="preserve">, </w:t>
      </w:r>
      <w:r>
        <w:rPr>
          <w:rtl w:val="true"/>
        </w:rPr>
        <w:t xml:space="preserve">מתווספת אליה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המערער נעצר מספר שעות לאחר האירוע כשהוא בדרכו לבית החולים שבו טופלה ל</w:t>
      </w:r>
      <w:r>
        <w:rPr>
          <w:rtl w:val="true"/>
        </w:rPr>
        <w:t xml:space="preserve">'. </w:t>
      </w:r>
      <w:r>
        <w:rPr>
          <w:rtl w:val="true"/>
        </w:rPr>
        <w:t>בכל פעם שנשאל על ידי השוטרים אם נכח באותו יום ביישוב הר אדר שבו כזכור מתגוררת ל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המערער השיב בשלילה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משהשוטרים שמו לב לקיומו של כתם דם מאחורי אוזנו ושאלוהו לפשר הדבר</w:t>
      </w:r>
      <w:r>
        <w:rPr>
          <w:rtl w:val="true"/>
        </w:rPr>
        <w:t xml:space="preserve">, </w:t>
      </w:r>
      <w:r>
        <w:rPr>
          <w:rtl w:val="true"/>
        </w:rPr>
        <w:t>המערער ענה בתחילה כי אין לו הסבר</w:t>
      </w:r>
      <w:r>
        <w:rPr>
          <w:rtl w:val="true"/>
        </w:rPr>
        <w:t xml:space="preserve">, </w:t>
      </w:r>
      <w:r>
        <w:rPr>
          <w:rtl w:val="true"/>
        </w:rPr>
        <w:t xml:space="preserve">ובהמשך אמר שמקור הכתם הוא </w:t>
      </w:r>
      <w:r>
        <w:rPr>
          <w:rtl w:val="true"/>
        </w:rPr>
        <w:t>"</w:t>
      </w:r>
      <w:r>
        <w:rPr>
          <w:rtl w:val="true"/>
        </w:rPr>
        <w:t xml:space="preserve">אולי מיום שישי </w:t>
      </w:r>
      <w:r>
        <w:rPr>
          <w:rtl w:val="true"/>
        </w:rPr>
        <w:t>[</w:t>
      </w:r>
      <w:r>
        <w:rPr>
          <w:rtl w:val="true"/>
        </w:rPr>
        <w:t xml:space="preserve">כאשר התקיפה התרחשה ביום שני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]"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בהקשר זה ראוי לציין כי מדגימת כתם הדם התקבל פרופיל 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 התואם את זה המיוחס 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'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80</w:t>
      </w:r>
      <w:r>
        <w:rPr>
          <w:rtl w:val="true"/>
        </w:rPr>
        <w:t xml:space="preserve">).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במפגשו הראשוני עם המשטרה המערער הכחיש את עצם נוכחותו בדירתה של ל</w:t>
      </w:r>
      <w:r>
        <w:rPr>
          <w:rtl w:val="true"/>
        </w:rPr>
        <w:t xml:space="preserve">' </w:t>
      </w:r>
      <w:r>
        <w:rPr>
          <w:rtl w:val="true"/>
        </w:rPr>
        <w:t>ביום האירוע</w:t>
      </w:r>
      <w:r>
        <w:rPr>
          <w:rtl w:val="true"/>
        </w:rPr>
        <w:t xml:space="preserve">, </w:t>
      </w:r>
      <w:r>
        <w:rPr>
          <w:rtl w:val="true"/>
        </w:rPr>
        <w:t>וכן שלל את האפשרות שמקור כתם הדם באירוע האלים שהתרחש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u w:val="single"/>
        </w:rPr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נחקר במשטרה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שמר על זכות השתיקה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) </w:t>
      </w:r>
      <w:r>
        <w:rPr>
          <w:rtl w:val="true"/>
        </w:rPr>
        <w:t xml:space="preserve">חרף כך שהוטחו בפניו ראיות לכאורה המלמדות על מעורבותו באירוע </w:t>
      </w:r>
      <w:r>
        <w:rPr>
          <w:rtl w:val="true"/>
        </w:rPr>
        <w:t>(</w:t>
      </w:r>
      <w:r>
        <w:rPr>
          <w:rtl w:val="true"/>
        </w:rPr>
        <w:t>למשל ממצא 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 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את שתיקתו זו תלה המערער בעצת עורך דינו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הגם שזכות השתיקה נתונה לנאשם כחלק מהחיסיון מפני הפללה עצמית</w:t>
      </w:r>
      <w:r>
        <w:rPr>
          <w:rtl w:val="true"/>
        </w:rPr>
        <w:t xml:space="preserve">, </w:t>
      </w:r>
      <w:r>
        <w:rPr>
          <w:rtl w:val="true"/>
        </w:rPr>
        <w:t>הלכה היא כי בהיעדר הסבר סביר</w:t>
      </w:r>
      <w:r>
        <w:rPr>
          <w:rtl w:val="true"/>
        </w:rPr>
        <w:t xml:space="preserve">, </w:t>
      </w:r>
      <w:r>
        <w:rPr>
          <w:rtl w:val="true"/>
        </w:rPr>
        <w:t>שתיקתו של נאשם במהלך חקירותיו במשטרה עשויה לשמש חיזוק</w:t>
      </w:r>
      <w:r>
        <w:rPr>
          <w:rtl w:val="true"/>
        </w:rPr>
        <w:t xml:space="preserve"> </w:t>
      </w:r>
      <w:r>
        <w:rPr>
          <w:rtl w:val="true"/>
        </w:rPr>
        <w:t>לראיות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2996/09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קמא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11.5.2011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 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  <w:rtl w:val="true"/>
          </w:rPr>
          <w:t>מעצרים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 </w:t>
      </w:r>
      <w:r>
        <w:rPr>
          <w:rtl w:val="true"/>
        </w:rPr>
        <w:t xml:space="preserve">ופסק דינו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hyperlink r:id="rId5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6359/21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עמראני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60</w:t>
      </w:r>
      <w:r>
        <w:rPr>
          <w:rFonts w:cs="Century" w:ascii="Century" w:hAnsi="Century"/>
          <w:sz w:val="22"/>
          <w:rtl w:val="true"/>
        </w:rPr>
        <w:t xml:space="preserve"> 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8.9.2022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 xml:space="preserve">כשלצד זאת נקבע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תישמע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שתיקתו</w:t>
      </w:r>
      <w:r>
        <w:rPr>
          <w:rtl w:val="true"/>
        </w:rPr>
        <w:t xml:space="preserve"> </w:t>
      </w:r>
      <w:r>
        <w:rPr>
          <w:rtl w:val="true"/>
        </w:rPr>
        <w:t>נבעה</w:t>
      </w:r>
      <w:r>
        <w:rPr>
          <w:rtl w:val="true"/>
        </w:rPr>
        <w:t xml:space="preserve"> </w:t>
      </w:r>
      <w:r>
        <w:rPr>
          <w:rtl w:val="true"/>
        </w:rPr>
        <w:t>מחמת</w:t>
      </w:r>
      <w:r>
        <w:rPr>
          <w:rtl w:val="true"/>
        </w:rPr>
        <w:t xml:space="preserve"> </w:t>
      </w:r>
      <w:r>
        <w:rPr>
          <w:rtl w:val="true"/>
        </w:rPr>
        <w:t>עצה</w:t>
      </w:r>
      <w:r>
        <w:rPr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 </w:t>
      </w:r>
      <w:r>
        <w:rPr>
          <w:rtl w:val="true"/>
        </w:rPr>
        <w:t>מעורך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ראו פסק דיני ב</w:t>
      </w:r>
      <w:r>
        <w:rPr>
          <w:rtl w:val="true"/>
        </w:rPr>
        <w:t>-</w:t>
      </w:r>
      <w:hyperlink r:id="rId5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42731-07-12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זאהדה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9.9.2014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הטעם לכך ידוע וברור </w:t>
      </w:r>
      <w:r>
        <w:rPr>
          <w:rtl w:val="true"/>
        </w:rPr>
        <w:t>–</w:t>
      </w:r>
      <w:r>
        <w:rPr>
          <w:rtl w:val="true"/>
        </w:rPr>
        <w:t xml:space="preserve"> משנאשם בוחר לשתוק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שנתבקש</w:t>
      </w:r>
      <w:r>
        <w:rPr>
          <w:rtl w:val="true"/>
        </w:rPr>
        <w:t xml:space="preserve"> ממנו</w:t>
      </w:r>
      <w:r>
        <w:rPr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, </w:t>
      </w:r>
      <w:r>
        <w:rPr>
          <w:rtl w:val="true"/>
        </w:rPr>
        <w:t>שתיקתו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ציפייתו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יאמינו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יעלה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פרשת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הגנה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הגיונם של הדברים מתחדד</w:t>
      </w:r>
      <w:r>
        <w:rPr>
          <w:rtl w:val="true"/>
        </w:rPr>
        <w:t xml:space="preserve"> </w:t>
      </w:r>
      <w:r>
        <w:rPr>
          <w:rtl w:val="true"/>
        </w:rPr>
        <w:t>כשנאשם</w:t>
      </w:r>
      <w:r>
        <w:rPr>
          <w:rtl w:val="true"/>
        </w:rPr>
        <w:t xml:space="preserve"> </w:t>
      </w:r>
      <w:r>
        <w:rPr>
          <w:rtl w:val="true"/>
        </w:rPr>
        <w:t>מעומת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חוקרי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משטרה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חומרי חקירה</w:t>
      </w:r>
      <w:r>
        <w:rPr>
          <w:rtl w:val="true"/>
        </w:rPr>
        <w:t xml:space="preserve"> </w:t>
      </w:r>
      <w:r>
        <w:rPr>
          <w:rtl w:val="true"/>
        </w:rPr>
        <w:t>המלמדים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מעורבותו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ביצוע 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אך הוא מצדו אינו מספק כל הסבר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28.7.2019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יעקב </w:t>
      </w:r>
      <w:hyperlink r:id="rId54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tl w:val="true"/>
        </w:rPr>
        <w:t xml:space="preserve"> ראשון </w:t>
      </w:r>
      <w:r>
        <w:rPr/>
        <w:t>30</w:t>
      </w:r>
      <w:r>
        <w:rPr>
          <w:rtl w:val="true"/>
        </w:rPr>
        <w:t xml:space="preserve">, </w:t>
      </w:r>
      <w:r>
        <w:rPr/>
        <w:t>309-305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17.8.2020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'. </w:t>
      </w:r>
      <w:r>
        <w:rPr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תתגלה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" (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קדמי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500-505</w:t>
      </w:r>
      <w:r>
        <w:rPr>
          <w:rtl w:val="true"/>
        </w:rPr>
        <w:t xml:space="preserve">;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18.9.2022</w:t>
      </w:r>
      <w:r>
        <w:rPr>
          <w:rtl w:val="true"/>
        </w:rPr>
        <w:t xml:space="preserve">)), </w:t>
      </w:r>
      <w:r>
        <w:rPr>
          <w:rtl w:val="true"/>
        </w:rPr>
        <w:t>ההסברים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ומבולבל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356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18.12.2022</w:t>
      </w:r>
      <w:r>
        <w:rPr>
          <w:rtl w:val="true"/>
        </w:rPr>
        <w:t xml:space="preserve">) </w:t>
      </w:r>
      <w:r>
        <w:rPr>
          <w:rtl w:val="true"/>
        </w:rPr>
        <w:t>ושהיה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310</w:t>
      </w:r>
      <w:r>
        <w:rPr>
          <w:rtl w:val="true"/>
        </w:rPr>
        <w:t xml:space="preserve">).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מהרגלו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מוניות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מלשכנע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לעסקו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"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תמוה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"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לכבישתה</w:t>
      </w:r>
      <w:r>
        <w:rPr>
          <w:rtl w:val="true"/>
        </w:rPr>
        <w:t xml:space="preserve">; </w:t>
      </w:r>
      <w:r>
        <w:rPr>
          <w:rtl w:val="true"/>
        </w:rPr>
        <w:t>ההסברים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שסופקו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משכנעים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שעצרוהו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התשאול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17.8.2020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ים</w:t>
      </w:r>
      <w:r>
        <w:rPr>
          <w:rtl w:val="true"/>
        </w:rPr>
        <w:t xml:space="preserve">: </w:t>
      </w:r>
      <w:r>
        <w:rPr>
          <w:rtl w:val="true"/>
        </w:rPr>
        <w:t>בהצטרפם של המאורעות בתוך דירתה של ל</w:t>
      </w:r>
      <w:r>
        <w:rPr>
          <w:rtl w:val="true"/>
        </w:rPr>
        <w:t xml:space="preserve">' </w:t>
      </w:r>
      <w:r>
        <w:rPr>
          <w:rtl w:val="true"/>
        </w:rPr>
        <w:t>הכוללים חבטות עוצמתיות חוזרות ונשנות בראשה</w:t>
      </w:r>
      <w:r>
        <w:rPr>
          <w:rtl w:val="true"/>
        </w:rPr>
        <w:t xml:space="preserve">, </w:t>
      </w:r>
      <w:r>
        <w:rPr>
          <w:rtl w:val="true"/>
        </w:rPr>
        <w:t xml:space="preserve">בשתי </w:t>
      </w:r>
      <w:r>
        <w:rPr>
          <w:rtl w:val="true"/>
        </w:rPr>
        <w:t>"</w:t>
      </w:r>
      <w:r>
        <w:rPr>
          <w:rtl w:val="true"/>
        </w:rPr>
        <w:t>פעימות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האחרונה לאחר שנוכח לראות כי היא עודנה בחיים</w:t>
      </w:r>
      <w:r>
        <w:rPr>
          <w:rtl w:val="true"/>
        </w:rPr>
        <w:t xml:space="preserve">; </w:t>
      </w:r>
      <w:r>
        <w:rPr>
          <w:rtl w:val="true"/>
        </w:rPr>
        <w:t>התנהגות המערער לפני הגעתו אליה ולאחר יציאתו ממנה</w:t>
      </w:r>
      <w:r>
        <w:rPr>
          <w:rtl w:val="true"/>
        </w:rPr>
        <w:t xml:space="preserve">; </w:t>
      </w:r>
      <w:r>
        <w:rPr>
          <w:rtl w:val="true"/>
        </w:rPr>
        <w:t xml:space="preserve">והגרסה שמסר לאירועים במשטרה ובבית המשפט </w:t>
      </w:r>
      <w:r>
        <w:rPr>
          <w:rtl w:val="true"/>
        </w:rPr>
        <w:t>–</w:t>
      </w:r>
      <w:r>
        <w:rPr>
          <w:rtl w:val="true"/>
        </w:rPr>
        <w:t xml:space="preserve"> לא נותר ולו ספק סביר כי המערער אכן התכוון להמית את ל</w:t>
      </w:r>
      <w:r>
        <w:rPr>
          <w:rtl w:val="true"/>
        </w:rPr>
        <w:t xml:space="preserve">'.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את ערעורו על הכרעת הדין</w:t>
      </w:r>
      <w:r>
        <w:rPr>
          <w:rtl w:val="true"/>
        </w:rPr>
        <w:t xml:space="preserve">, </w:t>
      </w:r>
      <w:r>
        <w:rPr>
          <w:rtl w:val="true"/>
        </w:rPr>
        <w:t>יש לדחות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פני הדברים </w:t>
      </w:r>
      <w:r>
        <w:rPr>
          <w:rtl w:val="true"/>
        </w:rPr>
        <w:t>–</w:t>
      </w:r>
      <w:r>
        <w:rPr>
          <w:rtl w:val="true"/>
        </w:rPr>
        <w:t xml:space="preserve"> העונש שנגזר על המערער הולם את חומרת מעשיו</w:t>
      </w:r>
      <w:r>
        <w:rPr>
          <w:rtl w:val="true"/>
        </w:rPr>
        <w:t xml:space="preserve">. </w:t>
      </w:r>
      <w:r>
        <w:rPr>
          <w:rtl w:val="true"/>
        </w:rPr>
        <w:t>המערער ניסה לרצוח את ל</w:t>
      </w:r>
      <w:r>
        <w:rPr>
          <w:rtl w:val="true"/>
        </w:rPr>
        <w:t xml:space="preserve">' </w:t>
      </w:r>
      <w:r>
        <w:rPr>
          <w:rtl w:val="true"/>
        </w:rPr>
        <w:t>תוך שתקף אותה ממושכות ללא רחם ומבלי לשעות לתחנוניה</w:t>
      </w:r>
      <w:r>
        <w:rPr>
          <w:rtl w:val="true"/>
        </w:rPr>
        <w:t xml:space="preserve">. </w:t>
      </w:r>
      <w:r>
        <w:rPr>
          <w:rtl w:val="true"/>
        </w:rPr>
        <w:t>בנס בלבד חייה של ל</w:t>
      </w:r>
      <w:r>
        <w:rPr>
          <w:rtl w:val="true"/>
        </w:rPr>
        <w:t xml:space="preserve">' </w:t>
      </w:r>
      <w:r>
        <w:rPr>
          <w:rtl w:val="true"/>
        </w:rPr>
        <w:t>לא קופדו</w:t>
      </w:r>
      <w:r>
        <w:rPr>
          <w:rtl w:val="true"/>
        </w:rPr>
        <w:t xml:space="preserve">. </w:t>
      </w:r>
      <w:r>
        <w:rPr>
          <w:rtl w:val="true"/>
        </w:rPr>
        <w:t>לכך יש להוסיף כי מדובר במעשים שקדמו להם תכנון מדויק ומפורט כפי שהדברים פורטו לעיל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בהקשר זה אני רואה לנכון להרחיב מעט את היריעה במישור העקרוני בדבר הרלוונטיות של תכנון </w:t>
      </w:r>
      <w:r>
        <w:rPr>
          <w:rtl w:val="true"/>
        </w:rPr>
        <w:t>–</w:t>
      </w:r>
      <w:r>
        <w:rPr>
          <w:rtl w:val="true"/>
        </w:rPr>
        <w:t xml:space="preserve"> שעשוי להיות נסיבה ההופכת מעשה רצח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 xml:space="preserve">למעשה רצח בנסיבות מחמירות </w:t>
      </w:r>
      <w:r>
        <w:rPr>
          <w:rtl w:val="true"/>
        </w:rPr>
        <w:t>–</w:t>
      </w:r>
      <w:r>
        <w:rPr>
          <w:rtl w:val="true"/>
        </w:rPr>
        <w:t xml:space="preserve"> לגזירת הדין בעבירת הניסיון לרצח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2330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113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המחוקק ביקש להתוות את שיקול הדעת שמופעל על ידי בתי המשפט במלאכת הענישה</w:t>
      </w:r>
      <w:r>
        <w:rPr>
          <w:rtl w:val="true"/>
        </w:rPr>
        <w:t xml:space="preserve">. </w:t>
      </w:r>
      <w:r>
        <w:rPr>
          <w:rtl w:val="true"/>
        </w:rPr>
        <w:t xml:space="preserve">מעבר לכך שנקבע מודל תלת שלבי שעל פיו ייגזר עונשם של נאשמים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סו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772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790-789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 xml:space="preserve">הובהר כי העיקרון המנחה בגזירת העונש הוא עקרון ההלימה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מידת אשמו של אדם מהווה אפוא רכיב מרכזי בהליך גזירת 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למידת אשמו של מבצע העבירה חשיבות רבה גם במסגרת הרפורמה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ניתן למקד מבט בעבירת הרצח בנסיבות מחמירות המעוגנת </w:t>
      </w:r>
      <w:hyperlink r:id="rId5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>סעיף זה מונה רשימת נסיבות</w:t>
      </w:r>
      <w:r>
        <w:rPr>
          <w:rtl w:val="true"/>
        </w:rPr>
        <w:t xml:space="preserve">, </w:t>
      </w:r>
      <w:r>
        <w:rPr>
          <w:rtl w:val="true"/>
        </w:rPr>
        <w:t xml:space="preserve">אשר המחוקק סבור כי בהתקיימן מגולמת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במעשיו של הנאשם</w:t>
      </w:r>
      <w:r>
        <w:rPr>
          <w:rtl w:val="true"/>
        </w:rPr>
        <w:t xml:space="preserve"> שמחייבת כי העונש שייגזר עליו יהיה מאסר עולם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, </w:t>
      </w:r>
      <w:r>
        <w:rPr/>
        <w:t>170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חומרת מעשה העבירה ומידת אשמו של נאשם </w:t>
      </w:r>
      <w:r>
        <w:rPr>
          <w:rtl w:val="true"/>
        </w:rPr>
        <w:t>–</w:t>
      </w:r>
      <w:r>
        <w:rPr>
          <w:rtl w:val="true"/>
        </w:rPr>
        <w:t xml:space="preserve"> מהוות יסוד המשותף הן לתיקון </w:t>
      </w:r>
      <w:r>
        <w:rPr/>
        <w:t>113</w:t>
      </w:r>
      <w:r>
        <w:rPr>
          <w:rtl w:val="true"/>
        </w:rPr>
        <w:t xml:space="preserve"> (</w:t>
      </w:r>
      <w:r>
        <w:rPr>
          <w:rtl w:val="true"/>
        </w:rPr>
        <w:t xml:space="preserve">בין היתר </w:t>
      </w:r>
      <w:hyperlink r:id="rId6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הן </w:t>
      </w:r>
      <w:hyperlink r:id="rId62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דמיון זה בא לידי ביטוי</w:t>
      </w:r>
      <w:r>
        <w:rPr>
          <w:rtl w:val="true"/>
        </w:rPr>
        <w:t xml:space="preserve">, </w:t>
      </w:r>
      <w:r>
        <w:rPr>
          <w:rtl w:val="true"/>
        </w:rPr>
        <w:t>במקרים מסוימים</w:t>
      </w:r>
      <w:r>
        <w:rPr>
          <w:rtl w:val="true"/>
        </w:rPr>
        <w:t xml:space="preserve">, </w:t>
      </w:r>
      <w:r>
        <w:rPr>
          <w:rtl w:val="true"/>
        </w:rPr>
        <w:t>גם במילות החוק המפורשות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קובע כשיקול לקביעת גבולות מתחם העונש ההולם את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קובע כנסיבה מחמירה מקרי רצח שבהם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בראי זאת</w:t>
      </w:r>
      <w:r>
        <w:rPr>
          <w:rtl w:val="true"/>
        </w:rPr>
        <w:t xml:space="preserve">, </w:t>
      </w:r>
      <w:r>
        <w:rPr>
          <w:rtl w:val="true"/>
        </w:rPr>
        <w:t xml:space="preserve">אך טבעי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קרבה</w:t>
      </w:r>
      <w:r>
        <w:rPr>
          <w:rtl w:val="true"/>
        </w:rPr>
        <w:t xml:space="preserve"> לנסיבות המנויות </w:t>
      </w:r>
      <w:hyperlink r:id="rId6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עשויה ללמד על החומרה המגולמת במעשים באופן המצדיק החמרה בענישה</w:t>
      </w:r>
      <w:r>
        <w:rPr>
          <w:rtl w:val="true"/>
        </w:rPr>
        <w:t xml:space="preserve">. </w:t>
      </w:r>
      <w:r>
        <w:rPr>
          <w:rtl w:val="true"/>
        </w:rPr>
        <w:t>כך לעניין 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כפי שקבעתי בעבר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11.8.2022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וכך גם במקרים של ניסיון לרצח</w:t>
      </w:r>
      <w:r>
        <w:rPr>
          <w:rtl w:val="true"/>
        </w:rPr>
        <w:t xml:space="preserve">. </w:t>
      </w:r>
      <w:r>
        <w:rPr>
          <w:rtl w:val="true"/>
        </w:rPr>
        <w:t>שהרי עבירת הניסיון לרצח</w:t>
      </w:r>
      <w:r>
        <w:rPr>
          <w:rtl w:val="true"/>
        </w:rPr>
        <w:t xml:space="preserve">, </w:t>
      </w:r>
      <w:r>
        <w:rPr>
          <w:rtl w:val="true"/>
        </w:rPr>
        <w:t>בדומה לעבירה המוגמרת</w:t>
      </w:r>
      <w:r>
        <w:rPr>
          <w:rtl w:val="true"/>
        </w:rPr>
        <w:t xml:space="preserve">, </w:t>
      </w:r>
      <w:r>
        <w:rPr>
          <w:rtl w:val="true"/>
        </w:rPr>
        <w:t xml:space="preserve">נועדה גם היא להגן על ערך קדושת החיים </w:t>
      </w:r>
      <w:r>
        <w:rPr>
          <w:rtl w:val="true"/>
        </w:rPr>
        <w:t>–</w:t>
      </w:r>
      <w:r>
        <w:rPr>
          <w:rtl w:val="true"/>
        </w:rPr>
        <w:t xml:space="preserve"> ובמקרים רבים אשמתו של נאשם המנסה לרצוח דומה עד זהה לזה של רוצח שזממו יוצא מן הכוח אל הפועל </w:t>
      </w:r>
      <w:r>
        <w:rPr>
          <w:rtl w:val="true"/>
        </w:rPr>
        <w:t>(</w:t>
      </w:r>
      <w:r>
        <w:rPr>
          <w:rtl w:val="true"/>
        </w:rPr>
        <w:t xml:space="preserve">וראו גם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לחוק לעניין הכרעתו הערכית של המחוקק ביחס לעבירות ניסיון והשוואת עונש המקסימום שניתן לגזור בגינן ככלל</w:t>
      </w:r>
      <w:r>
        <w:rPr>
          <w:rtl w:val="true"/>
        </w:rPr>
        <w:t xml:space="preserve">, </w:t>
      </w:r>
      <w:r>
        <w:rPr>
          <w:rtl w:val="true"/>
        </w:rPr>
        <w:t>לזה של העבירה המושלמת</w:t>
      </w:r>
      <w:r>
        <w:rPr>
          <w:rtl w:val="true"/>
        </w:rPr>
        <w:t xml:space="preserve">; 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וואקי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573-569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החמרה במקרי ניסיון לרצח שמתגלמות בהם הנסיבות המחמירות</w:t>
      </w:r>
      <w:r>
        <w:rPr>
          <w:rtl w:val="true"/>
        </w:rPr>
        <w:t xml:space="preserve">, </w:t>
      </w:r>
      <w:r>
        <w:rPr>
          <w:rtl w:val="true"/>
        </w:rPr>
        <w:t>אותן הנסיבות שהמחוקק הבהיר כי משקפות בעיניו חומרה מוסרית מיוחדת</w:t>
      </w:r>
      <w:r>
        <w:rPr>
          <w:rtl w:val="true"/>
        </w:rPr>
        <w:t xml:space="preserve">, </w:t>
      </w:r>
      <w:r>
        <w:rPr>
          <w:rtl w:val="true"/>
        </w:rPr>
        <w:t>היא תוצאה מתבקשת וראויה</w:t>
      </w:r>
      <w:r>
        <w:rPr>
          <w:rtl w:val="true"/>
        </w:rPr>
        <w:t xml:space="preserve">. </w:t>
      </w:r>
      <w:r>
        <w:rPr>
          <w:rtl w:val="true"/>
        </w:rPr>
        <w:t>ובמילים פשוטות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רצח של עד במשפט פלילי הוא רצח בנסיבות מחמירות </w:t>
      </w:r>
      <w:r>
        <w:rPr>
          <w:rtl w:val="true"/>
        </w:rPr>
        <w:t>(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אין סיבה שלעניין חומרת העונש של מי שמורשע בניסיון לרצח של עד במשפט פלילי</w:t>
      </w:r>
      <w:r>
        <w:rPr>
          <w:rtl w:val="true"/>
        </w:rPr>
        <w:t xml:space="preserve">, </w:t>
      </w:r>
      <w:r>
        <w:rPr>
          <w:rtl w:val="true"/>
        </w:rPr>
        <w:t>עובדה זו לא תילקח בחשבון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מעשיו של המערער בוצעו לאחר תכנון</w:t>
      </w:r>
      <w:r>
        <w:rPr>
          <w:rtl w:val="true"/>
        </w:rPr>
        <w:t xml:space="preserve">. </w:t>
      </w:r>
      <w:r>
        <w:rPr>
          <w:rtl w:val="true"/>
        </w:rPr>
        <w:t>ניתן אף לומר כי לו התוצאה הקטלנית הייתה מתממשת</w:t>
      </w:r>
      <w:r>
        <w:rPr>
          <w:rtl w:val="true"/>
        </w:rPr>
        <w:t xml:space="preserve">, </w:t>
      </w:r>
      <w:r>
        <w:rPr>
          <w:rtl w:val="true"/>
        </w:rPr>
        <w:t>העבירה שהייתה מיוחסת לו היא 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ולנוכח האמור לעיל </w:t>
      </w:r>
      <w:r>
        <w:rPr>
          <w:rtl w:val="true"/>
        </w:rPr>
        <w:t>–</w:t>
      </w:r>
      <w:r>
        <w:rPr>
          <w:rtl w:val="true"/>
        </w:rPr>
        <w:t xml:space="preserve"> על העונש שנגזר עליו לתת ביטוי לחומרה יתירה זו</w:t>
      </w:r>
      <w:r>
        <w:rPr>
          <w:rtl w:val="true"/>
        </w:rPr>
        <w:t xml:space="preserve">, </w:t>
      </w:r>
      <w:r>
        <w:rPr>
          <w:rtl w:val="true"/>
        </w:rPr>
        <w:t>והתוצאה העונשית שאליה הגיע בית המשפט המחוזי אכן עושה כן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אולם בכך לא תם העניין </w:t>
      </w:r>
      <w:r>
        <w:rPr>
          <w:rtl w:val="true"/>
        </w:rPr>
        <w:t>–</w:t>
      </w:r>
      <w:r>
        <w:rPr>
          <w:rtl w:val="true"/>
        </w:rPr>
        <w:t xml:space="preserve"> שכן</w:t>
      </w:r>
      <w:r>
        <w:rPr>
          <w:rtl w:val="true"/>
        </w:rPr>
        <w:t xml:space="preserve">, </w:t>
      </w:r>
      <w:r>
        <w:rPr>
          <w:rtl w:val="true"/>
        </w:rPr>
        <w:t>בעניינו של המערער מתקיימת נסיבה המצדיקה הקלה בעונשו</w:t>
      </w:r>
      <w:r>
        <w:rPr>
          <w:rtl w:val="true"/>
        </w:rPr>
        <w:t xml:space="preserve">, </w:t>
      </w:r>
      <w:r>
        <w:rPr>
          <w:rtl w:val="true"/>
        </w:rPr>
        <w:t xml:space="preserve">אך היא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לקולה</w:t>
      </w:r>
      <w:r>
        <w:rPr>
          <w:rtl w:val="true"/>
        </w:rPr>
        <w:t xml:space="preserve"> על ידי בית המשפט המחוזי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שכל את בנו כשנתיים לפני מועד האירוע מושא כתב האישום</w:t>
      </w:r>
      <w:r>
        <w:rPr>
          <w:rtl w:val="true"/>
        </w:rPr>
        <w:t xml:space="preserve">. </w:t>
      </w:r>
      <w:r>
        <w:rPr>
          <w:rtl w:val="true"/>
        </w:rPr>
        <w:t>הדבר אירע במסגרת תאונה מצערת שהתרחשה במהלך שירותו הצבאי</w:t>
      </w:r>
      <w:r>
        <w:rPr>
          <w:rtl w:val="true"/>
        </w:rPr>
        <w:t xml:space="preserve">. </w:t>
      </w:r>
      <w:r>
        <w:rPr>
          <w:rtl w:val="true"/>
        </w:rPr>
        <w:t>למותר לציין כי חייו של המערער השתנו לבלי הכר</w:t>
      </w:r>
      <w:r>
        <w:rPr>
          <w:rtl w:val="true"/>
        </w:rPr>
        <w:t xml:space="preserve">. </w:t>
      </w:r>
      <w:r>
        <w:rPr>
          <w:rtl w:val="true"/>
        </w:rPr>
        <w:t>פטירת בנו אופפת במידה רבה את האירוע</w:t>
      </w:r>
      <w:r>
        <w:rPr>
          <w:rtl w:val="true"/>
        </w:rPr>
        <w:t xml:space="preserve">, </w:t>
      </w:r>
      <w:r>
        <w:rPr>
          <w:rtl w:val="true"/>
        </w:rPr>
        <w:t>כפי שניתן גם ללמוד מאמרותיו במהלך האירוע עצמו שתוארו בדבריה של ל</w:t>
      </w:r>
      <w:r>
        <w:rPr>
          <w:rtl w:val="true"/>
        </w:rPr>
        <w:t>' 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איבדתי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</w:t>
      </w:r>
      <w:r>
        <w:rPr>
          <w:rtl w:val="true"/>
        </w:rPr>
        <w:t xml:space="preserve">";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104</w:t>
      </w:r>
      <w:r>
        <w:rPr>
          <w:rtl w:val="true"/>
        </w:rPr>
        <w:t xml:space="preserve">). </w:t>
      </w:r>
      <w:r>
        <w:rPr>
          <w:rtl w:val="true"/>
        </w:rPr>
        <w:t xml:space="preserve">אלא שלא רק שבית המשפט המחוזי לא שקל עניין זה כנסיבה לקולה </w:t>
      </w:r>
      <w:r>
        <w:rPr>
          <w:rtl w:val="true"/>
        </w:rPr>
        <w:t>(</w:t>
      </w:r>
      <w:r>
        <w:rPr>
          <w:rtl w:val="true"/>
        </w:rPr>
        <w:t xml:space="preserve">וראו למשל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מבין שורותיו של גזר הדין משתמע שהדבר נשקל לחובתו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 xml:space="preserve">נפלה טעות בגזר הדין אשר מצדיקה את התערבותה של ערכאת הערעור בדרך של הקלה בעונשו של המערער </w:t>
      </w:r>
      <w:r>
        <w:rPr>
          <w:rtl w:val="true"/>
        </w:rPr>
        <w:t>(</w:t>
      </w:r>
      <w:r>
        <w:rPr>
          <w:rtl w:val="true"/>
        </w:rPr>
        <w:t>לעניין רף ההתערבות ראו למשל</w:t>
      </w:r>
      <w:r>
        <w:rPr>
          <w:rtl w:val="true"/>
        </w:rPr>
        <w:t xml:space="preserve">: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2189/23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אהרוני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20.2.2024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מאובדן כה כואב</w:t>
      </w:r>
      <w:r>
        <w:rPr>
          <w:rtl w:val="true"/>
        </w:rPr>
        <w:t xml:space="preserve">, </w:t>
      </w:r>
      <w:r>
        <w:rPr>
          <w:rtl w:val="true"/>
        </w:rPr>
        <w:t>כְּזֶה</w:t>
      </w:r>
      <w:r>
        <w:rPr>
          <w:rtl w:val="true"/>
        </w:rPr>
        <w:t xml:space="preserve"> שחווה המערער עת איבד את בנו במהלך שירותו הצבאי</w:t>
      </w:r>
      <w:r>
        <w:rPr>
          <w:rtl w:val="true"/>
        </w:rPr>
        <w:t xml:space="preserve">, </w:t>
      </w:r>
      <w:r>
        <w:rPr>
          <w:rtl w:val="true"/>
        </w:rPr>
        <w:t>אין מקום להתעלם בגזירת העונש</w:t>
      </w:r>
      <w:r>
        <w:rPr>
          <w:rtl w:val="true"/>
        </w:rPr>
        <w:t xml:space="preserve">. </w:t>
      </w:r>
      <w:r>
        <w:rPr>
          <w:rtl w:val="true"/>
        </w:rPr>
        <w:t xml:space="preserve">מובן כי משמעותו אינה פחותה מנסיבות דוגמת גיל נאשם או מצבו הכלכלי </w:t>
      </w:r>
      <w:r>
        <w:rPr>
          <w:rtl w:val="true"/>
        </w:rPr>
        <w:t>–</w:t>
      </w:r>
      <w:r>
        <w:rPr>
          <w:rtl w:val="true"/>
        </w:rPr>
        <w:t xml:space="preserve"> הנשקלות על ידי בתי המשפט במלאכת גזירת העונש כעניין של יום ביומו</w:t>
      </w:r>
      <w:r>
        <w:rPr>
          <w:rtl w:val="true"/>
        </w:rPr>
        <w:t xml:space="preserve">. </w:t>
      </w:r>
      <w:r>
        <w:rPr>
          <w:rtl w:val="true"/>
        </w:rPr>
        <w:t>הגם שבחומרתם של מעשיו הנפשעים של המערער קשה להפריז</w:t>
      </w:r>
      <w:r>
        <w:rPr>
          <w:rtl w:val="true"/>
        </w:rPr>
        <w:t xml:space="preserve">, </w:t>
      </w:r>
      <w:r>
        <w:rPr>
          <w:rtl w:val="true"/>
        </w:rPr>
        <w:t xml:space="preserve">ואין למצוא בנסיבותיו ולו ראשית הצדקה להם </w:t>
      </w:r>
      <w:r>
        <w:rPr>
          <w:rtl w:val="true"/>
        </w:rPr>
        <w:t>–</w:t>
      </w:r>
      <w:r>
        <w:rPr>
          <w:rtl w:val="true"/>
        </w:rPr>
        <w:t xml:space="preserve"> עניינו מצדיק הקלה מדודה בעונש שנגזר עליו כמצוותו של תיקון </w:t>
      </w:r>
      <w:r>
        <w:rPr/>
        <w:t>113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אציע לחברי וחברתי כי נדחה את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ואילו את הערעור על גזר הדין נקבל כך שהמערער ירצה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חלף 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השנים שגזר עליו בית המשפט המחוזי</w:t>
      </w:r>
      <w:r>
        <w:rPr>
          <w:rtl w:val="true"/>
        </w:rPr>
        <w:t xml:space="preserve">, </w:t>
      </w:r>
      <w:r>
        <w:rPr>
          <w:rtl w:val="true"/>
        </w:rPr>
        <w:t>וזאת מבלי להמעיט כהוא זה מחומרת המעשים ומהפגיעה ב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'.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להסכמות</w:t>
      </w:r>
      <w:r>
        <w:rPr>
          <w:rtl w:val="true"/>
        </w:rPr>
        <w:t xml:space="preserve">;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16"/>
          <w:szCs w:val="18"/>
        </w:rPr>
      </w:pPr>
      <w:r>
        <w:rPr>
          <w:rFonts w:cs="Miriam" w:ascii="Century" w:hAnsi="Century"/>
          <w:b/>
          <w:spacing w:val="0"/>
          <w:sz w:val="16"/>
          <w:szCs w:val="1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sz w:val="28"/>
          <w:szCs w:val="40"/>
        </w:rPr>
      </w:pPr>
      <w:bookmarkStart w:id="21" w:name="Nitan"/>
      <w:r>
        <w:rPr>
          <w:rFonts w:cs="Century" w:ascii="Century" w:hAnsi="Century"/>
          <w:color w:val="FFFFFF"/>
          <w:sz w:val="28"/>
          <w:szCs w:val="40"/>
        </w:rPr>
        <w:t>5129371</w:t>
      </w:r>
      <w:r>
        <w:rPr>
          <w:rFonts w:cs="Century" w:ascii="Century" w:hAnsi="Century"/>
          <w:sz w:val="28"/>
          <w:szCs w:val="40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szCs w:val="40"/>
          <w:rtl w:val="true"/>
        </w:rPr>
        <w:t>ניתן</w:t>
      </w:r>
      <w:r>
        <w:rPr>
          <w:rFonts w:ascii="Century" w:hAnsi="Century" w:cs="Century"/>
          <w:sz w:val="28"/>
          <w:sz w:val="28"/>
          <w:szCs w:val="40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szCs w:val="40"/>
          <w:rtl w:val="true"/>
        </w:rPr>
        <w:t>היום</w:t>
      </w:r>
      <w:r>
        <w:rPr>
          <w:rFonts w:cs="Century" w:ascii="Century" w:hAnsi="Century"/>
          <w:sz w:val="28"/>
          <w:szCs w:val="40"/>
          <w:rtl w:val="true"/>
        </w:rPr>
        <w:t>, ‏</w:t>
      </w:r>
      <w:r>
        <w:rPr>
          <w:rFonts w:ascii="Century" w:hAnsi="Century" w:cs="Century"/>
          <w:sz w:val="28"/>
          <w:sz w:val="28"/>
          <w:szCs w:val="40"/>
          <w:rtl w:val="true"/>
        </w:rPr>
        <w:t>י</w:t>
      </w:r>
      <w:r>
        <w:rPr>
          <w:rFonts w:cs="Century" w:ascii="Century" w:hAnsi="Century"/>
          <w:sz w:val="28"/>
          <w:szCs w:val="40"/>
          <w:rtl w:val="true"/>
        </w:rPr>
        <w:t xml:space="preserve">' </w:t>
      </w:r>
      <w:r>
        <w:rPr>
          <w:rFonts w:ascii="Century" w:hAnsi="Century" w:cs="Century"/>
          <w:sz w:val="28"/>
          <w:sz w:val="28"/>
          <w:szCs w:val="40"/>
          <w:rtl w:val="true"/>
        </w:rPr>
        <w:t>בתמוז</w:t>
      </w:r>
      <w:r>
        <w:rPr>
          <w:rFonts w:ascii="Century" w:hAnsi="Century" w:cs="Century"/>
          <w:sz w:val="28"/>
          <w:sz w:val="28"/>
          <w:szCs w:val="40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szCs w:val="40"/>
          <w:rtl w:val="true"/>
        </w:rPr>
        <w:t>התשפ</w:t>
      </w:r>
      <w:r>
        <w:rPr>
          <w:rFonts w:cs="Century" w:ascii="Century" w:hAnsi="Century"/>
          <w:sz w:val="28"/>
          <w:szCs w:val="40"/>
          <w:rtl w:val="true"/>
        </w:rPr>
        <w:t>"</w:t>
      </w:r>
      <w:r>
        <w:rPr>
          <w:rFonts w:ascii="Century" w:hAnsi="Century" w:cs="Century"/>
          <w:sz w:val="28"/>
          <w:sz w:val="28"/>
          <w:szCs w:val="40"/>
          <w:rtl w:val="true"/>
        </w:rPr>
        <w:t>ד</w:t>
      </w:r>
      <w:r>
        <w:rPr>
          <w:rFonts w:ascii="Century" w:hAnsi="Century" w:cs="Century"/>
          <w:sz w:val="28"/>
          <w:sz w:val="28"/>
          <w:szCs w:val="40"/>
          <w:rtl w:val="true"/>
        </w:rPr>
        <w:t xml:space="preserve"> </w:t>
      </w:r>
      <w:r>
        <w:rPr>
          <w:rFonts w:cs="Century" w:ascii="Century" w:hAnsi="Century"/>
          <w:sz w:val="28"/>
          <w:szCs w:val="40"/>
          <w:rtl w:val="true"/>
        </w:rPr>
        <w:t>(‏</w:t>
      </w:r>
      <w:r>
        <w:rPr>
          <w:rFonts w:cs="Century" w:ascii="Century" w:hAnsi="Century"/>
          <w:sz w:val="28"/>
          <w:szCs w:val="40"/>
        </w:rPr>
        <w:t>16.7.2024</w:t>
      </w:r>
      <w:r>
        <w:rPr>
          <w:rFonts w:cs="Century" w:ascii="Century" w:hAnsi="Century"/>
          <w:sz w:val="28"/>
          <w:szCs w:val="40"/>
          <w:rtl w:val="true"/>
        </w:rPr>
        <w:t xml:space="preserve">). </w:t>
      </w:r>
      <w:bookmarkEnd w:id="2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23067310</w:t>
      </w:r>
      <w:r>
        <w:rPr>
          <w:sz w:val="16"/>
          <w:rtl w:val="true"/>
        </w:rPr>
        <w:t>_</w:t>
      </w:r>
      <w:r>
        <w:rPr>
          <w:sz w:val="16"/>
        </w:rPr>
        <w:t>J09.docx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54678313-6731/23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3"/>
      <w:footerReference w:type="default" r:id="rId7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6731/23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יעקב סטרוג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943863" TargetMode="External"/><Relationship Id="rId3" Type="http://schemas.openxmlformats.org/officeDocument/2006/relationships/hyperlink" Target="http://www.nevo.co.il/safrut/bookgroup/2258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safrut/bookgroup/2068" TargetMode="External"/><Relationship Id="rId6" Type="http://schemas.openxmlformats.org/officeDocument/2006/relationships/hyperlink" Target="http://www.nevo.co.il/safrut/bookgroup/206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0.a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/34d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/40i.a" TargetMode="External"/><Relationship Id="rId13" Type="http://schemas.openxmlformats.org/officeDocument/2006/relationships/hyperlink" Target="http://www.nevo.co.il/law/70301/40i.a.1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300.a" TargetMode="External"/><Relationship Id="rId16" Type="http://schemas.openxmlformats.org/officeDocument/2006/relationships/hyperlink" Target="http://www.nevo.co.il/law/70301/300.a.2" TargetMode="External"/><Relationship Id="rId17" Type="http://schemas.openxmlformats.org/officeDocument/2006/relationships/hyperlink" Target="http://www.nevo.co.il/law/70301/301a" TargetMode="External"/><Relationship Id="rId18" Type="http://schemas.openxmlformats.org/officeDocument/2006/relationships/hyperlink" Target="http://www.nevo.co.il/law/70301/301a.a" TargetMode="External"/><Relationship Id="rId19" Type="http://schemas.openxmlformats.org/officeDocument/2006/relationships/hyperlink" Target="http://www.nevo.co.il/law/70301/301a.a.1" TargetMode="External"/><Relationship Id="rId20" Type="http://schemas.openxmlformats.org/officeDocument/2006/relationships/hyperlink" Target="http://www.nevo.co.il/law/70301/301a.a.3" TargetMode="External"/><Relationship Id="rId21" Type="http://schemas.openxmlformats.org/officeDocument/2006/relationships/hyperlink" Target="http://www.nevo.co.il/law/70301/305" TargetMode="External"/><Relationship Id="rId22" Type="http://schemas.openxmlformats.org/officeDocument/2006/relationships/hyperlink" Target="http://www.nevo.co.il/law/70301/305.1" TargetMode="External"/><Relationship Id="rId23" Type="http://schemas.openxmlformats.org/officeDocument/2006/relationships/hyperlink" Target="http://www.nevo.co.il/law/70301/40ja.8" TargetMode="External"/><Relationship Id="rId24" Type="http://schemas.openxmlformats.org/officeDocument/2006/relationships/hyperlink" Target="http://www.nevo.co.il/law/98568" TargetMode="External"/><Relationship Id="rId25" Type="http://schemas.openxmlformats.org/officeDocument/2006/relationships/hyperlink" Target="http://www.nevo.co.il/law/98568/28.a" TargetMode="External"/><Relationship Id="rId26" Type="http://schemas.openxmlformats.org/officeDocument/2006/relationships/hyperlink" Target="http://www.nevo.co.il/case/26943863" TargetMode="External"/><Relationship Id="rId27" Type="http://schemas.openxmlformats.org/officeDocument/2006/relationships/hyperlink" Target="http://www.nevo.co.il/law/70301/305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244" TargetMode="External"/><Relationship Id="rId30" Type="http://schemas.openxmlformats.org/officeDocument/2006/relationships/hyperlink" Target="http://www.nevo.co.il/law/70301/305" TargetMode="External"/><Relationship Id="rId31" Type="http://schemas.openxmlformats.org/officeDocument/2006/relationships/hyperlink" Target="http://www.nevo.co.il/law/70301/305.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8245314" TargetMode="External"/><Relationship Id="rId34" Type="http://schemas.openxmlformats.org/officeDocument/2006/relationships/hyperlink" Target="http://www.nevo.co.il/safrut/bookgroup/2258" TargetMode="External"/><Relationship Id="rId35" Type="http://schemas.openxmlformats.org/officeDocument/2006/relationships/hyperlink" Target="http://www.nevo.co.il/law/70301/25" TargetMode="External"/><Relationship Id="rId36" Type="http://schemas.openxmlformats.org/officeDocument/2006/relationships/hyperlink" Target="http://www.nevo.co.il/case/25698730" TargetMode="External"/><Relationship Id="rId37" Type="http://schemas.openxmlformats.org/officeDocument/2006/relationships/hyperlink" Target="http://www.nevo.co.il/law/70301/20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0.a.2" TargetMode="External"/><Relationship Id="rId40" Type="http://schemas.openxmlformats.org/officeDocument/2006/relationships/hyperlink" Target="http://www.nevo.co.il/case/1307053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00.a" TargetMode="External"/><Relationship Id="rId43" Type="http://schemas.openxmlformats.org/officeDocument/2006/relationships/hyperlink" Target="http://www.nevo.co.il/case/28920881" TargetMode="External"/><Relationship Id="rId44" Type="http://schemas.openxmlformats.org/officeDocument/2006/relationships/hyperlink" Target="http://www.nevo.co.il/law/70301/305" TargetMode="External"/><Relationship Id="rId45" Type="http://schemas.openxmlformats.org/officeDocument/2006/relationships/hyperlink" Target="http://www.nevo.co.il/safrut/bookgroup/2068" TargetMode="External"/><Relationship Id="rId46" Type="http://schemas.openxmlformats.org/officeDocument/2006/relationships/hyperlink" Target="http://www.nevo.co.il/case/3727375" TargetMode="External"/><Relationship Id="rId47" Type="http://schemas.openxmlformats.org/officeDocument/2006/relationships/hyperlink" Target="http://www.nevo.co.il/case/29709783" TargetMode="External"/><Relationship Id="rId48" Type="http://schemas.openxmlformats.org/officeDocument/2006/relationships/hyperlink" Target="http://www.nevo.co.il/case/5734189" TargetMode="External"/><Relationship Id="rId49" Type="http://schemas.openxmlformats.org/officeDocument/2006/relationships/hyperlink" Target="http://www.nevo.co.il/law/98568/28.a" TargetMode="External"/><Relationship Id="rId50" Type="http://schemas.openxmlformats.org/officeDocument/2006/relationships/hyperlink" Target="http://www.nevo.co.il/law/98568" TargetMode="External"/><Relationship Id="rId51" Type="http://schemas.openxmlformats.org/officeDocument/2006/relationships/hyperlink" Target="http://www.nevo.co.il/case/27925209" TargetMode="External"/><Relationship Id="rId52" Type="http://schemas.openxmlformats.org/officeDocument/2006/relationships/hyperlink" Target="http://www.nevo.co.il/case/3866783" TargetMode="External"/><Relationship Id="rId53" Type="http://schemas.openxmlformats.org/officeDocument/2006/relationships/hyperlink" Target="http://www.nevo.co.il/case/23354214" TargetMode="External"/><Relationship Id="rId54" Type="http://schemas.openxmlformats.org/officeDocument/2006/relationships/hyperlink" Target="http://www.nevo.co.il/safrut/bookgroup/2156" TargetMode="External"/><Relationship Id="rId55" Type="http://schemas.openxmlformats.org/officeDocument/2006/relationships/hyperlink" Target="http://www.nevo.co.il/case/26991449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5573417" TargetMode="External"/><Relationship Id="rId58" Type="http://schemas.openxmlformats.org/officeDocument/2006/relationships/hyperlink" Target="http://www.nevo.co.il/law/70301/40b" TargetMode="External"/><Relationship Id="rId59" Type="http://schemas.openxmlformats.org/officeDocument/2006/relationships/hyperlink" Target="http://www.nevo.co.il/law/70301/301a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40i.a" TargetMode="External"/><Relationship Id="rId62" Type="http://schemas.openxmlformats.org/officeDocument/2006/relationships/hyperlink" Target="http://www.nevo.co.il/law/70301/301a.a" TargetMode="External"/><Relationship Id="rId63" Type="http://schemas.openxmlformats.org/officeDocument/2006/relationships/hyperlink" Target="http://www.nevo.co.il/law/70301/40i.a.1" TargetMode="External"/><Relationship Id="rId64" Type="http://schemas.openxmlformats.org/officeDocument/2006/relationships/hyperlink" Target="http://www.nevo.co.il/law/70301/301a.a.1" TargetMode="External"/><Relationship Id="rId65" Type="http://schemas.openxmlformats.org/officeDocument/2006/relationships/hyperlink" Target="http://www.nevo.co.il/law/70301/301a.a" TargetMode="External"/><Relationship Id="rId66" Type="http://schemas.openxmlformats.org/officeDocument/2006/relationships/hyperlink" Target="http://www.nevo.co.il/case/27418439" TargetMode="External"/><Relationship Id="rId67" Type="http://schemas.openxmlformats.org/officeDocument/2006/relationships/hyperlink" Target="http://www.nevo.co.il/law/70301/34d" TargetMode="External"/><Relationship Id="rId68" Type="http://schemas.openxmlformats.org/officeDocument/2006/relationships/hyperlink" Target="http://www.nevo.co.il/law/70301/301a.a.3" TargetMode="External"/><Relationship Id="rId69" Type="http://schemas.openxmlformats.org/officeDocument/2006/relationships/hyperlink" Target="http://www.nevo.co.il/law/70301/40ja.8" TargetMode="External"/><Relationship Id="rId70" Type="http://schemas.openxmlformats.org/officeDocument/2006/relationships/hyperlink" Target="http://www.nevo.co.il/case/29490938" TargetMode="External"/><Relationship Id="rId71" Type="http://schemas.openxmlformats.org/officeDocument/2006/relationships/hyperlink" Target="https://supreme.court.gov.il/" TargetMode="External"/><Relationship Id="rId72" Type="http://schemas.openxmlformats.org/officeDocument/2006/relationships/hyperlink" Target="http://www.nevo.co.il/advertisements/nevo-100.doc" TargetMode="External"/><Relationship Id="rId73" Type="http://schemas.openxmlformats.org/officeDocument/2006/relationships/header" Target="header1.xml"/><Relationship Id="rId74" Type="http://schemas.openxmlformats.org/officeDocument/2006/relationships/footer" Target="footer1.xml"/><Relationship Id="rId75" Type="http://schemas.openxmlformats.org/officeDocument/2006/relationships/numbering" Target="numbering.xml"/><Relationship Id="rId76" Type="http://schemas.openxmlformats.org/officeDocument/2006/relationships/fontTable" Target="fontTable.xml"/><Relationship Id="rId77" Type="http://schemas.openxmlformats.org/officeDocument/2006/relationships/settings" Target="settings.xml"/><Relationship Id="rId7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2024-07-21T11:47:00Z</dcterms:created>
  <dc:creator>h4</dc:creator>
  <dc:description/>
  <cp:keywords/>
  <dc:language>en-IL</dc:language>
  <cp:lastModifiedBy>hofit</cp:lastModifiedBy>
  <cp:lastPrinted>2024-07-16T07:18:00Z</cp:lastPrinted>
  <dcterms:modified xsi:type="dcterms:W3CDTF">2024-07-21T11:47:00Z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יעקב סטרוג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2258;2156;2068</vt:lpwstr>
  </property>
  <property fmtid="{D5CDD505-2E9C-101B-9397-08002B2CF9AE}" pid="9" name="CASESLISTTMP1">
    <vt:lpwstr>26943863:2;8245314;25698730;13070531;28920881;3727375;29709783;5734189;27925209;3866783;23354214;26991449;5573417;27418439;29490938</vt:lpwstr>
  </property>
  <property fmtid="{D5CDD505-2E9C-101B-9397-08002B2CF9AE}" pid="10" name="CITY">
    <vt:lpwstr/>
  </property>
  <property fmtid="{D5CDD505-2E9C-101B-9397-08002B2CF9AE}" pid="11" name="DATE">
    <vt:lpwstr>20240716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אלרון;א' שטיין;ר' רונן</vt:lpwstr>
  </property>
  <property fmtid="{D5CDD505-2E9C-101B-9397-08002B2CF9AE}" pid="15" name="LAWLISTTMP1">
    <vt:lpwstr>70301/305.1:2;244;305:2;025;020.a;300.a.2;300.a;040b;301a;040i.a;301a.a:2;040i.a.1;301a.a.1;034d;301a.a.3;40ja.8</vt:lpwstr>
  </property>
  <property fmtid="{D5CDD505-2E9C-101B-9397-08002B2CF9AE}" pid="16" name="LAWLISTTMP2">
    <vt:lpwstr>98568/028.a</vt:lpwstr>
  </property>
  <property fmtid="{D5CDD505-2E9C-101B-9397-08002B2CF9AE}" pid="17" name="LAWYER">
    <vt:lpwstr>נגה בן סידי;אבי חימי;משה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דיון פלילי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77;77;18</vt:lpwstr>
  </property>
  <property fmtid="{D5CDD505-2E9C-101B-9397-08002B2CF9AE}" pid="39" name="NOSE21">
    <vt:lpwstr>מחשבה פלילית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ערעור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1436;1446;504</vt:lpwstr>
  </property>
  <property fmtid="{D5CDD505-2E9C-101B-9397-08002B2CF9AE}" pid="50" name="NOSE31">
    <vt:lpwstr>כוונה</vt:lpwstr>
  </property>
  <property fmtid="{D5CDD505-2E9C-101B-9397-08002B2CF9AE}" pid="51" name="NOSE310">
    <vt:lpwstr/>
  </property>
  <property fmtid="{D5CDD505-2E9C-101B-9397-08002B2CF9AE}" pid="52" name="NOSE32">
    <vt:lpwstr>שיקולי ענישה</vt:lpwstr>
  </property>
  <property fmtid="{D5CDD505-2E9C-101B-9397-08002B2CF9AE}" pid="53" name="NOSE33">
    <vt:lpwstr>התערבות במידת העונש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8714;15506;15230</vt:lpwstr>
  </property>
  <property fmtid="{D5CDD505-2E9C-101B-9397-08002B2CF9AE}" pid="61" name="PADIDATE">
    <vt:lpwstr>20240716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6731</vt:lpwstr>
  </property>
  <property fmtid="{D5CDD505-2E9C-101B-9397-08002B2CF9AE}" pid="67" name="PROCYEAR">
    <vt:lpwstr>23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410120240716</vt:lpwstr>
  </property>
  <property fmtid="{D5CDD505-2E9C-101B-9397-08002B2CF9AE}" pid="71" name="TYPE_N_DATE">
    <vt:lpwstr>41020240716</vt:lpwstr>
  </property>
  <property fmtid="{D5CDD505-2E9C-101B-9397-08002B2CF9AE}" pid="72" name="VOLUME">
    <vt:lpwstr/>
  </property>
  <property fmtid="{D5CDD505-2E9C-101B-9397-08002B2CF9AE}" pid="73" name="WORDNUMPAGES">
    <vt:lpwstr>19</vt:lpwstr>
  </property>
</Properties>
</file>