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6767/18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ראשיד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אייה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60126-01-17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6.10.2019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פאדי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חמדאן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עבדאללה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אלרחמאן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348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384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447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16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הסגת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וגניבה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צריך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שתקופת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כולל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שהופעל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קודם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6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FrankRuehl;Times New Roman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16</w:t>
      </w:r>
      <w:r>
        <w:rPr>
          <w:rFonts w:cs="FrankRuehl;Times New Roman"/>
          <w:sz w:val="24"/>
          <w:szCs w:val="26"/>
          <w:rtl w:val="true"/>
        </w:rPr>
        <w:t xml:space="preserve"> (</w:t>
      </w:r>
      <w:r>
        <w:rPr>
          <w:rFonts w:cs="FrankRuehl;Times New Roman"/>
          <w:sz w:val="24"/>
          <w:sz w:val="24"/>
          <w:szCs w:val="26"/>
          <w:rtl w:val="true"/>
        </w:rPr>
        <w:t>להלן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FrankRuehl;Times New Roman"/>
          <w:sz w:val="24"/>
          <w:szCs w:val="26"/>
          <w:rtl w:val="true"/>
        </w:rPr>
        <w:t xml:space="preserve">), </w:t>
      </w:r>
      <w:r>
        <w:rPr>
          <w:rFonts w:cs="FrankRuehl;Times New Roman"/>
          <w:sz w:val="24"/>
          <w:sz w:val="24"/>
          <w:szCs w:val="26"/>
          <w:rtl w:val="true"/>
        </w:rPr>
        <w:t>הסגת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וגניבה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6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6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שבמצטבר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יארך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6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9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כספי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50,000</w:t>
      </w:r>
      <w:r>
        <w:rPr>
          <w:rFonts w:cs="FrankRuehl;Times New Roman"/>
          <w:sz w:val="24"/>
          <w:szCs w:val="26"/>
          <w:rtl w:val="true"/>
        </w:rPr>
        <w:t xml:space="preserve"> ₪.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סולברג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ובהסכמת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מזוז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ואלרון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כמותם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להפריז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האכזריות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המשתקפת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מתיאור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הסגת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וכניסה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בחשאי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הרשאה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הטלת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קטינה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חוזרים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ובמשפחתה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בשפה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ואלימה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מסכת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ארוכה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במתלוננת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התעלמות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מתחינותיה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ומצוקתה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סיפוק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המיניים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ריסון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רתיעה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למתלוננת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הגדיל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לעשות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שגרר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לחיפושים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הטלפון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הנייד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ולבסוף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גנב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הטלפון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הנייד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השפעת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אלכוהול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וסמים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לזכותו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לנזקים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למתלוננת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בכבודה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ובגופה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בתחושת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הביטחון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משפחתה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348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 xml:space="preserve">- 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המרבי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המחוקק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המבטאת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ביותר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מגונה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8-5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צריך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מתמצים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בגניבה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ובהסגת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גבול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המתחם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השתלבותו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שיקומיות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הסוהר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המתוקן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להודאה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שניתנה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נאלצו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הסלמה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בהתנהלותו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תמצה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בבואה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לעונש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ולהציבו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לפיכך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תקופת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הכוללת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כולל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הועמדה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נותרו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בעינם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bookmarkStart w:id="15" w:name="Start_Write"/>
      <w:bookmarkEnd w:id="15"/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מרכז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לוד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8.8.2018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ת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60126-01-17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מרשק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המשיב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ראשיד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הבאים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שבכללם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ת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42107-12-13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שחרורו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שחרורו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14.1.2017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04:35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בפתח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האחורית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ואלכוהול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משנתה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לדבר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אוהב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רוצה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לזיין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יהרוג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יוציא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הנשק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בתולה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הכוונה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לעשות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משהו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ולסיים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איתו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למיטתה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תחתוניו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בחדר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ושפשף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בידיו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לשפשף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בידיה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ומשסירבה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רוצה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אהרוג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שלך</w:t>
      </w:r>
      <w:r>
        <w:rPr>
          <w:rFonts w:cs="Miriam" w:ascii="Century" w:hAnsi="Century"/>
          <w:b/>
          <w:rtl w:val="true"/>
        </w:rPr>
        <w:t>?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המיטה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השמיכה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שבאמצעותה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עיניה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</w:t>
      </w:r>
      <w:r>
        <w:rPr>
          <w:rFonts w:ascii="Century" w:hAnsi="Century" w:cs="FrankRuehl;Times New Roman"/>
          <w:spacing w:val="10"/>
          <w:szCs w:val="28"/>
          <w:rtl w:val="true"/>
        </w:rPr>
        <w:t>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ותחתוניה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לכאבים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לפורקן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מיררה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בבכי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התחננה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שיפסיק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כיווצה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גופה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בפחד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ובמשפחתה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פתק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הכניסוֹ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למגירה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שגוי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לכתוב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כדברו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לחפשוֹ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ברחבי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פתוחה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בפעם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ייגמר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טוב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מסוים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06:09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לחדר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מהבית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הסתתר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החדר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החדר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הארון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גנב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מהבית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טיעון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21.12.2017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הבאות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9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10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ז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1977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hyperlink r:id="rId13"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הסגת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447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384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הטראומטי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סבל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נפשיים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חרדות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</w:t>
      </w:r>
      <w:r>
        <w:rPr>
          <w:rFonts w:ascii="Century" w:hAnsi="Century" w:cs="FrankRuehl;Times New Roman"/>
          <w:spacing w:val="10"/>
          <w:szCs w:val="28"/>
          <w:rtl w:val="true"/>
        </w:rPr>
        <w:t>רדמות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סיוטים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ואופפת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תמידית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השגרתיים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השתנה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המתואר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הישגיה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בלימודים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ירדו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ההשתתפות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בפעילויות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חברתיות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פלפל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מתרחקת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וחוששת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בהמשך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אזרח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סודן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להתמודדות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קשייו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בתשלום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בעייתיות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אובייקטים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לסיפוק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צרכיו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המיני</w:t>
      </w:r>
      <w:r>
        <w:rPr>
          <w:rFonts w:ascii="Century" w:hAnsi="Century" w:cs="FrankRuehl;Times New Roman"/>
          <w:spacing w:val="10"/>
          <w:szCs w:val="28"/>
          <w:rtl w:val="true"/>
        </w:rPr>
        <w:t>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לקטינות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לגמילה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וסמים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יעודי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מינית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תיווך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מסוכנים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שוטר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גופה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כבודה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ותומתה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המוגנות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התכנוני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מובהק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ניצל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כושר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השפעת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סמים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ואלכוהול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דחפיו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איומיו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שסירבה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לזכותו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לבסוף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8-5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המתחם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נאלצו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קבוצתית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בשקלול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הממוקם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באמצע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המתחם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שבמצטבר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יארך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נוספים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שלפנינו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הדגישה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עסקינן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אכזרית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הקטינה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Cs w:val="28"/>
          <w:rtl w:val="true"/>
        </w:rPr>
        <w:t>חוף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המבטחים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הודגש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ההתעללות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תחינותיה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בחיפוש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חריגות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יותר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</w:t>
      </w:r>
      <w:r>
        <w:rPr>
          <w:rFonts w:ascii="Century" w:hAnsi="Century" w:cs="FrankRuehl;Times New Roman"/>
          <w:spacing w:val="10"/>
          <w:szCs w:val="28"/>
          <w:rtl w:val="true"/>
        </w:rPr>
        <w:t>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בהסגת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הסגת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הגבול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בהסגת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וטענה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דומים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2.10.2019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ומסבירם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כאובדן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וסמים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למפגשים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הראשונים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המפגשים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ירידה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השתתפותו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הפעילה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ההתמכרויות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6.10.2019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מגונה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</w:t>
      </w:r>
      <w:r>
        <w:rPr>
          <w:rFonts w:ascii="Century" w:hAnsi="Century" w:cs="FrankRuehl;Times New Roman"/>
          <w:spacing w:val="10"/>
          <w:szCs w:val="28"/>
          <w:rtl w:val="true"/>
        </w:rPr>
        <w:t>רדמות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סיוטים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חברתיים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חרדה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תמידית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מצדיק</w:t>
      </w:r>
      <w:r>
        <w:rPr>
          <w:rFonts w:ascii="Century" w:hAnsi="Century" w:cs="FrankRuehl;Times New Roman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המקסימלי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מנגד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הסוהר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בכלליות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קונקרטיות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לגישתה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דנן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יותר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ענפה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לעיוננו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מאפייניו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זכאי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לביקורים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חופשות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דה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פקטו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מעונשם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אסירים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הזכאים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לחופשות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10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בחנתי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ושקלתי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להתקבל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אמנם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כידוע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hyperlink r:id="rId1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3124/18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Cs w:val="28"/>
        </w:rPr>
        <w:t>14.8.2019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כמותם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שהגישה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סיוטו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הורה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כטיוטת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תסריט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להפריז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האכזריות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המשתקפת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Cs w:val="28"/>
          <w:rtl w:val="true"/>
        </w:rPr>
        <w:t>הסגת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הרשאה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חוזרים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ונשנים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ובמשפחתה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ואלימה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התעללות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התעלמות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מתחינותיה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ומצוקתה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המיניים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היסוס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ריסון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רתיעה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לעשות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שגרר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לחיפושים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גנב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לזכותו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ובגופה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הרסנית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משפחתה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ביתם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מבצרם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hyperlink r:id="rId18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המרבי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המבטאת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ביותר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מגונה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לשכנענו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בגישתו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להחמרה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דומני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וזא</w:t>
      </w:r>
      <w:r>
        <w:rPr>
          <w:rFonts w:ascii="Century" w:hAnsi="Century" w:cs="FrankRuehl;Times New Roman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מתמצים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ובהסגת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גבול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13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המתחם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השתלבותו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שיקומיות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הסוהר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לקוות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לשיקום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מהמסגרות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הטיפוליות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התמכרותו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וסמים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נאלצו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ומעיק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</w:t>
      </w:r>
      <w:r>
        <w:rPr>
          <w:rFonts w:ascii="Century" w:hAnsi="Century" w:cs="FrankRuehl;Times New Roman"/>
          <w:spacing w:val="10"/>
          <w:szCs w:val="28"/>
          <w:rtl w:val="true"/>
        </w:rPr>
        <w:t>א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נחיצותו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הסלמה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בהתנהלותו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למעשים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החמורים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שביצע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ולהציבו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בעינם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7.10.2019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18067670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54678313-6767/18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10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6767/18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ראשיד אייה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5.b.4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47.a.1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5.b.1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/345.b.4" TargetMode="External"/><Relationship Id="rId14" Type="http://schemas.openxmlformats.org/officeDocument/2006/relationships/hyperlink" Target="http://www.nevo.co.il/law/70301/447.a.1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case/24140670" TargetMode="External"/><Relationship Id="rId18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2019-10-15T09:30:00Z</dcterms:created>
  <dc:creator>h4</dc:creator>
  <dc:description/>
  <cp:keywords/>
  <dc:language>en-IL</dc:language>
  <cp:lastModifiedBy>orly</cp:lastModifiedBy>
  <cp:lastPrinted>2019-10-07T16:17:00Z</cp:lastPrinted>
  <dcterms:modified xsi:type="dcterms:W3CDTF">2019-10-15T09:30:00Z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ראשיד אייה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24140670</vt:lpwstr>
  </property>
  <property fmtid="{D5CDD505-2E9C-101B-9397-08002B2CF9AE}" pid="9" name="CITY">
    <vt:lpwstr/>
  </property>
  <property fmtid="{D5CDD505-2E9C-101B-9397-08002B2CF9AE}" pid="10" name="DATE">
    <vt:lpwstr>20191007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מזוז;י' אלרון</vt:lpwstr>
  </property>
  <property fmtid="{D5CDD505-2E9C-101B-9397-08002B2CF9AE}" pid="14" name="LAWLISTTMP1">
    <vt:lpwstr>70301/348.b:3;345.b.1;345.a.1;345.b.4;447.a.1;384</vt:lpwstr>
  </property>
  <property fmtid="{D5CDD505-2E9C-101B-9397-08002B2CF9AE}" pid="15" name="LAWYER">
    <vt:lpwstr>פאדי חמדאן;עילית מידן;ברכה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מתחם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16970;8982;8995;14985</vt:lpwstr>
  </property>
  <property fmtid="{D5CDD505-2E9C-101B-9397-08002B2CF9AE}" pid="59" name="PADIDATE">
    <vt:lpwstr>20191015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6767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410120191007</vt:lpwstr>
  </property>
  <property fmtid="{D5CDD505-2E9C-101B-9397-08002B2CF9AE}" pid="69" name="TYPE_N_DATE">
    <vt:lpwstr>41020191007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