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6807/17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מרכז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  <w:rtl w:val="true"/>
              </w:rPr>
              <w:t>(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פינקלשטיין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ברודי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אמיר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)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51824-06-16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20.7.2017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28.03.2018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מנדלמן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שלומציון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ABSTRACT_START"/>
      <w:bookmarkStart w:id="7" w:name="LawTable"/>
      <w:bookmarkStart w:id="8" w:name="ABSTRACT_START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LawTable_End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מהשתייכותו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המצומצם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מהשתייכותו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המצומצם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גחמותיו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</w:r>
      <w:bookmarkStart w:id="15" w:name="_GoBack"/>
      <w:bookmarkStart w:id="16" w:name="Start_Write"/>
      <w:bookmarkStart w:id="17" w:name="_GoBack"/>
      <w:bookmarkStart w:id="18" w:name="Start_Write"/>
      <w:bookmarkEnd w:id="17"/>
      <w:bookmarkEnd w:id="18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פינקלשטיין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אמיר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1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51824-06-16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20.7.2017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160,000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הבנות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color w:val="7030A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בצמידות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ולצפות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2014-2012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העצמאות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מונחת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ומישש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2014-2005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נוראיים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גירושין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ס</w:t>
      </w:r>
      <w:r>
        <w:rPr>
          <w:rFonts w:cs="Miriam"/>
          <w:sz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03:00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גופהּ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הפשיט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ממכנסיה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ושפשף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נצמדה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וחיבקה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לזוז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וחיבק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נאנח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ומלמל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מאהבה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אוהב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2016-2015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חיבוק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חיבקה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כדבריו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במכנסיה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ההתרחשות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בגופהּ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והמתינה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בשירותים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מתרחק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4-1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המפורטות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המועדפת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מבנותיו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שעזב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אוהב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החמישי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color w:val="7030A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חזהּ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ומישש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color w:val="7030A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סליחתה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7030A0"/>
          <w:spacing w:val="10"/>
          <w:sz w:val="22"/>
          <w:szCs w:val="28"/>
        </w:rPr>
      </w:pPr>
      <w:r>
        <w:rPr>
          <w:rFonts w:cs="FrankRuehl" w:ascii="Arial TUR" w:hAnsi="Arial TUR"/>
          <w:color w:val="7030A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2014-2012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בשמיכה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ושפשף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שהזיזה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שתחליט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שמתקרבות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והבטיח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10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ביום </w:t>
      </w:r>
      <w:r>
        <w:rPr>
          <w:rFonts w:cs="Franklin Gothic Medium" w:ascii="Franklin Gothic Medium" w:hAnsi="Franklin Gothic Medium"/>
          <w:sz w:val="28"/>
        </w:rPr>
        <w:t>29.12.2016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הורשע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המערער</w:t>
      </w:r>
      <w:r>
        <w:rPr>
          <w:rFonts w:cs="Franklin Gothic Medium" w:ascii="Franklin Gothic Medium" w:hAnsi="Franklin Gothic Medium"/>
          <w:sz w:val="28"/>
          <w:rtl w:val="true"/>
        </w:rPr>
        <w:t>,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על פי הודאתו במסגרת הסדר טיעון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בעבירות של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מעשה מגונה בקטינה שטרם מלאו לה </w:t>
      </w:r>
      <w:r>
        <w:rPr>
          <w:rFonts w:cs="Franklin Gothic Medium" w:ascii="Franklin Gothic Medium" w:hAnsi="Franklin Gothic Medium"/>
          <w:sz w:val="28"/>
        </w:rPr>
        <w:t>14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שנים והיא בת משפחתו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לפי </w:t>
      </w:r>
      <w:hyperlink r:id="rId11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351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ג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1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</w:t>
      </w:r>
      <w:hyperlink r:id="rId12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התשל</w:t>
      </w:r>
      <w:r>
        <w:rPr>
          <w:rFonts w:cs="Franklin Gothic Medium" w:ascii="Franklin Gothic Medium" w:hAnsi="Franklin Gothic Medium"/>
          <w:sz w:val="28"/>
          <w:rtl w:val="true"/>
        </w:rPr>
        <w:t>"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ז</w:t>
      </w:r>
      <w:r>
        <w:rPr>
          <w:rFonts w:cs="Franklin Gothic Medium" w:ascii="Franklin Gothic Medium" w:hAnsi="Franklin Gothic Medium"/>
          <w:sz w:val="28"/>
          <w:rtl w:val="true"/>
        </w:rPr>
        <w:t>-</w:t>
      </w:r>
      <w:r>
        <w:rPr>
          <w:rFonts w:cs="Franklin Gothic Medium" w:ascii="Franklin Gothic Medium" w:hAnsi="Franklin Gothic Medium"/>
          <w:sz w:val="28"/>
        </w:rPr>
        <w:t>1977</w:t>
      </w:r>
      <w:r>
        <w:rPr>
          <w:rFonts w:cs="Franklin Gothic Medium" w:ascii="Franklin Gothic Medium" w:hAnsi="Franklin Gothic Medium"/>
          <w:sz w:val="28"/>
          <w:rtl w:val="true"/>
        </w:rPr>
        <w:t xml:space="preserve"> 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להלן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Franklin Gothic Medium" w:ascii="Franklin Gothic Medium" w:hAnsi="Franklin Gothic Medium"/>
          <w:sz w:val="28"/>
          <w:rtl w:val="true"/>
        </w:rPr>
        <w:t>)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ביחד עם </w:t>
      </w:r>
      <w:hyperlink r:id="rId13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345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</w:t>
      </w:r>
      <w:r>
        <w:rPr>
          <w:rFonts w:cs="Franklin Gothic Medium" w:ascii="Franklin Gothic Medium" w:hAnsi="Franklin Gothic Medium"/>
          <w:sz w:val="28"/>
          <w:rtl w:val="true"/>
        </w:rPr>
        <w:t>-</w:t>
      </w:r>
      <w:hyperlink r:id="rId14"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348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לחוק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וכן בעבירות של אינוס קטינה שטרם מלאו לה </w:t>
      </w:r>
      <w:r>
        <w:rPr>
          <w:rFonts w:cs="Franklin Gothic Medium" w:ascii="Franklin Gothic Medium" w:hAnsi="Franklin Gothic Medium"/>
          <w:sz w:val="28"/>
        </w:rPr>
        <w:t>14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שנים והיא בת משפחתו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לפי </w:t>
      </w:r>
      <w:hyperlink r:id="rId15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351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ג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1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ביחד עם </w:t>
      </w:r>
      <w:hyperlink r:id="rId16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345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3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לחוק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יתקבל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לשישה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דחפיו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זוהה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המדרבנת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שגדלו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והתחנכו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החרדית</w:t>
      </w:r>
      <w:r>
        <w:rPr>
          <w:rtl w:val="true"/>
        </w:rPr>
        <w:t xml:space="preserve">, </w:t>
      </w:r>
      <w:r>
        <w:rPr>
          <w:rtl w:val="true"/>
        </w:rPr>
        <w:t>נחשפו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rtl w:val="true"/>
        </w:rPr>
        <w:t>לחוויית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המתעצמת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בט</w:t>
      </w:r>
      <w:r>
        <w:rPr>
          <w:rtl w:val="true"/>
        </w:rPr>
        <w:t xml:space="preserve">'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בשינה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תזדקק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והחדירו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15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בגזר דינו עמד בית משפט קמא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על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תרגום מידת הפגיעה בערך המוגן למתחם ענישה קונקרטי עמד בית משפט קמא על מדיניות הענישה הנוהגת ועל נסיבות ביצועה של העבירה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באשר למדיניות הענישה הנוהגת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סקר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בית משפט קמא שורת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גזרי דין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הקרובים בנסיבותיהם למקרה דנן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ועמד על העונשים אשר הושתו במסגרתם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באשר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לנסיבות הקשורות בביצוע העבירות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עמד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בית משפט קמא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על העובדה שהמערער ניצל את גילן הצעיר של בנותיו ואת היותן נתונות למרותו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כמו גם על התמשכותם של המעשים לאורך שנים ועל הנזקים המשמעותיים שנגרמו לבנות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כעולה מתסקיר נפגעות העבירה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17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בנסיבות האמורות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קבע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בית משפט קמא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את מתחמי הענישה ההולמים לעבירות שבהן הורשע המערער כלהלן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: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ביחס למכלול העבירות שבוצעו בט</w:t>
      </w:r>
      <w:r>
        <w:rPr>
          <w:rFonts w:cs="Franklin Gothic Medium" w:ascii="Franklin Gothic Medium" w:hAnsi="Franklin Gothic Medium"/>
          <w:sz w:val="28"/>
          <w:rtl w:val="true"/>
        </w:rPr>
        <w:t xml:space="preserve">', </w:t>
      </w:r>
      <w:r>
        <w:rPr>
          <w:rFonts w:cs="Franklin Gothic Medium" w:ascii="Franklin Gothic Medium" w:hAnsi="Franklin Gothic Medium"/>
          <w:sz w:val="28"/>
        </w:rPr>
        <w:t>10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עד </w:t>
      </w:r>
      <w:r>
        <w:rPr>
          <w:rFonts w:cs="Franklin Gothic Medium" w:ascii="Franklin Gothic Medium" w:hAnsi="Franklin Gothic Medium"/>
          <w:sz w:val="28"/>
        </w:rPr>
        <w:t>16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שנות מאסר</w:t>
      </w:r>
      <w:r>
        <w:rPr>
          <w:rFonts w:cs="Franklin Gothic Medium" w:ascii="Franklin Gothic Medium" w:hAnsi="Franklin Gothic Medium"/>
          <w:sz w:val="28"/>
          <w:rtl w:val="true"/>
        </w:rPr>
        <w:t>;</w:t>
      </w:r>
      <w:r>
        <w:rPr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ביחס לעבירות שבוצעו בי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', </w:t>
      </w:r>
      <w:r>
        <w:rPr>
          <w:rFonts w:cs="Franklin Gothic Medium" w:ascii="Franklin Gothic Medium" w:hAnsi="Franklin Gothic Medium"/>
          <w:sz w:val="28"/>
        </w:rPr>
        <w:t>3.5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עד </w:t>
      </w:r>
      <w:r>
        <w:rPr>
          <w:rFonts w:cs="Franklin Gothic Medium" w:ascii="Franklin Gothic Medium" w:hAnsi="Franklin Gothic Medium"/>
          <w:sz w:val="28"/>
        </w:rPr>
        <w:t>5.5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שנות מאסר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ביחס לעבירה שבוצעה בת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',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שנתיים עד </w:t>
      </w:r>
      <w:r>
        <w:rPr>
          <w:rFonts w:cs="Franklin Gothic Medium" w:ascii="Franklin Gothic Medium" w:hAnsi="Franklin Gothic Medium"/>
          <w:sz w:val="28"/>
        </w:rPr>
        <w:t>3.5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שנות מאסר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18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בעת גזירת עונשו של המערער שקל בית המשפט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כשיקולים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לקולא</w:t>
      </w:r>
      <w:r>
        <w:rPr>
          <w:rFonts w:cs="Franklin Gothic Medium" w:ascii="Franklin Gothic Medium" w:hAnsi="Franklin Gothic Medium"/>
          <w:sz w:val="28"/>
          <w:rtl w:val="true"/>
        </w:rPr>
        <w:t>,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את הודאתו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המיידית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של 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מערער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במיוחס לו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tl w:val="true"/>
        </w:rPr>
        <w:t>אשר יתרה את הצורך בעדותן של המתלוננות</w:t>
      </w:r>
      <w:r>
        <w:rPr>
          <w:rtl w:val="true"/>
        </w:rPr>
        <w:t>;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היעדרו של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עבר פלילי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את הערכת שירות המבחן שלפיה ההליך הפלילי נושא אופי מרתיע עבור המערער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וכן את נכונותו להשתלב במסגרת טיפולית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20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7-6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2010-2011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המשתקפת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להירתם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בהשלכותיהם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קורבניות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אמביוולנטית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להשתלבותו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מניפולטיבי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נרקיסיסטיים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דימויו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והגברי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מסוכנותו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כבינונית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22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המשיבה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מנגד</w:t>
      </w:r>
      <w:r>
        <w:rPr>
          <w:rFonts w:cs="Franklin Gothic Medium" w:ascii="Franklin Gothic Medium" w:hAnsi="Franklin Gothic Medium"/>
          <w:sz w:val="28"/>
          <w:rtl w:val="true"/>
        </w:rPr>
        <w:t>,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סבורה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כי יש לדחות את הערעור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במסגרת זו עומדת המשיבה על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חומרת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ם היתרה של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המעשים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בדגש על ניצול יחסי התלות והאמון ששררו בין המערער לבנותיו כדי לספק את יצרו המיני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בנוסף מפנה המשיבה לתסקיר המשלים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אשר ממנו עולה כי גם בעת הזאת המערער אינו נוטל אחריות למעשיו ואינו מגלה אמפתיה כלפי הבנות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וכן לתסקיר נפגעות העבירה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אשר מציג תמונת נזק קשה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המחייב טיפול אינטנסיבי וארוך טווח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לבסוף מדגישה המשיבה כי בית משפט קמא נתן משקל הולם להודאתו של המערער במסגרת גזר דינו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ובייחוד לאור הסתייגויותיו מטיבה של ההודאה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כמפורט בגזר הדין ובפסקה </w:t>
      </w:r>
      <w:r>
        <w:rPr>
          <w:rFonts w:cs="Franklin Gothic Medium" w:ascii="Franklin Gothic Medium" w:hAnsi="Franklin Gothic Medium"/>
          <w:sz w:val="28"/>
        </w:rPr>
        <w:t>18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לעיל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b/>
          <w:spacing w:val="0"/>
          <w:sz w:val="28"/>
          <w:szCs w:val="24"/>
        </w:rPr>
      </w:pPr>
      <w:r>
        <w:rPr>
          <w:rFonts w:cs="Miriam" w:ascii="Times New Roman" w:hAnsi="Times New Roman"/>
          <w:b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23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לאחר עיון בגזר דינו של בית משפט קמא ולאחר שמיעת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</w:t>
      </w:r>
      <w:r>
        <w:rPr>
          <w:rFonts w:cs="Franklin Gothic Medium" w:ascii="Franklin Gothic Medium" w:hAnsi="Franklin Gothic Medium"/>
          <w:sz w:val="28"/>
          <w:rtl w:val="true"/>
        </w:rPr>
        <w:t>"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הצדדים לפנינו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הגענו לכלל מסקנה כי דין הערעור להידחות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ומותן</w:t>
      </w:r>
      <w:r>
        <w:rPr>
          <w:rtl w:val="true"/>
        </w:rPr>
        <w:t xml:space="preserve">", </w:t>
      </w:r>
      <w:r>
        <w:rPr>
          <w:rtl w:val="true"/>
        </w:rPr>
        <w:t>וחזקה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עתה ניגש לדון ביתר הטענות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25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הלכה היא כי ערכאת הערעור אינה מתערבת בחומרת העונש שנקבעה על ידי הערכאה הדיונית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זולת בנסיבות חריגות שבהן נפלה על פני הדברים טעות מהותית ובולטת בגזר הדין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או שעה שהעונש שהוטל חורג באופן קיצוני מהענישה המקובלת במקרים דומים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וראו למשל </w:t>
      </w:r>
      <w:hyperlink r:id="rId17">
        <w:r>
          <w:rPr>
            <w:rStyle w:val="Hyperlink"/>
            <w:rFonts w:ascii="Franklin Gothic Medium" w:hAnsi="Franklin Gothic Medium" w:cs="Franklin Gothic Medium"/>
            <w:b/>
            <w:b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b/>
            <w:color w:val="0000FF"/>
            <w:sz w:val="28"/>
            <w:u w:val="single"/>
          </w:rPr>
          <w:t>9821/16</w:t>
        </w:r>
      </w:hyperlink>
      <w:r>
        <w:rPr>
          <w:rFonts w:cs="Franklin Gothic Medium" w:ascii="Franklin Gothic Medium" w:hAnsi="Franklin Gothic Medium"/>
          <w:b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פסקה </w:t>
      </w:r>
      <w:r>
        <w:rPr>
          <w:rFonts w:cs="Franklin Gothic Medium" w:ascii="Franklin Gothic Medium" w:hAnsi="Franklin Gothic Medium"/>
          <w:sz w:val="28"/>
        </w:rPr>
        <w:t>10</w:t>
      </w:r>
      <w:r>
        <w:rPr>
          <w:rFonts w:cs="Franklin Gothic Medium" w:ascii="Franklin Gothic Medium" w:hAnsi="Franklin Gothic Medium"/>
          <w:sz w:val="28"/>
          <w:rtl w:val="true"/>
        </w:rPr>
        <w:t xml:space="preserve"> (</w:t>
      </w:r>
      <w:r>
        <w:rPr>
          <w:rFonts w:cs="Franklin Gothic Medium" w:ascii="Franklin Gothic Medium" w:hAnsi="Franklin Gothic Medium"/>
          <w:sz w:val="28"/>
        </w:rPr>
        <w:t>30.11.2017</w:t>
      </w:r>
      <w:r>
        <w:rPr>
          <w:rFonts w:cs="Franklin Gothic Medium" w:ascii="Franklin Gothic Medium" w:hAnsi="Franklin Gothic Medium"/>
          <w:sz w:val="28"/>
          <w:rtl w:val="true"/>
        </w:rPr>
        <w:t xml:space="preserve">)).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עניינו של המערער אינו נמנה עם אותם המקרים החריגים המצדיקים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התערבות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 של ערכאת הערעור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מהשתייכותו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הקטגורית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9058/16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7.3.2018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גחמותיו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 xml:space="preserve">בית משפט זה </w:t>
      </w:r>
      <w:r>
        <w:rPr>
          <w:rtl w:val="true"/>
        </w:rPr>
        <w:t xml:space="preserve">עומד באופן עקבי </w:t>
      </w:r>
      <w:r>
        <w:rPr>
          <w:rtl w:val="true"/>
        </w:rPr>
        <w:t xml:space="preserve">על הצורך בענישה משמעותית בגין עבירות מין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גרמסיון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23.6.2013</w:t>
      </w:r>
      <w:r>
        <w:rPr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>ובייחוד מקום בו העבירות הובילו לתוצאות קשות עבור הנפגעות</w:t>
      </w:r>
      <w:r>
        <w:rPr>
          <w:rtl w:val="true"/>
        </w:rPr>
        <w:t xml:space="preserve">, </w:t>
      </w:r>
      <w:r>
        <w:rPr>
          <w:rtl w:val="true"/>
        </w:rPr>
        <w:t xml:space="preserve">כבענייננו </w:t>
      </w:r>
      <w:r>
        <w:rPr>
          <w:rFonts w:cs="Times New Roman" w:ascii="Times New Roman" w:hAnsi="Times New Roman"/>
          <w:spacing w:val="0"/>
          <w:sz w:val="28"/>
          <w:rtl w:val="true"/>
        </w:rPr>
        <w:t>(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: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pacing w:val="0"/>
            <w:sz w:val="28"/>
            <w:u w:val="single"/>
          </w:rPr>
          <w:t>2341/18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pacing w:val="0"/>
          <w:sz w:val="28"/>
        </w:rPr>
        <w:t>16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 </w:t>
      </w:r>
      <w:r>
        <w:rPr>
          <w:rtl w:val="true"/>
        </w:rPr>
        <w:t>(</w:t>
      </w:r>
      <w:r>
        <w:rPr>
          <w:rFonts w:cs="Batang;바탕" w:ascii="Batang;바탕" w:hAnsi="Batang;바탕"/>
          <w:rtl w:val="true"/>
        </w:rPr>
        <w:t>‏</w:t>
      </w:r>
      <w:r>
        <w:rPr/>
        <w:t>27.3.2018</w:t>
      </w:r>
      <w:r>
        <w:rPr>
          <w:rtl w:val="true"/>
        </w:rPr>
        <w:t>)</w:t>
      </w:r>
      <w:r>
        <w:rPr>
          <w:rFonts w:cs="Times New Roman" w:ascii="Times New Roman" w:hAnsi="Times New Roman"/>
          <w:spacing w:val="0"/>
          <w:sz w:val="28"/>
          <w:rtl w:val="true"/>
        </w:rPr>
        <w:t>.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28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בהינתן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חומרתם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האמורה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של מעשי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המערער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וכן לנוכח שורת פסקי הדין שסקר בית משפט קמא בבואו לקבוע את מתחם העונש ההולם בנסיבות העניין ושהביאו בפנינו הצדדים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ראו והשוו </w:t>
      </w:r>
      <w:hyperlink r:id="rId21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9058/16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cs="Franklin Gothic Medium" w:ascii="Franklin Gothic Medium" w:hAnsi="Franklin Gothic Medium"/>
          <w:sz w:val="28"/>
        </w:rPr>
        <w:t>7.3.2018</w:t>
      </w:r>
      <w:r>
        <w:rPr>
          <w:rFonts w:cs="Franklin Gothic Medium" w:ascii="Franklin Gothic Medium" w:hAnsi="Franklin Gothic Medium"/>
          <w:sz w:val="28"/>
          <w:rtl w:val="true"/>
        </w:rPr>
        <w:t xml:space="preserve">); </w:t>
      </w:r>
      <w:hyperlink r:id="rId22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2599/16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cs="Franklin Gothic Medium" w:ascii="Franklin Gothic Medium" w:hAnsi="Franklin Gothic Medium"/>
          <w:sz w:val="28"/>
        </w:rPr>
        <w:t>14.1.2018</w:t>
      </w:r>
      <w:r>
        <w:rPr>
          <w:rFonts w:cs="Franklin Gothic Medium" w:ascii="Franklin Gothic Medium" w:hAnsi="Franklin Gothic Medium"/>
          <w:sz w:val="28"/>
          <w:rtl w:val="true"/>
        </w:rPr>
        <w:t xml:space="preserve">)),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מצאנו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כי מתחם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הענישה שנקבע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סוט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לחומר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מן הענישה המקובלת בנסיבות דומות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באופן אשר מצדיק את התערבותנו בשיקול הדעת המסור לערכאה הדיונית בעניין זה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וראו </w:t>
      </w:r>
      <w:hyperlink r:id="rId23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6716/16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ותד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cs="Franklin Gothic Medium" w:ascii="Franklin Gothic Medium" w:hAnsi="Franklin Gothic Medium"/>
          <w:sz w:val="28"/>
        </w:rPr>
        <w:t>14.6.2017</w:t>
      </w:r>
      <w:r>
        <w:rPr>
          <w:rFonts w:cs="Franklin Gothic Medium" w:ascii="Franklin Gothic Medium" w:hAnsi="Franklin Gothic Medium"/>
          <w:sz w:val="28"/>
          <w:rtl w:val="true"/>
        </w:rPr>
        <w:t>))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29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בנוסף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איננו סבורים כי נסיבות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יו האישיות של המערער מצדיקות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התערבות ב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אופן שבו גזר בית משפט קמא את דינו של המערער בתוך המתחם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בעת גזירת דינו בבית משפט קמא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אנו רואים צורך להתערב במשקל שניתן 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אנו סבורים כי בנסיבות העניין קיימים טעמים כבדי משקל אף לענישה מחמירה יותר משגזר בית משפט קמא על המערער בפועל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וזאת לנוכח </w:t>
      </w:r>
      <w:r>
        <w:rPr>
          <w:rFonts w:ascii="Century" w:hAnsi="Century" w:cs="Century"/>
          <w:rtl w:val="true"/>
        </w:rPr>
        <w:t>הנסיגה בעומקה של נטילת האחריות מצד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העולה מהתסקיר המשלים שהוגש לעיוננו ומתבטאת בכך שהמערער מסרב לה</w:t>
      </w:r>
      <w:r>
        <w:rPr>
          <w:rFonts w:ascii="Century" w:hAnsi="Century" w:cs="Century"/>
          <w:rtl w:val="true"/>
        </w:rPr>
        <w:t xml:space="preserve">כיר בחומרת המעשים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בהשלכותיהם על בנותיו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ייתכן שלהודאתו של המערער יוחס משקל עודף</w:t>
      </w:r>
      <w:r>
        <w:rPr>
          <w:rFonts w:cs="Century" w:ascii="Century" w:hAnsi="Century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על כך יש להוסיף את האמור בתסקירי המבחן השליליים שניתנו בעניינו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את הערכת המרכז למסוכנות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ולפיו גם כיום נשקפת מהמערער מסוכנות ממשית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וכן את היעדר לקיחת אחריות מצד המערער על מעשיו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דבר שמתבטא בבחירתו להטיל את האחריות על גרושתו ועל בנותיו ובהימנעותו מלשלם את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הפיצוי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שנפסק בבית משפט קמא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לשיטתנו</w:t>
      </w:r>
      <w:r>
        <w:rPr>
          <w:rFonts w:cs="Franklin Gothic Medium" w:ascii="Franklin Gothic Medium" w:hAnsi="Franklin Gothic Medium"/>
          <w:sz w:val="28"/>
          <w:rtl w:val="true"/>
        </w:rPr>
        <w:t>,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גזר דינו של בית משפט קמא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מגלם איזון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ראוי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דיו בין כלל השיקולים המנויים במסגרת </w:t>
      </w:r>
      <w:hyperlink r:id="rId24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40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יא</w:t>
        </w:r>
      </w:hyperlink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ל</w:t>
      </w:r>
      <w:hyperlink r:id="rId25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והראויים להישקל בנסיבות העניין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ובמסגרת זו ניכרת </w:t>
      </w:r>
      <w:r>
        <w:rPr>
          <w:rFonts w:ascii="Arial TUR" w:hAnsi="Arial TUR" w:cs="Arial TUR"/>
          <w:sz w:val="22"/>
          <w:sz w:val="22"/>
          <w:rtl w:val="true"/>
        </w:rPr>
        <w:t>הלימה למול חומרת המעשים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מידת אשמו של המערער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ושיקולי הרתעת המערער והרתעת הרבים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אשר בבסיסן מונחת החובה להגן על שלומם הפיזי והנפשי של קטינים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בהיותם חסרי ישע</w:t>
      </w:r>
      <w:r>
        <w:rPr>
          <w:rFonts w:cs="Arial TUR" w:ascii="Arial TUR" w:hAnsi="Arial TUR"/>
          <w:sz w:val="22"/>
          <w:rtl w:val="true"/>
        </w:rPr>
        <w:t xml:space="preserve">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משכך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איננו רואים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מקום 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התערב בו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מהענקת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4"/>
          <w:szCs w:val="20"/>
        </w:rPr>
      </w:pPr>
      <w:r>
        <w:rPr>
          <w:rFonts w:cs="FrankRuehl" w:ascii="Century" w:hAnsi="Century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Segoe UI Symbol"/>
          <w:spacing w:val="10"/>
          <w:sz w:val="14"/>
          <w:szCs w:val="20"/>
          <w:lang w:eastAsia="ko-KR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‏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24.4.2018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Segoe UI Symbol"/>
          <w:color w:val="FFFFFF"/>
          <w:spacing w:val="10"/>
          <w:sz w:val="2"/>
          <w:szCs w:val="2"/>
          <w:lang w:eastAsia="ko-KR"/>
        </w:rPr>
      </w:pPr>
      <w:r>
        <w:rPr>
          <w:rFonts w:cs="Segoe UI Symbol" w:ascii="Century" w:hAnsi="Century"/>
          <w:color w:val="FFFFFF"/>
          <w:spacing w:val="10"/>
          <w:sz w:val="2"/>
          <w:szCs w:val="2"/>
          <w:lang w:eastAsia="ko-KR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start="1776"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 w:val="30"/>
          <w:szCs w:val="26"/>
        </w:rPr>
      </w:pPr>
      <w:r>
        <w:rPr>
          <w:sz w:val="30"/>
          <w:szCs w:val="26"/>
          <w:rtl w:val="true"/>
        </w:rPr>
      </w:r>
    </w:p>
    <w:p>
      <w:pPr>
        <w:pStyle w:val="Normal"/>
        <w:ind w:end="0"/>
        <w:jc w:val="start"/>
        <w:rPr>
          <w:sz w:val="32"/>
          <w:szCs w:val="28"/>
        </w:rPr>
      </w:pPr>
      <w:r>
        <w:rPr>
          <w:sz w:val="32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17068070</w:t>
      </w:r>
      <w:r>
        <w:rPr>
          <w:sz w:val="16"/>
          <w:rtl w:val="true"/>
        </w:rPr>
        <w:t>_</w:t>
      </w:r>
      <w:r>
        <w:rPr>
          <w:sz w:val="16"/>
        </w:rPr>
        <w:t>J04.doc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54678313-6807/17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Franklin Gothic Medium">
    <w:charset w:val="00" w:characterSet="windows-1252"/>
    <w:family w:val="swiss"/>
    <w:pitch w:val="variable"/>
  </w:font>
  <w:font w:name="Batang">
    <w:altName w:val="바탕"/>
    <w:charset w:val="81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6807/17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left" w:pos="360" w:leader="none"/>
        <w:tab w:val="left" w:pos="800" w:leader="none"/>
      </w:tabs>
      <w:ind w:hanging="0" w:start="0" w:end="0"/>
      <w:jc w:val="both"/>
    </w:pPr>
    <w:rPr>
      <w:rFonts w:ascii="Garamond" w:hAnsi="Garamond" w:eastAsia="Batang;바탕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423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351.c.1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042329" TargetMode="External"/><Relationship Id="rId11" Type="http://schemas.openxmlformats.org/officeDocument/2006/relationships/hyperlink" Target="http://www.nevo.co.il/law/70301/351.c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/348.a" TargetMode="External"/><Relationship Id="rId15" Type="http://schemas.openxmlformats.org/officeDocument/2006/relationships/hyperlink" Target="http://www.nevo.co.il/law/70301/351.c.1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case/23506710" TargetMode="External"/><Relationship Id="rId18" Type="http://schemas.openxmlformats.org/officeDocument/2006/relationships/hyperlink" Target="http://www.nevo.co.il/case/23613030" TargetMode="External"/><Relationship Id="rId19" Type="http://schemas.openxmlformats.org/officeDocument/2006/relationships/hyperlink" Target="http://www.nevo.co.il/case/5573456" TargetMode="External"/><Relationship Id="rId20" Type="http://schemas.openxmlformats.org/officeDocument/2006/relationships/hyperlink" Target="http://www.nevo.co.il/case/23824841" TargetMode="External"/><Relationship Id="rId21" Type="http://schemas.openxmlformats.org/officeDocument/2006/relationships/hyperlink" Target="http://www.nevo.co.il/case/23613030" TargetMode="External"/><Relationship Id="rId22" Type="http://schemas.openxmlformats.org/officeDocument/2006/relationships/hyperlink" Target="http://www.nevo.co.il/case/21478620" TargetMode="External"/><Relationship Id="rId23" Type="http://schemas.openxmlformats.org/officeDocument/2006/relationships/hyperlink" Target="http://www.nevo.co.il/case/21478686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2018-05-21T14:49:00Z</dcterms:created>
  <dc:creator> </dc:creator>
  <dc:description/>
  <cp:keywords/>
  <dc:language>en-IL</dc:language>
  <cp:lastModifiedBy>orly</cp:lastModifiedBy>
  <cp:lastPrinted>2018-04-22T11:37:00Z</cp:lastPrinted>
  <dcterms:modified xsi:type="dcterms:W3CDTF">2018-05-21T14:49:00Z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22042329:2;23613030:2;5573456;23824841;21478620;21478686</vt:lpwstr>
  </property>
  <property fmtid="{D5CDD505-2E9C-101B-9397-08002B2CF9AE}" pid="9" name="CITY">
    <vt:lpwstr/>
  </property>
  <property fmtid="{D5CDD505-2E9C-101B-9397-08002B2CF9AE}" pid="10" name="DATE">
    <vt:lpwstr>20180424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אלרון;ח' מלצר</vt:lpwstr>
  </property>
  <property fmtid="{D5CDD505-2E9C-101B-9397-08002B2CF9AE}" pid="14" name="LAWLISTTMP1">
    <vt:lpwstr>70301/40ja;351.c.1:2;345.a.3:2;348.a</vt:lpwstr>
  </property>
  <property fmtid="{D5CDD505-2E9C-101B-9397-08002B2CF9AE}" pid="15" name="LAWYER">
    <vt:lpwstr>מורן פולמן;מנדלמן שלומציון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עבירות מין במשפחה</vt:lpwstr>
  </property>
  <property fmtid="{D5CDD505-2E9C-101B-9397-08002B2CF9AE}" pid="52" name="NOSE34">
    <vt:lpwstr>הבניית שיקול הדעת השיפוטי בענישה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17039;16970;16241;15573</vt:lpwstr>
  </property>
  <property fmtid="{D5CDD505-2E9C-101B-9397-08002B2CF9AE}" pid="59" name="PADIDATE">
    <vt:lpwstr>20180425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6807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410120180424</vt:lpwstr>
  </property>
  <property fmtid="{D5CDD505-2E9C-101B-9397-08002B2CF9AE}" pid="69" name="TYPE_N_DATE">
    <vt:lpwstr>41020180424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