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bookmarkStart w:id="0" w:name="Start_Writ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6812/16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2"/>
          <w:szCs w:val="8"/>
        </w:rPr>
      </w:pPr>
      <w:r>
        <w:rPr>
          <w:sz w:val="2"/>
          <w:szCs w:val="8"/>
          <w:rtl w:val="true"/>
        </w:rPr>
      </w:r>
    </w:p>
    <w:p>
      <w:pPr>
        <w:pStyle w:val="Ruller31"/>
        <w:spacing w:lineRule="auto" w:line="240"/>
        <w:ind w:end="0"/>
        <w:jc w:val="start"/>
        <w:rPr>
          <w:sz w:val="2"/>
          <w:szCs w:val="8"/>
        </w:rPr>
      </w:pPr>
      <w:r>
        <w:rPr>
          <w:sz w:val="2"/>
          <w:szCs w:val="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2"/>
          <w:szCs w:val="8"/>
        </w:rPr>
      </w:pPr>
      <w:r>
        <w:rPr>
          <w:sz w:val="2"/>
          <w:szCs w:val="8"/>
          <w:rtl w:val="true"/>
        </w:rPr>
      </w:r>
    </w:p>
    <w:p>
      <w:pPr>
        <w:pStyle w:val="Ruller31"/>
        <w:spacing w:lineRule="auto" w:line="240"/>
        <w:ind w:end="0"/>
        <w:jc w:val="start"/>
        <w:rPr>
          <w:sz w:val="2"/>
          <w:szCs w:val="8"/>
        </w:rPr>
      </w:pPr>
      <w:r>
        <w:rPr>
          <w:sz w:val="2"/>
          <w:szCs w:val="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5-2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פלונים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044748-02-15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18.5.2016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13.07.2016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סוקול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נתנאל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שרון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23.07.2018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אסיף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קזולה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פנדו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5-2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30"/>
          <w:szCs w:val="36"/>
        </w:rPr>
      </w:pPr>
      <w:r>
        <w:rPr>
          <w:sz w:val="30"/>
          <w:szCs w:val="36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428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452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קטטה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שנתפתח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מתוכננת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בודדת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`</w:t>
      </w:r>
      <w:r>
        <w:rPr>
          <w:rFonts w:cs="FrankRuehl"/>
          <w:sz w:val="24"/>
          <w:sz w:val="24"/>
          <w:szCs w:val="26"/>
          <w:rtl w:val="true"/>
        </w:rPr>
        <w:t>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>`‏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לחילופין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ולמצער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לחפוף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</w:t>
      </w:r>
      <w:r>
        <w:rPr>
          <w:rFonts w:cs="FrankRuehl"/>
          <w:sz w:val="24"/>
          <w:szCs w:val="26"/>
          <w:rtl w:val="true"/>
        </w:rPr>
        <w:t>/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הצביעו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קטטה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שנתפתח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הצטיידות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להופעתו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והימצאותו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ועוצמתה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נעיצת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הטבעיות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בודדת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ובתנופה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הפתולוגי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בגוף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זגזגו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בהודעותיהם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בחזהו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ומיקומה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ותוצאתה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והשלכת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ובמהלכו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יודעים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כברווז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מגעגע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כברווז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כברווז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ברווז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שהברווז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מכריז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כברווז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והתנהגותם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ובקיצור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מהרחקת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וההתארגנות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וההמתנה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אוחז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וכמוהו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ממרחק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להבטיח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התממשות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כשיכורים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במכוניתם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ונמהר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לסיום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נקמת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מנהגים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מודרנית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ומתוקנת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cs="FrankRuehl"/>
          <w:sz w:val="30"/>
          <w:szCs w:val="36"/>
        </w:rPr>
      </w:pPr>
      <w:r>
        <w:rPr>
          <w:rFonts w:cs="FrankRuehl"/>
          <w:sz w:val="30"/>
          <w:szCs w:val="3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0"/>
          <w:szCs w:val="26"/>
          <w:u w:val="single"/>
        </w:rPr>
      </w:pPr>
      <w:r>
        <w:rPr>
          <w:rFonts w:cs="Miriam"/>
          <w:sz w:val="20"/>
          <w:szCs w:val="26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בהתאם להחלטות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לפרסם כל פרט מזהה על המערערים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בני משפחתם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כל פרט מזהה בנוגע למקום היישוב בו התרחשו האירועים  מושא פסק דין זה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השמות להלן בדויים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tl w:val="true"/>
        </w:rPr>
        <w:t xml:space="preserve">, </w:t>
      </w:r>
      <w:r>
        <w:rPr>
          <w:rtl w:val="true"/>
        </w:rPr>
        <w:t>הנרצח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tl w:val="true"/>
        </w:rPr>
        <w:t xml:space="preserve">)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ומתגוררים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'. </w:t>
      </w: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mc:AlternateContent>
          <mc:Choice Requires="wpg">
            <w:drawing>
              <wp:anchor behindDoc="0" distT="45720" distB="45720" distL="114935" distR="114935" simplePos="0" locked="0" layoutInCell="0" allowOverlap="1" relativeHeight="30">
                <wp:simplePos x="0" y="0"/>
                <wp:positionH relativeFrom="page">
                  <wp:posOffset>2135505</wp:posOffset>
                </wp:positionH>
                <wp:positionV relativeFrom="paragraph">
                  <wp:posOffset>1447800</wp:posOffset>
                </wp:positionV>
                <wp:extent cx="5904230" cy="2392045"/>
                <wp:effectExtent l="6985" t="6350" r="6985" b="762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360" cy="2392200"/>
                          <a:chOff x="0" y="0"/>
                          <a:chExt cx="5904360" cy="239220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3945960" y="55260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ברין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3" name=""/>
                        <wps:cNvSpPr/>
                        <wps:spPr>
                          <a:xfrm>
                            <a:off x="3105720" y="56880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האני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4" name=""/>
                        <wps:cNvSpPr/>
                        <wps:spPr>
                          <a:xfrm>
                            <a:off x="1651680" y="56880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סלים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5" name=""/>
                        <wps:cNvSpPr/>
                        <wps:spPr>
                          <a:xfrm>
                            <a:off x="807120" y="56880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??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6" name=""/>
                        <wps:cNvSpPr/>
                        <wps:spPr>
                          <a:xfrm>
                            <a:off x="5094720" y="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חליל</w:t>
                              </w:r>
                            </w:p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kern w:val="2"/>
                                  <w:rFonts w:cs="Arial Unicode MS" w:eastAsia="Songti SC" w:ascii="Liberation Serif" w:hAnsi="Liberation Serif"/>
                                  <w:lang w:bidi="hi-IN" w:val="en-IL"/>
                                </w:rPr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7" name=""/>
                        <wps:cNvSpPr/>
                        <wps:spPr>
                          <a:xfrm>
                            <a:off x="5088960" y="72324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סאמיה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8" name=""/>
                        <wps:cNvSpPr/>
                        <wps:spPr>
                          <a:xfrm>
                            <a:off x="2796480" y="179892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נדים</w:t>
                              </w:r>
                            </w:p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2"/>
                                  <w:szCs w:val="20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(נאשם 2)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9" name=""/>
                        <wps:cNvSpPr/>
                        <wps:spPr>
                          <a:xfrm>
                            <a:off x="3600360" y="179208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וסאל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10" name=""/>
                        <wps:cNvSpPr/>
                        <wps:spPr>
                          <a:xfrm>
                            <a:off x="4391640" y="179208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השאם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11" name=""/>
                        <wps:cNvSpPr/>
                        <wps:spPr>
                          <a:xfrm>
                            <a:off x="5195520" y="177624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נרמין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12" name=""/>
                        <wps:cNvSpPr/>
                        <wps:spPr>
                          <a:xfrm>
                            <a:off x="1652760" y="178956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מהדי</w:t>
                              </w:r>
                            </w:p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2"/>
                                  <w:szCs w:val="20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(נאשם 1)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13" name=""/>
                        <wps:cNvSpPr/>
                        <wps:spPr>
                          <a:xfrm>
                            <a:off x="826200" y="178956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שרבל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14" name=""/>
                        <wps:cNvSpPr/>
                        <wps:spPr>
                          <a:xfrm>
                            <a:off x="0" y="1789560"/>
                            <a:ext cx="708840" cy="59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4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מרסיל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-4739760" y="848160"/>
                            <a:ext cx="125640" cy="18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7033320" y="848160"/>
                            <a:ext cx="125640" cy="18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4676760" y="848880"/>
                            <a:ext cx="1440" cy="9432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5422320" y="1512360"/>
                            <a:ext cx="2440080" cy="18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2983320" y="1505520"/>
                            <a:ext cx="1800" cy="27036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3815640" y="1514520"/>
                            <a:ext cx="1440" cy="2772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5422320" y="1514520"/>
                            <a:ext cx="1800" cy="2772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8207280" y="1512360"/>
                            <a:ext cx="1702800" cy="18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6967800" y="858240"/>
                            <a:ext cx="1440" cy="65772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6507000" y="1505520"/>
                            <a:ext cx="1800" cy="2772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7401600" y="1505520"/>
                            <a:ext cx="1800" cy="2772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8207280" y="1512360"/>
                            <a:ext cx="1440" cy="2772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>
                            <a:off x="-3900960" y="308520"/>
                            <a:ext cx="434880" cy="37764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3900240" y="858240"/>
                            <a:ext cx="446760" cy="22716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3444120" y="2100960"/>
                            <a:ext cx="85320" cy="18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4241880" y="2100960"/>
                            <a:ext cx="85680" cy="18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5045040" y="2100960"/>
                            <a:ext cx="85320" cy="18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7020000" y="2100960"/>
                            <a:ext cx="118440" cy="18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7846560" y="2100960"/>
                            <a:ext cx="118440" cy="18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-6192000" y="848160"/>
                            <a:ext cx="731880" cy="1800"/>
                          </a:xfrm>
                          <a:prstGeom prst="straightConnector1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472840" y="622440"/>
                            <a:ext cx="404640" cy="289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bidi w:val="1"/>
                                <w:ind w:start="0" w:end="0" w:hanging="0"/>
                                <w:jc w:val="end"/>
                                <w:rPr/>
                              </w:pPr>
                              <w:r>
                                <w:rPr>
                                  <w:kern w:val="2"/>
                                  <w:sz w:val="8"/>
                                  <w:szCs w:val="16"/>
                                  <w:rFonts w:ascii="Times New Roman" w:hAnsi="Times New Roman" w:eastAsia="Times New Roman" w:cs="David"/>
                                  <w:color w:val="auto"/>
                                  <w:lang w:val="en-US" w:bidi="he-IL"/>
                                </w:rPr>
                                <w:t>אחים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8.15pt;margin-top:114pt;width:464.9pt;height:188.35pt" coordorigin="3363,2280" coordsize="9298,3767">
                <v:roundrect id="shape_0" fillcolor="white" stroked="t" o:allowincell="f" style="position:absolute;left:9577;top:3150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ברין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8254;top:3176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האני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5964;top:3176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סלים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4634;top:3176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??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11386;top:2280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חליל</w:t>
                        </w:r>
                      </w:p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rFonts w:cs="Arial Unicode MS" w:eastAsia="Songti SC" w:ascii="Liberation Serif" w:hAnsi="Liberation Serif"/>
                            <w:lang w:bidi="hi-IN" w:val="en-IL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11377;top:3419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סאמיה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7767;top:5113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2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נדים</w:t>
                        </w:r>
                      </w:p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12"/>
                            <w:szCs w:val="20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(נאשם 2)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9033;top:5102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וסאל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10279;top:5102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השאם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11545;top:5077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נרמין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5966;top:5098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2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מהדי</w:t>
                        </w:r>
                      </w:p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12"/>
                            <w:szCs w:val="20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(נאשם 1)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4664;top:5098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שרבל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roundrect id="shape_0" fillcolor="white" stroked="t" o:allowincell="f" style="position:absolute;left:3363;top:5098;width:1115;height:93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4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מרסיל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oundrect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o:allowincell="f" style="position:absolute;left:-4101;top:3616;width:197;height:2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7713;top:3616;width:197;height:2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4002;top:3617;width:1;height:1484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5176;top:4662;width:3842;height:2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1335;top:4651;width:2;height:425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2646;top:4665;width:1;height:436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5176;top:4665;width:2;height:436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9562;top:4662;width:2681;height:2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7610;top:3632;width:1;height:1035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6884;top:4651;width:2;height:436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8293;top:4651;width:2;height:436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9562;top:4662;width:1;height:436;mso-position-horizontal-relative:page" type="_x0000_t32">
                  <v:stroke color="black" weight="12600" joinstyle="miter" endcap="flat"/>
                  <v:fill o:detectmouseclick="t" on="false"/>
                  <w10:wrap type="square"/>
                </v:shape>
                <v:shape id="shape_0" stroked="t" o:allowincell="f" style="position:absolute;left:-2780;top:2766;width:684;height:593;flip:y;mso-position-horizontal-relative:page" type="_x0000_t32">
                  <v:stroke color="black" weight="12600" dashstyle="dash" joinstyle="miter" endcap="flat"/>
                  <v:fill o:detectmouseclick="t" on="false"/>
                  <w10:wrap type="square"/>
                </v:shape>
                <v:shape id="shape_0" stroked="t" o:allowincell="f" style="position:absolute;left:-2779;top:3632;width:703;height:357;mso-position-horizontal-relative:page" type="_x0000_t32">
                  <v:stroke color="black" weight="12600" dashstyle="dash" joinstyle="miter" endcap="flat"/>
                  <v:fill o:detectmouseclick="t" on="false"/>
                  <w10:wrap type="square"/>
                </v:shape>
                <v:shape id="shape_0" stroked="t" o:allowincell="f" style="position:absolute;left:-2061;top:5589;width:133;height:2;mso-position-horizontal-relative:page" type="_x0000_t32">
                  <v:stroke color="black" weight="12600" dashstyle="dash" joinstyle="miter" endcap="flat"/>
                  <v:fill o:detectmouseclick="t" on="false"/>
                  <w10:wrap type="square"/>
                </v:shape>
                <v:shape id="shape_0" stroked="t" o:allowincell="f" style="position:absolute;left:-3317;top:5589;width:134;height:2;mso-position-horizontal-relative:page" type="_x0000_t32">
                  <v:stroke color="black" weight="12600" dashstyle="dash" joinstyle="miter" endcap="flat"/>
                  <v:fill o:detectmouseclick="t" on="false"/>
                  <w10:wrap type="square"/>
                </v:shape>
                <v:shape id="shape_0" stroked="t" o:allowincell="f" style="position:absolute;left:-4582;top:5589;width:133;height:2;mso-position-horizontal-relative:page" type="_x0000_t32">
                  <v:stroke color="black" weight="12600" dashstyle="dash" joinstyle="miter" endcap="flat"/>
                  <v:fill o:detectmouseclick="t" on="false"/>
                  <w10:wrap type="square"/>
                </v:shape>
                <v:shape id="shape_0" stroked="t" o:allowincell="f" style="position:absolute;left:-7692;top:5589;width:186;height:2;mso-position-horizontal-relative:page" type="_x0000_t32">
                  <v:stroke color="black" weight="12600" dashstyle="dash" joinstyle="miter" endcap="flat"/>
                  <v:fill o:detectmouseclick="t" on="false"/>
                  <w10:wrap type="square"/>
                </v:shape>
                <v:shape id="shape_0" stroked="t" o:allowincell="f" style="position:absolute;left:-8994;top:5589;width:186;height:2;mso-position-horizontal-relative:page" type="_x0000_t32">
                  <v:stroke color="black" weight="12600" dashstyle="dash" joinstyle="miter" endcap="flat"/>
                  <v:fill o:detectmouseclick="t" on="false"/>
                  <w10:wrap type="square"/>
                </v:shape>
                <v:shape id="shape_0" stroked="t" o:allowincell="f" style="position:absolute;left:-6388;top:3616;width:1152;height:2;mso-position-horizontal-relative:page" type="_x0000_t32">
                  <v:stroke color="black" weight="12600" dashstyle="dash" joinstyle="miter" endcap="flat"/>
                  <v:fill o:detectmouseclick="t" on="false"/>
                  <w10:wrap type="squar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7257;top:3260;width:636;height:455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sz w:val="8"/>
                            <w:szCs w:val="16"/>
                            <w:rFonts w:ascii="Times New Roman" w:hAnsi="Times New Roman" w:eastAsia="Times New Roman" w:cs="David"/>
                            <w:color w:val="auto"/>
                            <w:lang w:val="en-US" w:bidi="he-IL"/>
                          </w:rPr>
                          <w:t>אחים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tl w:val="true"/>
        </w:rPr>
        <w:t xml:space="preserve">, </w:t>
      </w:r>
      <w:r>
        <w:rPr>
          <w:rtl w:val="true"/>
        </w:rPr>
        <w:t>נציג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 </w:t>
      </w:r>
      <w:r>
        <w:rPr>
          <w:rtl w:val="true"/>
        </w:rPr>
        <w:t>בנפרד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page">
                  <wp:posOffset>-559435</wp:posOffset>
                </wp:positionH>
                <wp:positionV relativeFrom="paragraph">
                  <wp:posOffset>1320800</wp:posOffset>
                </wp:positionV>
                <wp:extent cx="1270" cy="1270"/>
                <wp:effectExtent l="3810" t="3810" r="3810" b="381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89.65pt;margin-top:104pt;width:0.05pt;height:0.05pt;mso-position-horizontal-relative:page" type="_x0000_t32">
                <v:stroke color="black" weight="9360" joinstyle="miter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page">
                  <wp:posOffset>-559435</wp:posOffset>
                </wp:positionH>
                <wp:positionV relativeFrom="paragraph">
                  <wp:posOffset>1320800</wp:posOffset>
                </wp:positionV>
                <wp:extent cx="1270" cy="1270"/>
                <wp:effectExtent l="3810" t="3810" r="3810" b="381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89.65pt;margin-top:104pt;width:0.05pt;height:0.05pt;mso-position-horizontal-relative:page" type="_x0000_t32">
                <v:stroke color="black" weight="9360" joinstyle="miter" endcap="flat"/>
                <v:fill o:detectmouseclick="t" on="false"/>
                <w10:wrap type="none"/>
              </v:shape>
            </w:pict>
          </mc:Fallback>
        </mc:AlternateConten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25.1.2015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שרבל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לישוב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והבחין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צימר</w:t>
      </w:r>
      <w:r>
        <w:rPr>
          <w:rtl w:val="true"/>
        </w:rPr>
        <w:t xml:space="preserve">. </w:t>
      </w:r>
      <w:r>
        <w:rPr>
          <w:rtl w:val="true"/>
        </w:rPr>
        <w:t>שרבל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מהצימר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רוחות</w:t>
      </w:r>
      <w:r>
        <w:rPr>
          <w:rtl w:val="true"/>
        </w:rPr>
        <w:t xml:space="preserve">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שרבל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ומרסיל</w:t>
      </w:r>
      <w:r>
        <w:rPr>
          <w:rtl w:val="true"/>
        </w:rPr>
        <w:t xml:space="preserve">) </w:t>
      </w:r>
      <w:r>
        <w:rPr>
          <w:rtl w:val="true"/>
        </w:rPr>
        <w:t>ואמו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[</w:t>
      </w:r>
      <w:r>
        <w:rPr>
          <w:rtl w:val="true"/>
        </w:rPr>
        <w:t>במאמר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לקורא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tl w:val="true"/>
        </w:rPr>
        <w:t xml:space="preserve">, </w:t>
      </w:r>
      <w:r>
        <w:rPr>
          <w:rtl w:val="true"/>
        </w:rPr>
        <w:t>נספר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וסאל</w:t>
      </w:r>
      <w:r>
        <w:rPr>
          <w:rtl w:val="true"/>
        </w:rPr>
        <w:t xml:space="preserve">,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tl w:val="true"/>
        </w:rPr>
        <w:t xml:space="preserve">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לוסאל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זונה</w:t>
      </w:r>
      <w:r>
        <w:rPr>
          <w:rtl w:val="true"/>
        </w:rPr>
        <w:t>?"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60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189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tl w:val="true"/>
        </w:rPr>
        <w:t xml:space="preserve">.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',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ולהסתלק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ומהדי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tl w:val="true"/>
        </w:rPr>
        <w:t xml:space="preserve">),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שתוארה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ששוחטים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וההשתוללות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ומהדי</w:t>
      </w:r>
      <w:r>
        <w:rPr>
          <w:rtl w:val="true"/>
        </w:rPr>
        <w:t xml:space="preserve">,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וסאל</w:t>
      </w:r>
      <w:r>
        <w:rPr>
          <w:rtl w:val="true"/>
        </w:rPr>
        <w:t xml:space="preserve">, </w:t>
      </w:r>
      <w:r>
        <w:rPr>
          <w:rtl w:val="true"/>
        </w:rPr>
        <w:t>השאם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ונרמין</w:t>
      </w:r>
      <w:r>
        <w:rPr>
          <w:rtl w:val="true"/>
        </w:rPr>
        <w:t xml:space="preserve">, </w:t>
      </w:r>
      <w:r>
        <w:rPr>
          <w:rtl w:val="true"/>
        </w:rPr>
        <w:t>ונסעה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לבטחונה</w:t>
      </w:r>
      <w:r>
        <w:rPr>
          <w:rtl w:val="true"/>
        </w:rPr>
        <w:t>-</w:t>
      </w:r>
      <w:r>
        <w:rPr>
          <w:rtl w:val="true"/>
        </w:rPr>
        <w:t>שלה</w:t>
      </w:r>
      <w:r>
        <w:rPr>
          <w:rtl w:val="true"/>
        </w:rPr>
        <w:t>: "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tl w:val="true"/>
        </w:rPr>
        <w:t xml:space="preserve">".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ומסבירה</w:t>
      </w:r>
      <w:r>
        <w:rPr>
          <w:rtl w:val="true"/>
        </w:rPr>
        <w:t>: "</w:t>
      </w:r>
      <w:r>
        <w:rPr>
          <w:rtl w:val="true"/>
        </w:rPr>
        <w:t>הילד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...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), </w:t>
      </w:r>
      <w:r>
        <w:rPr>
          <w:rtl w:val="true"/>
        </w:rPr>
        <w:t>והבן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שברו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...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...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</w:t>
      </w:r>
      <w:r>
        <w:rPr>
          <w:rtl w:val="true"/>
        </w:rPr>
        <w:t xml:space="preserve">...".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22:45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' 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" </w:t>
      </w:r>
      <w:r>
        <w:rPr>
          <w:rtl w:val="true"/>
        </w:rPr>
        <w:t>וסגרו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להמתין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(</w:t>
      </w:r>
      <w:r>
        <w:rPr>
          <w:rtl w:val="true"/>
        </w:rPr>
        <w:t>מזכר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[</w:t>
      </w:r>
      <w:r>
        <w:rPr>
          <w:rtl w:val="true"/>
        </w:rPr>
        <w:t>במאמר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: </w:t>
      </w:r>
      <w:r>
        <w:rPr>
          <w:rtl w:val="true"/>
        </w:rPr>
        <w:t>אליף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המתנדבים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משגב</w:t>
      </w:r>
      <w:r>
        <w:rPr>
          <w:rtl w:val="true"/>
        </w:rPr>
        <w:t xml:space="preserve">, </w:t>
      </w:r>
      <w:r>
        <w:rPr>
          <w:rtl w:val="true"/>
        </w:rPr>
        <w:t>ששוחח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)].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התארגנו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ונסעו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החנו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והמתינו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מהמכונית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לעיניים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פסע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כשהתקרבו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הניף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קילל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</w:t>
      </w:r>
      <w:r>
        <w:rPr>
          <w:rtl w:val="true"/>
        </w:rPr>
        <w:t xml:space="preserve">.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שבשעה</w:t>
      </w:r>
      <w:r>
        <w:rPr>
          <w:rFonts w:eastAsia="Arial TUR;Arial" w:cs="Arial TUR;Arial"/>
          <w:rtl w:val="true"/>
        </w:rPr>
        <w:t xml:space="preserve"> </w:t>
      </w:r>
      <w:r>
        <w:rPr/>
        <w:t>01:54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מהרצח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לחיפה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סמיר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וביעילות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הציבה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מחסומים</w:t>
      </w:r>
      <w:r>
        <w:rPr>
          <w:rtl w:val="true"/>
        </w:rPr>
        <w:t xml:space="preserve">, </w:t>
      </w:r>
      <w:r>
        <w:rPr>
          <w:rtl w:val="true"/>
        </w:rPr>
        <w:t>שבאחד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מחיפה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אופניו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alibri" w:hAnsi="Calibri" w:cs="Calibri"/>
          <w:rtl w:val="true"/>
        </w:rPr>
        <w:t>אפילו לא היינו משתכנעים כי בלב הנאשמים גמלה ההחלטה להמית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שניתן היה להסיק את קיומה של ההחלטה גם תוך שימוש ב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חזקת הכוונה</w:t>
      </w:r>
      <w:r>
        <w:rPr>
          <w:rFonts w:cs="Calibri" w:ascii="Calibri" w:hAnsi="Calibri"/>
          <w:rtl w:val="true"/>
        </w:rPr>
        <w:t>'".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האותנטית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לכוונתם</w:t>
      </w:r>
      <w:r>
        <w:rPr>
          <w:rtl w:val="true"/>
        </w:rPr>
        <w:t xml:space="preserve">, </w:t>
      </w:r>
      <w:r>
        <w:rPr>
          <w:rtl w:val="true"/>
        </w:rPr>
        <w:t>וליתר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הקללה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שהפטיר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כפר</w:t>
      </w:r>
      <w:r>
        <w:rPr>
          <w:rtl w:val="true"/>
        </w:rPr>
        <w:t xml:space="preserve">" </w:t>
      </w:r>
      <w:r>
        <w:rPr>
          <w:rtl w:val="true"/>
        </w:rPr>
        <w:t>בערבית</w:t>
      </w:r>
      <w:r>
        <w:rPr>
          <w:rtl w:val="true"/>
        </w:rPr>
        <w:t xml:space="preserve">)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לחוקריהם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האותנטי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והקוהרנטי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בבכי</w:t>
      </w:r>
      <w:r>
        <w:rPr>
          <w:rtl w:val="true"/>
        </w:rPr>
        <w:t xml:space="preserve">. 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חילופין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ולמיצער</w:t>
      </w:r>
      <w:r>
        <w:rPr>
          <w:rtl w:val="true"/>
        </w:rPr>
        <w:t xml:space="preserve">, </w:t>
      </w:r>
      <w:r>
        <w:rPr>
          <w:rtl w:val="true"/>
        </w:rPr>
        <w:t>לחפוף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tl w:val="true"/>
        </w:rPr>
        <w:t xml:space="preserve">, </w:t>
      </w:r>
      <w:r>
        <w:rPr>
          <w:rtl w:val="true"/>
        </w:rPr>
        <w:t>ומהדי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sz w:val="20"/>
          <w:szCs w:val="26"/>
        </w:rPr>
        <w:t>M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' 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)" (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tl w:val="true"/>
        </w:rPr>
        <w:t xml:space="preserve">").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סאמיה</w:t>
      </w:r>
      <w:r>
        <w:rPr>
          <w:rtl w:val="true"/>
        </w:rPr>
        <w:t xml:space="preserve">,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ירצח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וסאמיה</w:t>
      </w:r>
      <w:r>
        <w:rPr>
          <w:rtl w:val="true"/>
        </w:rPr>
        <w:t xml:space="preserve">, </w:t>
      </w:r>
      <w:r>
        <w:rPr>
          <w:rtl w:val="true"/>
        </w:rPr>
        <w:t>ודחה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ואיימו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והצהרה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וכעת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ההכנה</w:t>
      </w:r>
      <w:r>
        <w:rPr>
          <w:rtl w:val="true"/>
        </w:rPr>
        <w:t xml:space="preserve">: </w:t>
      </w:r>
      <w:r>
        <w:rPr>
          <w:rtl w:val="true"/>
        </w:rPr>
        <w:t>נחזור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השתוללו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חליל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שישרוף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קצבים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". </w:t>
      </w:r>
      <w:r>
        <w:rPr>
          <w:rtl w:val="true"/>
        </w:rPr>
        <w:t>וסאל</w:t>
      </w:r>
      <w:r>
        <w:rPr>
          <w:rtl w:val="true"/>
        </w:rPr>
        <w:t xml:space="preserve">,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tl w:val="true"/>
        </w:rPr>
        <w:t xml:space="preserve">, </w:t>
      </w:r>
      <w:r>
        <w:rPr>
          <w:rtl w:val="true"/>
        </w:rPr>
        <w:t>וכלתו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ששוחטים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כבשים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השתוללו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ודקרה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 </w:t>
      </w:r>
      <w:r>
        <w:rPr>
          <w:rtl w:val="true"/>
        </w:rPr>
        <w:t>הימצאותו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הספורט</w:t>
      </w:r>
      <w:r>
        <w:rPr>
          <w:rtl w:val="true"/>
        </w:rPr>
        <w:t xml:space="preserve">, </w:t>
      </w:r>
      <w:r>
        <w:rPr>
          <w:rtl w:val="true"/>
        </w:rPr>
        <w:t>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מהתחנה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פניהם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בחולצה</w:t>
      </w:r>
      <w:r>
        <w:rPr>
          <w:rtl w:val="true"/>
        </w:rPr>
        <w:t xml:space="preserve">, </w:t>
      </w:r>
      <w:r>
        <w:rPr>
          <w:rtl w:val="true"/>
        </w:rPr>
        <w:t>ומהדי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בשחזור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משתופפים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משהזכרנו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ומאחיזת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מטה</w:t>
      </w:r>
      <w:r>
        <w:rPr>
          <w:rtl w:val="true"/>
        </w:rPr>
        <w:t xml:space="preserve">. </w:t>
      </w:r>
      <w:r>
        <w:rPr>
          <w:rtl w:val="true"/>
        </w:rPr>
        <w:t>נדים</w:t>
      </w:r>
      <w:r>
        <w:rPr>
          <w:rtl w:val="true"/>
        </w:rPr>
        <w:t xml:space="preserve">, </w:t>
      </w:r>
      <w:r>
        <w:rPr>
          <w:rtl w:val="true"/>
        </w:rPr>
        <w:t>שהלך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קינטור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ויפים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נוכל למצוא בפסיקתו של 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משפט זה מקרים שבהם זוכו נאשמים מרצח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ולו מחמת הספק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והורשעו בהריגה במקרים של דקירה בודדת באזור רגיש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שהיא שגרמה למוות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ניתן למצוא מקרים שבהם הושארה על כנה הרשעה ברצח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נוכל למצוא גם חילוקי דעות בין השופטים לגבי משמעותו של אותו מעשה </w:t>
      </w:r>
      <w:r>
        <w:rPr>
          <w:rFonts w:cs="Century" w:ascii="Century" w:hAnsi="Century"/>
          <w:rtl w:val="true"/>
        </w:rPr>
        <w:t>[...].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נוסחאות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מתמטיות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במכלול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הנסיבות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 העניין שלפנינו קשה כאמור לצייר תמונה ברורה בעניין השניות הקריטיות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 ברור שנעיצת הסכין הייתה תוך כדי מאבק וכאשר הפתולוג הגדיר את הדקירה כפי שהגדיר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נותר ספק בלבי אם הוכחה במידת הוודאות הנדרשת ההחלטה להמית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הדגשה הוספה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4932/00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יעקבלב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30</w:t>
      </w:r>
      <w:r>
        <w:rPr>
          <w:rtl w:val="true"/>
        </w:rPr>
        <w:t xml:space="preserve">, </w:t>
      </w:r>
      <w:r>
        <w:rPr/>
        <w:t>37-36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קטטה</w:t>
      </w:r>
      <w:r>
        <w:rPr>
          <w:rtl w:val="true"/>
        </w:rPr>
        <w:t xml:space="preserve">, </w:t>
      </w:r>
      <w:r>
        <w:rPr>
          <w:rtl w:val="true"/>
        </w:rPr>
        <w:t>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3251/05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3506/05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11.1.2007</w:t>
      </w:r>
      <w:r>
        <w:rPr>
          <w:rFonts w:cs="Century" w:ascii="Century" w:hAnsi="Century"/>
          <w:rtl w:val="true"/>
        </w:rPr>
        <w:t xml:space="preserve">);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9369/07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16.2.2009</w:t>
      </w:r>
      <w:r>
        <w:rPr>
          <w:rFonts w:cs="Century" w:ascii="Century" w:hAnsi="Century"/>
          <w:rtl w:val="true"/>
        </w:rPr>
        <w:t xml:space="preserve">);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511/91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אשקר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1992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להריגה בשתי דקירות ראו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5446/99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אלימלך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לא כך כאשר מדובר בדקירה מתוכננת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והדברים הבאים יפים לעניינו על דרך של קל וחומר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לא כל שימוש בסכין במהלך קטטה מצביע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מניה וביה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כוונת קטילה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לעניין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זה יכול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למשל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להיות לפעמים מקום להבחנה בין שליפת סכין תור כדי קטטה דו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צדדית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 יש הידרדרות לאלימות כוללת ובה אוחז כל אחד בכל הבא ליד כמיטב יכולתו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יזומה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סכין</w:t>
      </w:r>
      <w:r>
        <w:rPr>
          <w:rFonts w:ascii="Times New Roman" w:hAnsi="Times New Roman" w:cs="Times New Roman"/>
          <w:rtl w:val="true"/>
        </w:rPr>
        <w:t xml:space="preserve"> תוך נכונות להשתמש בה מעיקרה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 xml:space="preserve">הדגשה הוספה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י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)(</w:t>
      </w: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624/89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יחזקאל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מה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705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715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1991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Ruller5"/>
        <w:ind w:end="128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מדובר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להופעתו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והימצאותו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ועוצמתה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קטילה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, </w:t>
      </w:r>
      <w:r>
        <w:rPr>
          <w:rtl w:val="true"/>
        </w:rPr>
        <w:t>נזדמן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היפים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נעיצת סכין בחזהו של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מקימה את החזקה של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הנחת הכוונה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חזקת הכוונה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שהיא חזקה עובדתית לפיה אדם מתכוון לתוצאות הטבעיות של מעשיו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עניין ספרונוב פסקה </w:t>
      </w: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מוות כתוצאה מדקירה היא תוצאה הנובעת באופן טבעי מדקירה בחזה</w:t>
      </w:r>
      <w:r>
        <w:rPr>
          <w:rFonts w:cs="Century" w:ascii="Century" w:hAnsi="Century"/>
          <w:rtl w:val="true"/>
        </w:rPr>
        <w:t>: '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פגיעה באיזור רגיש בגופו של הקורבן עשויה להוות אינדיקציה לקיומה של כוונה להמית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כאשר מדובר בפגיעה אחת בלבד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01/288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נז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365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377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מקום בו אדם דוקר את רעהו בחזה קיימת הנחה שהתכוון להמיתו וניתן להרשיע ברצח גם על סמך דקירה בודדת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: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01/6671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וחידי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96-95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10179/01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12.3.2007</w:t>
      </w:r>
      <w:r>
        <w:rPr>
          <w:rFonts w:cs="Century" w:ascii="Century" w:hAnsi="Century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11971/05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15.7.2009</w:t>
      </w:r>
      <w:r>
        <w:rPr>
          <w:rFonts w:cs="Century" w:ascii="Century" w:hAnsi="Century"/>
          <w:rtl w:val="true"/>
        </w:rPr>
        <w:t xml:space="preserve">);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6680/09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5.10.2009</w:t>
      </w:r>
      <w:r>
        <w:rPr>
          <w:rFonts w:cs="Century" w:ascii="Century" w:hAnsi="Century"/>
          <w:rtl w:val="true"/>
        </w:rPr>
        <w:t xml:space="preserve">);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2202/08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בחזקה זו יש כדי להעביר את הנטל לסתור לשטחו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ועליו לעורר ספק סביר באמצעות הסבר מתקבל על הדעת וראיות נוגדות כדי ליטול מחזקת הכוונה את כוחה </w:t>
      </w:r>
      <w:r>
        <w:rPr>
          <w:rFonts w:cs="Century" w:ascii="Century" w:hAnsi="Century"/>
          <w:rtl w:val="true"/>
        </w:rPr>
        <w:t>(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3126/96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עמיר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638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649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ארב למנוח ודקר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ועליו הנטל להראות כי לא התכוון לדקור אותו למוות</w:t>
      </w:r>
      <w:r>
        <w:rPr>
          <w:rFonts w:cs="Century" w:ascii="Century" w:hAnsi="Century"/>
          <w:rtl w:val="true"/>
        </w:rPr>
        <w:t>" (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5964/13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1.6.2015</w:t>
      </w:r>
      <w:r>
        <w:rPr>
          <w:rFonts w:cs="Century" w:ascii="Century" w:hAnsi="Century"/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ובתנופה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בשחזור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השחזור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הוחלף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שמהדי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השחזור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),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משהזכרנו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מטה</w:t>
      </w:r>
      <w:r>
        <w:rPr>
          <w:rtl w:val="true"/>
        </w:rPr>
        <w:t xml:space="preserve">. </w:t>
      </w:r>
      <w:r>
        <w:rPr>
          <w:rtl w:val="true"/>
        </w:rPr>
        <w:t>התעלה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העור</w:t>
      </w:r>
      <w:r>
        <w:rPr>
          <w:rtl w:val="true"/>
        </w:rPr>
        <w:t xml:space="preserve">, </w:t>
      </w:r>
      <w:r>
        <w:rPr>
          <w:rtl w:val="true"/>
        </w:rPr>
        <w:t>שרירי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צלעות</w:t>
      </w:r>
      <w:r>
        <w:rPr>
          <w:rFonts w:eastAsia="Arial TUR;Arial" w:cs="Arial TUR;Arial"/>
          <w:rtl w:val="true"/>
        </w:rPr>
        <w:t xml:space="preserve"> </w:t>
      </w:r>
      <w:r>
        <w:rPr/>
        <w:t>3-5</w:t>
      </w:r>
      <w:r>
        <w:rPr>
          <w:rtl w:val="true"/>
        </w:rPr>
        <w:t xml:space="preserve">, </w:t>
      </w:r>
      <w:r>
        <w:rPr>
          <w:rtl w:val="true"/>
        </w:rPr>
        <w:t>קרום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הצדר</w:t>
      </w:r>
      <w:r>
        <w:rPr>
          <w:rtl w:val="true"/>
        </w:rPr>
        <w:t xml:space="preserve">, </w:t>
      </w:r>
      <w:r>
        <w:rPr>
          <w:rtl w:val="true"/>
        </w:rPr>
        <w:t>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הצדר</w:t>
      </w:r>
      <w:r>
        <w:rPr>
          <w:rtl w:val="true"/>
        </w:rPr>
        <w:t xml:space="preserve">, </w:t>
      </w:r>
      <w:r>
        <w:rPr>
          <w:rtl w:val="true"/>
        </w:rPr>
        <w:t>הריאה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קרום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הכפורת</w:t>
      </w:r>
      <w:r>
        <w:rPr>
          <w:rtl w:val="true"/>
        </w:rPr>
        <w:t xml:space="preserve">, </w:t>
      </w:r>
      <w:r>
        <w:rPr>
          <w:rtl w:val="true"/>
        </w:rPr>
        <w:t>ולתוך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.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והכוונה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?"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ולצאת</w:t>
      </w:r>
      <w:r>
        <w:rPr>
          <w:rtl w:val="true"/>
        </w:rPr>
        <w:t xml:space="preserve">"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שצריך</w:t>
      </w:r>
      <w:r>
        <w:rPr>
          <w:rtl w:val="true"/>
        </w:rPr>
        <w:t xml:space="preserve">...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>..."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60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60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לדוגמה</w:t>
      </w:r>
      <w:r>
        <w:rPr>
          <w:rtl w:val="true"/>
        </w:rPr>
        <w:t>,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60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... </w:t>
      </w:r>
      <w:r>
        <w:rPr>
          <w:rtl w:val="true"/>
        </w:rPr>
        <w:t>לסמן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שיידע</w:t>
      </w:r>
      <w:r>
        <w:rPr>
          <w:rtl w:val="true"/>
        </w:rPr>
        <w:t xml:space="preserve">...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58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ומזל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ובתשובה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... </w:t>
      </w:r>
      <w:r>
        <w:rPr>
          <w:rtl w:val="true"/>
        </w:rPr>
        <w:t>נרביץ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הזכוכית</w:t>
      </w:r>
      <w:r>
        <w:rPr>
          <w:rtl w:val="true"/>
        </w:rPr>
        <w:t xml:space="preserve">, </w:t>
      </w:r>
      <w:r>
        <w:rPr>
          <w:rtl w:val="true"/>
        </w:rPr>
        <w:t>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רצינו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" (</w:t>
      </w:r>
      <w:r>
        <w:rPr>
          <w:rtl w:val="true"/>
        </w:rPr>
        <w:t>השחזור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67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66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ומתיישבות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זגזגו</w:t>
      </w:r>
      <w:r>
        <w:rPr>
          <w:rtl w:val="true"/>
        </w:rPr>
        <w:t xml:space="preserve">" </w:t>
      </w:r>
      <w:r>
        <w:rPr>
          <w:rtl w:val="true"/>
        </w:rPr>
        <w:t>בהודעותיהם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להכחשתו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tl w:val="true"/>
        </w:rPr>
        <w:t xml:space="preserve">,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התכחש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ונצא</w:t>
      </w:r>
      <w:r>
        <w:rPr>
          <w:rtl w:val="true"/>
        </w:rPr>
        <w:t xml:space="preserve">"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60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סטירות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להזהיר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הברזל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tl w:val="true"/>
        </w:rPr>
        <w:t xml:space="preserve">,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היעדרו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הברזל</w:t>
      </w:r>
      <w:r>
        <w:rPr>
          <w:rtl w:val="true"/>
        </w:rPr>
        <w:t xml:space="preserve">, </w:t>
      </w:r>
      <w:r>
        <w:rPr>
          <w:rtl w:val="true"/>
        </w:rPr>
        <w:t>מחליש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הרגליים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ותוצאתה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)), </w:t>
      </w:r>
      <w:r>
        <w:rPr>
          <w:rtl w:val="true"/>
        </w:rPr>
        <w:t>והשלכת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</w:t>
      </w:r>
      <w:r>
        <w:rPr>
          <w:rtl w:val="true"/>
        </w:rPr>
        <w:t xml:space="preserve">' </w:t>
      </w:r>
      <w:r>
        <w:rPr/>
        <w:t>266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ואפנה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תצלומים</w:t>
      </w:r>
      <w:r>
        <w:rPr>
          <w:rFonts w:eastAsia="Arial TUR;Arial" w:cs="Arial TUR;Arial"/>
          <w:rtl w:val="true"/>
        </w:rPr>
        <w:t xml:space="preserve"> </w:t>
      </w:r>
      <w:r>
        <w:rPr/>
        <w:t>11-10</w:t>
      </w:r>
      <w:r>
        <w:rPr>
          <w:rtl w:val="true"/>
        </w:rPr>
        <w:t xml:space="preserve">).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בגולגולת</w:t>
      </w:r>
      <w:r>
        <w:rPr>
          <w:rtl w:val="true"/>
        </w:rPr>
        <w:t xml:space="preserve">,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ובמהלכו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>: "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60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זהותם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תזהר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מחטיאה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 xml:space="preserve">. </w:t>
      </w:r>
      <w:r>
        <w:rPr>
          <w:rtl w:val="true"/>
        </w:rPr>
        <w:t>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01:30</w:t>
      </w:r>
      <w:r>
        <w:rPr>
          <w:rtl w:val="true"/>
        </w:rPr>
        <w:t xml:space="preserve"> </w:t>
      </w:r>
      <w:r>
        <w:rPr>
          <w:rtl w:val="true"/>
        </w:rPr>
        <w:t>לדירתו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היכרותם</w:t>
      </w:r>
      <w:r>
        <w:rPr>
          <w:rtl w:val="true"/>
        </w:rPr>
        <w:t xml:space="preserve">).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tl w:val="true"/>
        </w:rPr>
        <w:t xml:space="preserve">).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התקשורת</w:t>
      </w:r>
      <w:r>
        <w:rPr>
          <w:rtl w:val="true"/>
        </w:rPr>
        <w:t xml:space="preserve">.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' 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והמשטרה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מחפשת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6-5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מדירתו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 xml:space="preserve">',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המדובב</w:t>
      </w:r>
      <w:r>
        <w:rPr>
          <w:rFonts w:cs="Century" w:ascii="Century" w:hAnsi="Century"/>
          <w:rtl w:val="true"/>
        </w:rPr>
        <w:t>:</w:t>
        <w:tab/>
      </w:r>
      <w:r>
        <w:rPr>
          <w:rFonts w:ascii="Century" w:hAnsi="Century" w:cs="Century"/>
          <w:rtl w:val="true"/>
        </w:rPr>
        <w:t xml:space="preserve">אני אומר לך תקשיב לי אין בזה בושה אתה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 ברור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אתה מתבייש שאתה רצחת אחד כמו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מהדי</w:t>
      </w:r>
      <w:r>
        <w:rPr>
          <w:rFonts w:cs="Century" w:ascii="Century" w:hAnsi="Century"/>
          <w:rtl w:val="true"/>
        </w:rPr>
        <w:t>:</w:t>
        <w:tab/>
      </w:r>
      <w:r>
        <w:rPr>
          <w:rFonts w:ascii="Century" w:hAnsi="Century" w:cs="Century"/>
          <w:rtl w:val="true"/>
        </w:rPr>
        <w:t>חס וחלילה לא אני לא מתבייש לא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המדובב</w:t>
      </w:r>
      <w:r>
        <w:rPr>
          <w:rFonts w:cs="Century" w:ascii="Century" w:hAnsi="Century"/>
          <w:rtl w:val="true"/>
        </w:rPr>
        <w:t>:</w:t>
        <w:tab/>
      </w:r>
      <w:r>
        <w:rPr>
          <w:rFonts w:ascii="Century" w:hAnsi="Century" w:cs="Century"/>
          <w:rtl w:val="true"/>
        </w:rPr>
        <w:t>אלא מה אתה מפחד מהעניין הזה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מהדי</w:t>
      </w:r>
      <w:r>
        <w:rPr>
          <w:rFonts w:cs="Century" w:ascii="Century" w:hAnsi="Century"/>
          <w:rtl w:val="true"/>
        </w:rPr>
        <w:t>:</w:t>
        <w:tab/>
      </w:r>
      <w:r>
        <w:rPr>
          <w:rFonts w:ascii="Century" w:hAnsi="Century" w:cs="Century"/>
          <w:rtl w:val="true"/>
        </w:rPr>
        <w:t>אני לא מפחד ושום דבר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המדובב</w:t>
      </w:r>
      <w:r>
        <w:rPr>
          <w:rFonts w:cs="Century" w:ascii="Century" w:hAnsi="Century"/>
          <w:rtl w:val="true"/>
        </w:rPr>
        <w:t>:</w:t>
        <w:tab/>
      </w:r>
      <w:r>
        <w:rPr>
          <w:rFonts w:ascii="Century" w:hAnsi="Century" w:cs="Century"/>
          <w:rtl w:val="true"/>
        </w:rPr>
        <w:t>אתה תסתכל עליי אתה רצחת בזכות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מהדי</w:t>
      </w:r>
      <w:r>
        <w:rPr>
          <w:rFonts w:cs="Century" w:ascii="Century" w:hAnsi="Century"/>
          <w:rtl w:val="true"/>
        </w:rPr>
        <w:t>:</w:t>
        <w:tab/>
      </w:r>
      <w:r>
        <w:rPr>
          <w:rFonts w:ascii="Century" w:hAnsi="Century" w:cs="Century"/>
          <w:rtl w:val="true"/>
        </w:rPr>
        <w:t>נכון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 xml:space="preserve">[...]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המדובב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אלוהים אדירים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 ברור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השאלה שאני אשאל אותך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אמרת לי אתה עצוב שרצחת מישהו כמו זה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מהדי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 עצוב בכלל לא</w:t>
      </w:r>
      <w:r>
        <w:rPr>
          <w:rFonts w:cs="Century" w:ascii="Century" w:hAnsi="Century"/>
          <w:rtl w:val="true"/>
        </w:rPr>
        <w:t>".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",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/>
        <w:t>146/15-71-2/2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tl w:val="true"/>
        </w:rPr>
        <w:t>...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...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tl w:val="true"/>
        </w:rPr>
        <w:t>...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?".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התבטאות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: "</w:t>
      </w:r>
      <w:r>
        <w:rPr>
          <w:rtl w:val="true"/>
        </w:rPr>
        <w:t>שמעתי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אלוהים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וגמרתי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יעני</w:t>
      </w:r>
      <w:r>
        <w:rPr>
          <w:rtl w:val="true"/>
        </w:rPr>
        <w:t>" (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קילל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אבסורדי</w:t>
      </w:r>
      <w:r>
        <w:rPr>
          <w:rtl w:val="true"/>
        </w:rPr>
        <w:t>-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שמבקש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...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...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תבין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...".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יודעים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כברווז</w:t>
      </w:r>
      <w:r>
        <w:rPr>
          <w:rtl w:val="true"/>
        </w:rPr>
        <w:t xml:space="preserve">, </w:t>
      </w:r>
      <w:r>
        <w:rPr>
          <w:rtl w:val="true"/>
        </w:rPr>
        <w:t>מגעגע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כברווז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כברווז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ברווז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שהברווז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כברווז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כוונתם</w:t>
      </w:r>
      <w:r>
        <w:rPr>
          <w:rtl w:val="true"/>
        </w:rPr>
        <w:t xml:space="preserve">. </w:t>
      </w:r>
      <w:r>
        <w:rPr>
          <w:rtl w:val="true"/>
        </w:rPr>
        <w:t>ובקיצור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הרשעתו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מהרחקת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וההתארגנות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וסאמיה</w:t>
      </w:r>
      <w:r>
        <w:rPr>
          <w:rtl w:val="true"/>
        </w:rPr>
        <w:t xml:space="preserve">).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השכרות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</w:t>
      </w:r>
      <w:r>
        <w:rPr>
          <w:rFonts w:eastAsia="Arial TUR;Arial" w:cs="Arial TUR;Arial"/>
          <w:rtl w:val="true"/>
        </w:rPr>
        <w:t xml:space="preserve"> </w:t>
      </w:r>
      <w:r>
        <w:rPr/>
        <w:t>12-6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וסאל</w:t>
      </w:r>
      <w:r>
        <w:rPr>
          <w:rtl w:val="true"/>
        </w:rPr>
        <w:t xml:space="preserve">, </w:t>
      </w:r>
      <w:r>
        <w:rPr>
          <w:rtl w:val="true"/>
        </w:rPr>
        <w:t>השאם</w:t>
      </w:r>
      <w:r>
        <w:rPr>
          <w:rtl w:val="true"/>
        </w:rPr>
        <w:t xml:space="preserve">, </w:t>
      </w:r>
      <w:r>
        <w:rPr>
          <w:rtl w:val="true"/>
        </w:rPr>
        <w:t>חליל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ונזנחה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לא יישא אדם באחריות פלילית למעשה שעשה במצב של שכרות שנגרמה שלא בהתנהגותו הנשלטת או שלא מדעתו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עשה אדם מעשה במצב של שכרות והוא גרם למצב זה בהתנהגותו הנשלטת ומדעת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רואים אותו כמי שעשה את המעשה במחשבה 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העבירה היא של התנהגות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באדישות אם העבירה מותנית גם בתוצאה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  </w:t>
      </w:r>
      <w:r>
        <w:rPr>
          <w:rFonts w:ascii="Century" w:hAnsi="Century" w:cs="Century"/>
          <w:rtl w:val="true"/>
        </w:rPr>
        <w:t>גרם אדם למצב השכרות כדי לעבור בו את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רואים אותו כמי שעבר אותה במחשבה פלילית אם היא עבירה של התנהגות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בכוונה אם היא מותנית גם בתוצאה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בסעיף זה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מצב של שכרות</w:t>
      </w:r>
      <w:r>
        <w:rPr>
          <w:rFonts w:cs="Century" w:ascii="Century" w:hAnsi="Century"/>
          <w:rtl w:val="true"/>
        </w:rPr>
        <w:t xml:space="preserve">" – </w:t>
      </w:r>
      <w:r>
        <w:rPr>
          <w:rFonts w:ascii="Century" w:hAnsi="Century" w:cs="Century"/>
          <w:rtl w:val="true"/>
        </w:rPr>
        <w:t>מצב שבו נמצא אדם בהשפעת חומר אלכוהולי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סם מסוכן או גורם מסמם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ועקב כך הוא היה חסר יכולת של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בשעת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להבין את אשר עשה או את הפסול שבמעשהו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להימנע מעשיית המעשה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סעיפים קטנים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), 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חלים גם על מי שלא היה חסר יכולת כאמור בסעיף קטן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אך עקב שכרות חלקית לא היה מודע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בשעת 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לפרט מפרטי העבירה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>-</w:t>
      </w:r>
      <w:r>
        <w:rPr>
          <w:rtl w:val="true"/>
        </w:rPr>
        <w:t>השיכור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>":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tl w:val="true"/>
        </w:rPr>
        <w:t>וקשר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המשכר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84</w:t>
      </w:r>
      <w:r>
        <w:rPr>
          <w:rtl w:val="true"/>
        </w:rPr>
        <w:t xml:space="preserve"> (</w:t>
      </w:r>
      <w:r>
        <w:rPr/>
        <w:t>15.12.2015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כשיכורים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41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והפיצויים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משפט קמא השית על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בנוסף לעונש של מאסר עולם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שלוש שנות מאסר בגין האירוע בביתה של ברין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אני סבור כי אין לראות את האירועים של אותו יום מר ונמהר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אירוע אחד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להתערב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לא מצאתי סיבה להתערב בגובה הפיצויים שהושתו על המערערים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פתחנו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שותקים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66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ומהדי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יעני</w:t>
      </w:r>
      <w:r>
        <w:rPr>
          <w:rtl w:val="true"/>
        </w:rPr>
        <w:t xml:space="preserve">... </w:t>
      </w:r>
      <w:r>
        <w:rPr>
          <w:rtl w:val="true"/>
        </w:rPr>
        <w:t>הלכנו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...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...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שמזיין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".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...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... </w:t>
      </w:r>
      <w:r>
        <w:rPr>
          <w:rtl w:val="true"/>
        </w:rPr>
        <w:t>שדורך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", </w:t>
      </w:r>
      <w:r>
        <w:rPr>
          <w:rtl w:val="true"/>
        </w:rPr>
        <w:t>ובהמשך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?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אבל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מצד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החזרתי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הכבוד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שלי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נכנס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עכשיו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לכל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משפט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לכל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מקום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נכנס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לבית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מעצר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והראש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מורם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למעלה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אומר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לך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אשכרה</w:t>
      </w:r>
      <w:r>
        <w:rPr>
          <w:rFonts w:cs="Miriam"/>
          <w:b/>
          <w:spacing w:val="0"/>
          <w:szCs w:val="24"/>
          <w:rtl w:val="true"/>
        </w:rPr>
        <w:t xml:space="preserve">... </w:t>
      </w:r>
      <w:r>
        <w:rPr>
          <w:rFonts w:cs="Miriam"/>
          <w:b/>
          <w:b/>
          <w:spacing w:val="0"/>
          <w:szCs w:val="24"/>
          <w:rtl w:val="true"/>
        </w:rPr>
        <w:t>גם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אכנס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לשלושים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שנים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לשישים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שנה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' 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" (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60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58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לסמן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מהחומר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" </w:t>
      </w:r>
      <w:r>
        <w:rPr>
          <w:rtl w:val="true"/>
        </w:rPr>
        <w:t>ורצח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"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מוקיעה</w:t>
      </w:r>
      <w:r>
        <w:rPr>
          <w:rtl w:val="true"/>
        </w:rPr>
        <w:t xml:space="preserve">, </w:t>
      </w:r>
      <w:r>
        <w:rPr>
          <w:rtl w:val="true"/>
        </w:rPr>
        <w:t>וסופם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רכיביו</w:t>
      </w:r>
      <w:r>
        <w:rPr>
          <w:rtl w:val="true"/>
        </w:rPr>
        <w:t xml:space="preserve">, </w:t>
      </w:r>
      <w:r>
        <w:rPr>
          <w:rtl w:val="true"/>
        </w:rPr>
        <w:t>ופסק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מינץ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מסכים אני עם חוות דעתו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אוסיף רק מילים ספורות משלי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360"/>
          <w:tab w:val="left" w:pos="800" w:leader="none"/>
          <w:tab w:val="left" w:pos="907" w:leader="none"/>
        </w:tabs>
        <w:ind w:end="0"/>
        <w:jc w:val="both"/>
        <w:rPr/>
      </w:pPr>
      <w:r>
        <w:rPr>
          <w:rtl w:val="true"/>
        </w:rPr>
        <w:t xml:space="preserve">עיינתי אף אני בחומר הראיות שהוגש לבית המשפט המחוזי ובתוכו הודעות המערערים כפי שנמסרו במשטרה וכן בסרט שחזור המעשה מיום </w:t>
      </w:r>
      <w:r>
        <w:rPr/>
        <w:t>29.21.2015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המערערים טענו כי ניתן להשתכנע מהודעותיהם ומהשחזור באותנטיות שבגרסתם על פיה לא הייתה להם כל כוונה להמית את המנוח</w:t>
      </w:r>
      <w:r>
        <w:rPr>
          <w:rtl w:val="true"/>
        </w:rPr>
        <w:t xml:space="preserve">. </w:t>
      </w:r>
      <w:r>
        <w:rPr>
          <w:rtl w:val="true"/>
        </w:rPr>
        <w:t>טענה זו בדבר אמיתות הגרסה חזרה</w:t>
      </w:r>
      <w:r>
        <w:rPr>
          <w:rtl w:val="true"/>
        </w:rPr>
        <w:t xml:space="preserve">, </w:t>
      </w:r>
      <w:r>
        <w:rPr>
          <w:rtl w:val="true"/>
        </w:rPr>
        <w:t>נשנתה והודגשה הן בהודעת הערעור מטעם המערערים והן בטיעוניהם בעל</w:t>
      </w:r>
      <w:r>
        <w:rPr>
          <w:rtl w:val="true"/>
        </w:rPr>
        <w:t>-</w:t>
      </w:r>
      <w:r>
        <w:rPr>
          <w:rtl w:val="true"/>
        </w:rPr>
        <w:t>פה לפנינו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תמים דעים אני עם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שלא ניתן ללמוד דבר לזכות המערערים</w:t>
      </w:r>
      <w:r>
        <w:rPr>
          <w:rtl w:val="true"/>
        </w:rPr>
        <w:t xml:space="preserve">, </w:t>
      </w:r>
      <w:r>
        <w:rPr>
          <w:rtl w:val="true"/>
        </w:rPr>
        <w:t>לא מתוך הודעותיהם במשטרה ולא מתוך שחזור המעשה על ידם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עיון בהודעות מלמד כי המערערים מסרו גרסאות שונות במשטרה</w:t>
      </w:r>
      <w:r>
        <w:rPr>
          <w:rtl w:val="true"/>
        </w:rPr>
        <w:t xml:space="preserve">, </w:t>
      </w:r>
      <w:r>
        <w:rPr>
          <w:rtl w:val="true"/>
        </w:rPr>
        <w:t>ובערעור לפנינו לא הצביעו על כל סיבה לבכר דווקא את הגרסה המטיבה עימם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360"/>
          <w:tab w:val="left" w:pos="800" w:leader="none"/>
          <w:tab w:val="left" w:pos="907" w:leader="none"/>
        </w:tabs>
        <w:ind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בהודעת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26.1.2015</w:t>
      </w:r>
      <w:r>
        <w:rPr>
          <w:rtl w:val="true"/>
        </w:rPr>
        <w:t xml:space="preserve">, </w:t>
      </w:r>
      <w:r>
        <w:rPr>
          <w:rtl w:val="true"/>
        </w:rPr>
        <w:t xml:space="preserve">שעה </w:t>
      </w:r>
      <w:r>
        <w:rPr/>
        <w:t>5:51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56</w:t>
      </w:r>
      <w:r>
        <w:rPr>
          <w:rtl w:val="true"/>
        </w:rPr>
        <w:t xml:space="preserve">) </w:t>
      </w:r>
      <w:r>
        <w:rPr>
          <w:rtl w:val="true"/>
        </w:rPr>
        <w:t>הוא הכחיש כל מעורבות בהמתת המנוח ואף טען כי כלל לא היה בתחנת הדלק באותו ערב</w:t>
      </w:r>
      <w:r>
        <w:rPr>
          <w:rtl w:val="true"/>
        </w:rPr>
        <w:t xml:space="preserve">. </w:t>
      </w:r>
      <w:r>
        <w:rPr>
          <w:rtl w:val="true"/>
        </w:rPr>
        <w:t>כן טען שלא החזיק כלל בסכין בסמוך לקרות האירוע</w:t>
      </w:r>
      <w:r>
        <w:rPr>
          <w:rtl w:val="true"/>
        </w:rPr>
        <w:t xml:space="preserve">. </w:t>
      </w:r>
      <w:r>
        <w:rPr>
          <w:rtl w:val="true"/>
        </w:rPr>
        <w:t xml:space="preserve">כך בהודעתו בהמשך אותו יום בשעה </w:t>
      </w:r>
      <w:r>
        <w:rPr/>
        <w:t>16:06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57</w:t>
      </w:r>
      <w:r>
        <w:rPr>
          <w:rtl w:val="true"/>
        </w:rPr>
        <w:t xml:space="preserve">) </w:t>
      </w:r>
      <w:r>
        <w:rPr>
          <w:rtl w:val="true"/>
        </w:rPr>
        <w:t>עמד בהכחשתו</w:t>
      </w:r>
      <w:r>
        <w:rPr>
          <w:rtl w:val="true"/>
        </w:rPr>
        <w:t xml:space="preserve">. </w:t>
      </w:r>
      <w:r>
        <w:rPr>
          <w:rtl w:val="true"/>
        </w:rPr>
        <w:t>גם למחרת היום</w:t>
      </w:r>
      <w:r>
        <w:rPr>
          <w:rtl w:val="true"/>
        </w:rPr>
        <w:t xml:space="preserve">, </w:t>
      </w:r>
      <w:r>
        <w:rPr>
          <w:rtl w:val="true"/>
        </w:rPr>
        <w:t xml:space="preserve">בהודעתו מיום </w:t>
      </w:r>
      <w:r>
        <w:rPr/>
        <w:t>27.1.2015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58</w:t>
      </w:r>
      <w:r>
        <w:rPr>
          <w:rtl w:val="true"/>
        </w:rPr>
        <w:t xml:space="preserve">) </w:t>
      </w:r>
      <w:r>
        <w:rPr>
          <w:rtl w:val="true"/>
        </w:rPr>
        <w:t>וביום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בהודעתו מיום </w:t>
      </w:r>
      <w:r>
        <w:rPr/>
        <w:t>28.1.2015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59</w:t>
      </w:r>
      <w:r>
        <w:rPr>
          <w:rtl w:val="true"/>
        </w:rPr>
        <w:t xml:space="preserve">) </w:t>
      </w:r>
      <w:r>
        <w:rPr>
          <w:rtl w:val="true"/>
        </w:rPr>
        <w:t>המשיך להכחיש כל מעורבות</w:t>
      </w:r>
      <w:r>
        <w:rPr>
          <w:rtl w:val="true"/>
        </w:rPr>
        <w:t xml:space="preserve">. </w:t>
      </w:r>
      <w:r>
        <w:rPr>
          <w:rtl w:val="true"/>
        </w:rPr>
        <w:t>התפנית בגרסה אירעה רק ביום השחזור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29.1.2015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61</w:t>
      </w:r>
      <w:r>
        <w:rPr>
          <w:rtl w:val="true"/>
        </w:rPr>
        <w:t xml:space="preserve">), </w:t>
      </w:r>
      <w:r>
        <w:rPr>
          <w:rtl w:val="true"/>
        </w:rPr>
        <w:t>אך גם אז הכחיש המערער שהחזיק סכין בתחילת הערב בכפר א</w:t>
      </w:r>
      <w:r>
        <w:rPr>
          <w:rtl w:val="true"/>
        </w:rPr>
        <w:t xml:space="preserve">' </w:t>
      </w:r>
      <w:r>
        <w:rPr>
          <w:rtl w:val="true"/>
        </w:rPr>
        <w:t xml:space="preserve">וזאת לעומת גרסתו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אשר טען כי היה בידיו של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סכין בעת האירוע בכפר א</w:t>
      </w:r>
      <w:r>
        <w:rPr>
          <w:rtl w:val="true"/>
        </w:rPr>
        <w:t>'.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360"/>
          <w:tab w:val="left" w:pos="800" w:leader="none"/>
          <w:tab w:val="left" w:pos="907" w:leader="none"/>
        </w:tabs>
        <w:ind w:end="0"/>
        <w:jc w:val="both"/>
        <w:rPr/>
      </w:pPr>
      <w:r>
        <w:rPr>
          <w:rtl w:val="true"/>
        </w:rPr>
        <w:t xml:space="preserve">כך גם גרסתו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הייתה גרסה מתפתחת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הודעתו מיום </w:t>
      </w:r>
      <w:r>
        <w:rPr/>
        <w:t>26.1.2015</w:t>
      </w:r>
      <w:r>
        <w:rPr>
          <w:rtl w:val="true"/>
        </w:rPr>
        <w:t xml:space="preserve">, </w:t>
      </w:r>
      <w:r>
        <w:rPr>
          <w:rtl w:val="true"/>
        </w:rPr>
        <w:t xml:space="preserve">שעה </w:t>
      </w:r>
      <w:r>
        <w:rPr/>
        <w:t>07:24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63</w:t>
      </w:r>
      <w:r>
        <w:rPr>
          <w:rtl w:val="true"/>
        </w:rPr>
        <w:t xml:space="preserve">), </w:t>
      </w:r>
      <w:r>
        <w:rPr>
          <w:rtl w:val="true"/>
        </w:rPr>
        <w:t>בעיקרו של דבר שמר על זכות השתיקה</w:t>
      </w:r>
      <w:r>
        <w:rPr>
          <w:rtl w:val="true"/>
        </w:rPr>
        <w:t xml:space="preserve">, </w:t>
      </w:r>
      <w:r>
        <w:rPr>
          <w:rtl w:val="true"/>
        </w:rPr>
        <w:t xml:space="preserve">אך הספיק לומר לפני רצף שתיקותיו כי אינו </w:t>
      </w:r>
      <w:r>
        <w:rPr>
          <w:rtl w:val="true"/>
        </w:rPr>
        <w:t>"</w:t>
      </w:r>
      <w:r>
        <w:rPr>
          <w:rtl w:val="true"/>
        </w:rPr>
        <w:t>קשור לכל הסיפור הזה</w:t>
      </w:r>
      <w:r>
        <w:rPr>
          <w:rtl w:val="true"/>
        </w:rPr>
        <w:t xml:space="preserve">". </w:t>
      </w:r>
      <w:r>
        <w:rPr>
          <w:rtl w:val="true"/>
        </w:rPr>
        <w:t xml:space="preserve">הוא המשיך לשמור על זכות השתיקה גם בחלוף מספר ימים במסגרת הודעתו מיום </w:t>
      </w:r>
      <w:r>
        <w:rPr/>
        <w:t>29.1.2015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65</w:t>
      </w:r>
      <w:r>
        <w:rPr>
          <w:rtl w:val="true"/>
        </w:rPr>
        <w:t xml:space="preserve">), </w:t>
      </w:r>
      <w:r>
        <w:rPr>
          <w:rtl w:val="true"/>
        </w:rPr>
        <w:t xml:space="preserve">ורק בסמוך לשחזור החליט אף הוא להודות במעורבותו באירוע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66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67</w:t>
      </w:r>
      <w:r>
        <w:rPr>
          <w:rtl w:val="true"/>
        </w:rPr>
        <w:t>א</w:t>
      </w:r>
      <w:r>
        <w:rPr>
          <w:rtl w:val="true"/>
        </w:rPr>
        <w:t xml:space="preserve">').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גם אז לא מסר גרסה שלמה ועמד על כך שאינו יודע היכן הושלכה הסכין בה נדקר המנוח</w:t>
      </w:r>
      <w:r>
        <w:rPr>
          <w:rtl w:val="true"/>
        </w:rPr>
        <w:t xml:space="preserve">, </w:t>
      </w:r>
      <w:r>
        <w:rPr>
          <w:rtl w:val="true"/>
        </w:rPr>
        <w:t xml:space="preserve">הואיל ונרדם מפאת שכרותו לאחר אירוע הקטילה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360"/>
          <w:tab w:val="left" w:pos="800" w:leader="none"/>
          <w:tab w:val="left" w:pos="907" w:leader="none"/>
        </w:tabs>
        <w:ind w:end="0"/>
        <w:jc w:val="both"/>
        <w:rPr/>
      </w:pPr>
      <w:r>
        <w:rPr>
          <w:rtl w:val="true"/>
        </w:rPr>
        <w:t>במצב דברים שכזה</w:t>
      </w:r>
      <w:r>
        <w:rPr>
          <w:rtl w:val="true"/>
        </w:rPr>
        <w:t xml:space="preserve">, </w:t>
      </w:r>
      <w:r>
        <w:rPr>
          <w:rtl w:val="true"/>
        </w:rPr>
        <w:t>קשה עד בלתי אפשרי להשתכנע מהאותנטיות של הגרסאות בהן הודו המערערים לבסוף בהמתת המנוח</w:t>
      </w:r>
      <w:r>
        <w:rPr>
          <w:rtl w:val="true"/>
        </w:rPr>
        <w:t xml:space="preserve">. </w:t>
      </w:r>
      <w:r>
        <w:rPr>
          <w:rtl w:val="true"/>
        </w:rPr>
        <w:t>נהפוך הוא</w:t>
      </w:r>
      <w:r>
        <w:rPr>
          <w:rtl w:val="true"/>
        </w:rPr>
        <w:t xml:space="preserve">, </w:t>
      </w:r>
      <w:r>
        <w:rPr>
          <w:rtl w:val="true"/>
        </w:rPr>
        <w:t>השינוי בגרסאות מלמד על חוסר אמינותם ואין המערערים יכולים ליהנות מהסקת מסקנה שיש לתת אמון דווקא בגרסה אחת מתוך הגרסאות שמסרו במשטרה הואיל ודווקא ממנה משתקפת לטענתם מהימנות ו</w:t>
      </w:r>
      <w:r>
        <w:rPr>
          <w:rtl w:val="true"/>
        </w:rPr>
        <w:t>"</w:t>
      </w:r>
      <w:r>
        <w:rPr>
          <w:rtl w:val="true"/>
        </w:rPr>
        <w:t>אותנטיות</w:t>
      </w:r>
      <w:r>
        <w:rPr>
          <w:rtl w:val="true"/>
        </w:rPr>
        <w:t>" 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סונגו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17.5.2018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12.2.2014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2.9.2012</w:t>
      </w:r>
      <w:r>
        <w:rPr>
          <w:rtl w:val="true"/>
        </w:rPr>
        <w:t xml:space="preserve">)).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360"/>
          <w:tab w:val="left" w:pos="800" w:leader="none"/>
          <w:tab w:val="left" w:pos="907" w:leader="none"/>
        </w:tabs>
        <w:ind w:end="0"/>
        <w:jc w:val="both"/>
        <w:rPr/>
      </w:pPr>
      <w:r>
        <w:rPr>
          <w:rtl w:val="true"/>
        </w:rPr>
        <w:t>גם צפייה בשחזור איננה מלמדת אודות חפותם של המערערים</w:t>
      </w:r>
      <w:r>
        <w:rPr>
          <w:rtl w:val="true"/>
        </w:rPr>
        <w:t xml:space="preserve">. </w:t>
      </w:r>
      <w:r>
        <w:rPr>
          <w:rtl w:val="true"/>
        </w:rPr>
        <w:t>כפי שהצביע חברי</w:t>
      </w:r>
      <w:r>
        <w:rPr>
          <w:rtl w:val="true"/>
        </w:rPr>
        <w:t xml:space="preserve">, </w:t>
      </w:r>
      <w:r>
        <w:rPr>
          <w:rtl w:val="true"/>
        </w:rPr>
        <w:t xml:space="preserve">ניכר מתוך מעשיו של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בעת השחזור הוא הצניע בכוונת מכוון את אופן הדקירה של המנוח על ידו</w:t>
      </w:r>
      <w:r>
        <w:rPr>
          <w:rtl w:val="true"/>
        </w:rPr>
        <w:t xml:space="preserve">. </w:t>
      </w:r>
      <w:r>
        <w:rPr>
          <w:rtl w:val="true"/>
        </w:rPr>
        <w:t xml:space="preserve">הוא לא הסביר כיצד שינה את אופן החזקת הסכין </w:t>
      </w:r>
      <w:r>
        <w:rPr>
          <w:rtl w:val="true"/>
        </w:rPr>
        <w:t>–</w:t>
      </w:r>
      <w:r>
        <w:rPr>
          <w:rtl w:val="true"/>
        </w:rPr>
        <w:t xml:space="preserve"> כאשר בתחילה הלהב הוחזק מאחורי ידו ואילו בעת הדקירה הלהב הוחזק מקדימה</w:t>
      </w:r>
      <w:r>
        <w:rPr>
          <w:rtl w:val="true"/>
        </w:rPr>
        <w:t xml:space="preserve">. </w:t>
      </w:r>
      <w:r>
        <w:rPr>
          <w:rtl w:val="true"/>
        </w:rPr>
        <w:t xml:space="preserve">הוא גם לא תאר כיצד דקר את המנוח אלא אך עשה פעולה של הזזת הסכין קדימה במספר סנטימטרים </w:t>
      </w:r>
      <w:r>
        <w:rPr>
          <w:rtl w:val="true"/>
        </w:rPr>
        <w:t>–</w:t>
      </w:r>
      <w:r>
        <w:rPr>
          <w:rtl w:val="true"/>
        </w:rPr>
        <w:t xml:space="preserve"> ללא כל הסטה אנכית וללא הדגמה של הפעלת כוח לכיוון בטנו של המנוח</w:t>
      </w:r>
      <w:r>
        <w:rPr>
          <w:rtl w:val="true"/>
        </w:rPr>
        <w:t xml:space="preserve">, </w:t>
      </w:r>
      <w:r>
        <w:rPr>
          <w:rtl w:val="true"/>
        </w:rPr>
        <w:t>שעה שעל פי דוח הפתולוג</w:t>
      </w:r>
      <w:r>
        <w:rPr>
          <w:rtl w:val="true"/>
        </w:rPr>
        <w:t xml:space="preserve">, </w:t>
      </w:r>
      <w:r>
        <w:rPr>
          <w:rtl w:val="true"/>
        </w:rPr>
        <w:t>כיוון הדקירה היה בבירור בתנועה אנכית מכיוון מעלה לכיוון מטה</w:t>
      </w:r>
      <w:r>
        <w:rPr>
          <w:rtl w:val="true"/>
        </w:rPr>
        <w:t xml:space="preserve">. </w:t>
      </w:r>
      <w:r>
        <w:rPr>
          <w:rtl w:val="true"/>
        </w:rPr>
        <w:t>גם כאן קשה עד בלתי אפשרי ללמוד מכך על אמיתות הגרסה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360"/>
          <w:tab w:val="left" w:pos="800" w:leader="none"/>
          <w:tab w:val="left" w:pos="907" w:leader="none"/>
        </w:tabs>
        <w:ind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בשים לב לאמור ולנימוקים הנוספים שהובאו על ידי חברי</w:t>
      </w:r>
      <w:r>
        <w:rPr>
          <w:rtl w:val="true"/>
        </w:rPr>
        <w:t xml:space="preserve">, </w:t>
      </w:r>
      <w:r>
        <w:rPr>
          <w:rtl w:val="true"/>
        </w:rPr>
        <w:t>שותף אני לדעתו כי דין הערעור להידחות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30.7.2018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Miriam"/>
          <w:sz w:val="28"/>
          <w:sz w:val="28"/>
          <w:u w:val="single"/>
          <w:rtl w:val="true"/>
        </w:rPr>
        <w:t>הערה</w:t>
      </w:r>
      <w:r>
        <w:rPr>
          <w:rFonts w:cs="Miriam"/>
          <w:sz w:val="28"/>
          <w:rtl w:val="true"/>
        </w:rPr>
        <w:t>: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  <w:lang w:val="en-IL" w:eastAsia="en-IL"/>
        </w:rPr>
        <w:t>נוסח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  <w:lang w:val="en-IL" w:eastAsia="en-IL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  <w:lang w:val="en-IL" w:eastAsia="en-IL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  <w:lang w:val="en-IL" w:eastAsia="en-IL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  <w:lang w:val="en-IL" w:eastAsia="en-IL"/>
        </w:rPr>
        <w:t>הותר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  <w:lang w:val="en-IL" w:eastAsia="en-IL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  <w:lang w:val="en-IL" w:eastAsia="en-IL"/>
        </w:rPr>
        <w:t>לפרסום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  <w:lang w:val="en-IL" w:eastAsia="en-IL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  <w:lang w:val="en-IL" w:eastAsia="en-IL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  <w:lang w:val="en-IL" w:eastAsia="en-IL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lang w:val="en-IL" w:eastAsia="en-IL"/>
        </w:rPr>
        <w:t>2.8.2018</w:t>
      </w:r>
      <w:r>
        <w:rPr>
          <w:rFonts w:cs="FrankRuehl" w:ascii="Arial TUR;Arial" w:hAnsi="Arial TUR;Arial"/>
          <w:spacing w:val="10"/>
          <w:sz w:val="22"/>
          <w:szCs w:val="28"/>
          <w:rtl w:val="true"/>
          <w:lang w:val="en-IL" w:eastAsia="en-IL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  <w:lang w:val="en-IL" w:eastAsia="en-IL"/>
        </w:rPr>
        <w:t xml:space="preserve">         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16068120</w:t>
      </w:r>
      <w:r>
        <w:rPr>
          <w:sz w:val="16"/>
          <w:rtl w:val="true"/>
        </w:rPr>
        <w:t>_</w:t>
      </w:r>
      <w:r>
        <w:rPr>
          <w:sz w:val="16"/>
        </w:rPr>
        <w:t>E06.doc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54678313-6812/16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4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7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6812/16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</w:rPr>
      <w:t>044748-02-15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abs>
        <w:tab w:val="left" w:pos="360" w:leader="none"/>
        <w:tab w:val="left" w:pos="800" w:leader="none"/>
      </w:tabs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9230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.a" TargetMode="External"/><Relationship Id="rId5" Type="http://schemas.openxmlformats.org/officeDocument/2006/relationships/hyperlink" Target="http://www.nevo.co.il/law/70301/34i" TargetMode="External"/><Relationship Id="rId6" Type="http://schemas.openxmlformats.org/officeDocument/2006/relationships/hyperlink" Target="http://www.nevo.co.il/law/70301/34i.b" TargetMode="External"/><Relationship Id="rId7" Type="http://schemas.openxmlformats.org/officeDocument/2006/relationships/hyperlink" Target="http://www.nevo.co.il/law/70301/300.a" TargetMode="External"/><Relationship Id="rId8" Type="http://schemas.openxmlformats.org/officeDocument/2006/relationships/hyperlink" Target="http://www.nevo.co.il/law/70301/428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10a" TargetMode="External"/><Relationship Id="rId12" Type="http://schemas.openxmlformats.org/officeDocument/2006/relationships/hyperlink" Target="http://www.nevo.co.il/law/70301/300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28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98569/10a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case/5904108" TargetMode="External"/><Relationship Id="rId20" Type="http://schemas.openxmlformats.org/officeDocument/2006/relationships/hyperlink" Target="http://www.nevo.co.il/case/5885079" TargetMode="External"/><Relationship Id="rId21" Type="http://schemas.openxmlformats.org/officeDocument/2006/relationships/hyperlink" Target="http://www.nevo.co.il/case/6012849" TargetMode="External"/><Relationship Id="rId22" Type="http://schemas.openxmlformats.org/officeDocument/2006/relationships/hyperlink" Target="http://www.nevo.co.il/case/17925586" TargetMode="External"/><Relationship Id="rId23" Type="http://schemas.openxmlformats.org/officeDocument/2006/relationships/hyperlink" Target="http://www.nevo.co.il/case/5905399" TargetMode="External"/><Relationship Id="rId24" Type="http://schemas.openxmlformats.org/officeDocument/2006/relationships/hyperlink" Target="http://www.nevo.co.il/case/5714412" TargetMode="External"/><Relationship Id="rId25" Type="http://schemas.openxmlformats.org/officeDocument/2006/relationships/hyperlink" Target="http://www.nevo.co.il/case/5892785" TargetMode="External"/><Relationship Id="rId26" Type="http://schemas.openxmlformats.org/officeDocument/2006/relationships/hyperlink" Target="http://www.nevo.co.il/case/5691790" TargetMode="External"/><Relationship Id="rId27" Type="http://schemas.openxmlformats.org/officeDocument/2006/relationships/hyperlink" Target="http://www.nevo.co.il/case/5691676" TargetMode="External"/><Relationship Id="rId28" Type="http://schemas.openxmlformats.org/officeDocument/2006/relationships/hyperlink" Target="http://www.nevo.co.il/case/5696137" TargetMode="External"/><Relationship Id="rId29" Type="http://schemas.openxmlformats.org/officeDocument/2006/relationships/hyperlink" Target="http://www.nevo.co.il/case/5580529" TargetMode="External"/><Relationship Id="rId30" Type="http://schemas.openxmlformats.org/officeDocument/2006/relationships/hyperlink" Target="http://www.nevo.co.il/case/17918611" TargetMode="External"/><Relationship Id="rId31" Type="http://schemas.openxmlformats.org/officeDocument/2006/relationships/hyperlink" Target="http://www.nevo.co.il/case/7980158" TargetMode="External"/><Relationship Id="rId32" Type="http://schemas.openxmlformats.org/officeDocument/2006/relationships/hyperlink" Target="http://www.nevo.co.il/law/70301/29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4i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4i.b" TargetMode="External"/><Relationship Id="rId37" Type="http://schemas.openxmlformats.org/officeDocument/2006/relationships/hyperlink" Target="http://www.nevo.co.il/case/13070531" TargetMode="External"/><Relationship Id="rId38" Type="http://schemas.openxmlformats.org/officeDocument/2006/relationships/hyperlink" Target="http://www.nevo.co.il/case/20982179" TargetMode="External"/><Relationship Id="rId39" Type="http://schemas.openxmlformats.org/officeDocument/2006/relationships/hyperlink" Target="http://www.nevo.co.il/case/7678676" TargetMode="External"/><Relationship Id="rId40" Type="http://schemas.openxmlformats.org/officeDocument/2006/relationships/hyperlink" Target="http://www.nevo.co.il/case/5913440" TargetMode="External"/><Relationship Id="rId41" Type="http://schemas.openxmlformats.org/officeDocument/2006/relationships/hyperlink" Target="https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2018-08-07T06:09:00Z</dcterms:created>
  <dc:creator> </dc:creator>
  <dc:description/>
  <cp:keywords/>
  <dc:language>en-IL</dc:language>
  <cp:lastModifiedBy>orly</cp:lastModifiedBy>
  <cp:lastPrinted>2005-02-10T11:00:00Z</cp:lastPrinted>
  <dcterms:modified xsi:type="dcterms:W3CDTF">2018-08-07T06:09:00Z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20092308;5904108;5885079;6012849;17925586;5905399;5714412;5892785;5691790;5691676;5696137;5580529;17918611;7980158;13070531;20982179;7678676;5913440</vt:lpwstr>
  </property>
  <property fmtid="{D5CDD505-2E9C-101B-9397-08002B2CF9AE}" pid="9" name="CITY">
    <vt:lpwstr/>
  </property>
  <property fmtid="{D5CDD505-2E9C-101B-9397-08002B2CF9AE}" pid="10" name="DATE">
    <vt:lpwstr>20180730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ברון;ד' מינץ</vt:lpwstr>
  </property>
  <property fmtid="{D5CDD505-2E9C-101B-9397-08002B2CF9AE}" pid="14" name="LAWLISTTMP1">
    <vt:lpwstr>70301/300.a;428;452;029.a;034i;034i.b</vt:lpwstr>
  </property>
  <property fmtid="{D5CDD505-2E9C-101B-9397-08002B2CF9AE}" pid="15" name="LAWLISTTMP2">
    <vt:lpwstr>98569/010a</vt:lpwstr>
  </property>
  <property fmtid="{D5CDD505-2E9C-101B-9397-08002B2CF9AE}" pid="16" name="LAWYER">
    <vt:lpwstr>דפנה שמול;עבאס אילן;שמעון ציון;דורון נוי;אסיף קזולה שי פנדו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דיון פלילי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77;77;77;77;18</vt:lpwstr>
  </property>
  <property fmtid="{D5CDD505-2E9C-101B-9397-08002B2CF9AE}" pid="38" name="NOSE21">
    <vt:lpwstr>עבירת הרצח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ענישה</vt:lpwstr>
  </property>
  <property fmtid="{D5CDD505-2E9C-101B-9397-08002B2CF9AE}" pid="42" name="NOSE24">
    <vt:lpwstr>הגנות</vt:lpwstr>
  </property>
  <property fmtid="{D5CDD505-2E9C-101B-9397-08002B2CF9AE}" pid="43" name="NOSE25">
    <vt:lpwstr>ערעור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12455;1443;1446;1431;504</vt:lpwstr>
  </property>
  <property fmtid="{D5CDD505-2E9C-101B-9397-08002B2CF9AE}" pid="49" name="NOSE31">
    <vt:lpwstr>החלטה להמית</vt:lpwstr>
  </property>
  <property fmtid="{D5CDD505-2E9C-101B-9397-08002B2CF9AE}" pid="50" name="NOSE310">
    <vt:lpwstr/>
  </property>
  <property fmtid="{D5CDD505-2E9C-101B-9397-08002B2CF9AE}" pid="51" name="NOSE32">
    <vt:lpwstr>רצח בכוונה תחילה</vt:lpwstr>
  </property>
  <property fmtid="{D5CDD505-2E9C-101B-9397-08002B2CF9AE}" pid="52" name="NOSE33">
    <vt:lpwstr>פגיעה על רקע `כבוד המשפחה`‏</vt:lpwstr>
  </property>
  <property fmtid="{D5CDD505-2E9C-101B-9397-08002B2CF9AE}" pid="53" name="NOSE34">
    <vt:lpwstr>שכרות</vt:lpwstr>
  </property>
  <property fmtid="{D5CDD505-2E9C-101B-9397-08002B2CF9AE}" pid="54" name="NOSE35">
    <vt:lpwstr>אי-התערבות בממצאים עובדתיים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16197;17798;15233;8691;3849</vt:lpwstr>
  </property>
  <property fmtid="{D5CDD505-2E9C-101B-9397-08002B2CF9AE}" pid="60" name="PADIDATE">
    <vt:lpwstr>20180807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6812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410120180730</vt:lpwstr>
  </property>
  <property fmtid="{D5CDD505-2E9C-101B-9397-08002B2CF9AE}" pid="70" name="TYPE_N_DATE">
    <vt:lpwstr>41020180730</vt:lpwstr>
  </property>
  <property fmtid="{D5CDD505-2E9C-101B-9397-08002B2CF9AE}" pid="71" name="VOLUME">
    <vt:lpwstr/>
  </property>
  <property fmtid="{D5CDD505-2E9C-101B-9397-08002B2CF9AE}" pid="72" name="WORDNUMPAGES">
    <vt:lpwstr>23</vt:lpwstr>
  </property>
</Properties>
</file>