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6823/18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20774-03-17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קאפח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ענר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10"/>
          <w:szCs w:val="16"/>
        </w:rPr>
      </w:pPr>
      <w:r>
        <w:rPr>
          <w:rFonts w:cs="FrankRuehl" w:ascii="FrankRuehl" w:hAnsi="FrankRuehl"/>
          <w:color w:val="0000FF"/>
          <w:spacing w:val="0"/>
          <w:sz w:val="10"/>
          <w:szCs w:val="16"/>
          <w:rtl w:val="true"/>
        </w:rPr>
      </w:r>
      <w:bookmarkStart w:id="5" w:name="LawTable_End"/>
      <w:bookmarkStart w:id="6" w:name="LawTable_End"/>
      <w:bookmarkEnd w:id="6"/>
    </w:p>
    <w:p>
      <w:pPr>
        <w:pStyle w:val="Ruller31"/>
        <w:spacing w:lineRule="auto" w:line="24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הקל בעונש המאסר בפועל שהושת על המערער בגין הרשעתו בביצוע מעשה מגונה בכוח בקטינה שטרם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חרף מעשיו החמורים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זהו מקרה חריג המצדיק 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חרג לחומרא באופן ניכר ממדיניות הענישה הנוהגת בנסיבות דומות כאשר יש ליתן ביטוי גם לעיקרון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אחדות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התערבות במידת 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גזר 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נגזרו על המערער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במצטבר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מותנה של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ותשלום פיצוי לנפגעת העבירה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80,000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הרשעתו בביצוע מעשה מגונה בכוח בקטינה שטרם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ובעבירה של הפרת צו פיקוח לפי חוק ההגנה על הציבור מפני ביצוע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נסוב על עונש המאסר בפועל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הנשיאה חיות והשופטת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חומרת מעשיו הנפשעים של המערער בקטינה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בוצעו תוך ניצול מחפיר של גילהּ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והסבו לה ולמשפחתה נזקים קשים ועל כך שחומרתן הרבה של עבירות מין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ענישה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כביטוי להוקעתם מכל וכל מתוך החברה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כאמצעי הרתעה ליחיד ולרבים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וכגמול בעבור פגיעתם הקשה בקורבנות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הקטינים חסרי הישע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ספק אם הזמן יוכל לרפאהּ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 זו מקבלת משנה תוקף לנוכח הפרתו של המערער את צו הפיקוח שהוטל עליו בגין עברו הפלילי המכביד של פגיעה מינית בקטינים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להפחית ולו במעט ממידת החומרה שבמעשיו של המערער המתעצמת נוכח עברו הפלילי בתחום עבירות המין וביצוע העבירה בעת שהיה תחת צו פיקוח כאמור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מצא כי יש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ציין כי אמנם ערכאת הערעור לא תיטה להתערב בגזר דין שניתן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שבהם העונש שנגזר בגדר בגזר הדין חורג באופן קיצוני 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המקרה דנן אף בנסיבותיו החמורות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נופל בגדר מקרים חריגים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חרג לחומרא באופן ניכר 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בהקשר זה על האינטרס הציבורי בהקפדה על 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המהווה עיקרון יסוד במשפט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ומורה כי בנסיבות דומות מבחינת אופי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חומרתן ונסיבות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להחיל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כמה שניתן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אחידה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שוויונית ועקיבה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 למנוע שרירות בענישה ולהבטיח שוויון בפני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חמורים וראויים לכל גינוי והוקעה ואולם חרף הסלידה שמעוררים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העונש המוטל בגינם להלום את 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שיינתן ביטוי גם לעיקרון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האמור ומכלול השיקולים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 מעשי המערער ונסיבות ביצועם מחד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ומדיניות הענישה הנוהגת בנסיבות דומות מאידך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להקל בעונש המאסר בפועל אשר הושת על המערער בגין עבירת המעשה המגונה כך שיעמוד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8.5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בפועל של המערער 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בסך הכול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10"/>
          <w:szCs w:val="16"/>
        </w:rPr>
      </w:pPr>
      <w:r>
        <w:rPr>
          <w:rFonts w:cs="Times New Roman"/>
          <w:spacing w:val="0"/>
          <w:sz w:val="10"/>
          <w:szCs w:val="16"/>
          <w:rtl w:val="true"/>
        </w:rPr>
      </w:r>
      <w:bookmarkStart w:id="8" w:name="ABSTRACT_END"/>
      <w:bookmarkStart w:id="9" w:name="ABSTRACT_END"/>
      <w:bookmarkEnd w:id="9"/>
    </w:p>
    <w:p>
      <w:pPr>
        <w:pStyle w:val="Ruller31"/>
        <w:spacing w:lineRule="auto" w:line="240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Writer_Name"/>
      <w:bookmarkStart w:id="14" w:name="Writer_Name"/>
      <w:bookmarkEnd w:id="14"/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29.7.2018</w:t>
      </w:r>
      <w:r>
        <w:rPr>
          <w:rtl w:val="true"/>
        </w:rPr>
        <w:t xml:space="preserve"> </w:t>
      </w:r>
      <w:r>
        <w:rPr>
          <w:rtl w:val="true"/>
        </w:rPr>
        <w:t>בתפ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20774-03-17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במצטבר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1"/>
        <w:tabs>
          <w:tab w:val="clear" w:pos="720"/>
          <w:tab w:val="left" w:pos="3116" w:leader="none"/>
        </w:tabs>
        <w:ind w:end="0"/>
        <w:jc w:val="both"/>
        <w:rPr>
          <w:rFonts w:ascii="Century" w:hAnsi="Century" w:cs="Miriam"/>
          <w:b/>
          <w:spacing w:val="0"/>
          <w:sz w:val="14"/>
          <w:szCs w:val="16"/>
        </w:rPr>
      </w:pPr>
      <w:r>
        <w:rPr>
          <w:rFonts w:cs="Miriam" w:ascii="Century" w:hAnsi="Century"/>
          <w:b/>
          <w:spacing w:val="0"/>
          <w:sz w:val="14"/>
          <w:szCs w:val="16"/>
          <w:rtl w:val="true"/>
        </w:rPr>
      </w:r>
    </w:p>
    <w:p>
      <w:pPr>
        <w:pStyle w:val="Ruller41"/>
        <w:tabs>
          <w:tab w:val="clear" w:pos="720"/>
          <w:tab w:val="left" w:pos="3116" w:leader="none"/>
        </w:tabs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2"/>
          <w:szCs w:val="18"/>
        </w:rPr>
      </w:pPr>
      <w:r>
        <w:rPr>
          <w:rFonts w:cs="Miriam" w:ascii="Century" w:hAnsi="Century"/>
          <w:b/>
          <w:spacing w:val="0"/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24.2.2016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שתוקפו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28.9.2018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הפיקוח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11.2.2017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הקטינה</w:t>
      </w:r>
      <w:r>
        <w:rPr>
          <w:rtl w:val="true"/>
        </w:rPr>
        <w:t xml:space="preserve">) </w:t>
      </w:r>
      <w:r>
        <w:rPr>
          <w:rtl w:val="true"/>
        </w:rPr>
        <w:t>ושלושת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),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הקטינים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וסוכריות</w:t>
      </w:r>
      <w:r>
        <w:rPr>
          <w:rtl w:val="true"/>
        </w:rPr>
        <w:t xml:space="preserve">,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, </w:t>
      </w:r>
      <w:r>
        <w:rPr>
          <w:rtl w:val="true"/>
        </w:rPr>
        <w:t>לעצום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והקטינה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קירב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4"/>
          <w:szCs w:val="20"/>
        </w:rPr>
      </w:pPr>
      <w:r>
        <w:rPr>
          <w:rFonts w:cs="Miriam" w:ascii="Century" w:hAnsi="Century"/>
          <w:b/>
          <w:spacing w:val="0"/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ובראשם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לכבוד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ולאוטונומיה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ascii="FrankRuehl" w:hAnsi="FrankRuehl"/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ופיתויה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בסוכריה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ובמשחק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והשיטוט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כקורבן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1"/>
        <w:ind w:end="0"/>
        <w:jc w:val="both"/>
        <w:rPr>
          <w:highlight w:val="lightGray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;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4"/>
          <w:szCs w:val="20"/>
          <w:highlight w:val="lightGray"/>
        </w:rPr>
      </w:pPr>
      <w:r>
        <w:rPr>
          <w:sz w:val="14"/>
          <w:szCs w:val="20"/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המגונה</w:t>
      </w:r>
      <w:r>
        <w:rPr>
          <w:rtl w:val="true"/>
        </w:rPr>
        <w:t xml:space="preserve">;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מפני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ביצוע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 w:val="12"/>
          <w:szCs w:val="18"/>
        </w:rPr>
      </w:pPr>
      <w:r>
        <w:rPr>
          <w:rFonts w:cs="Century" w:ascii="Century" w:hAnsi="Century"/>
          <w:b/>
          <w:spacing w:val="0"/>
          <w:sz w:val="12"/>
          <w:szCs w:val="18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החמיר בעונשו יתר על המידה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העונש שהוטל עליו חורג באופן קיצוני ממדיניות הענישה הנוהגת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כי אין תקדים לענישה כה מחמירה בגין מעשה מגונה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 כי לא ניתן לקבוע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בסיס העובדות המתוארות בכתב האישום המתוקן כי מדובר במעשה שקדם לו תכנון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שגה בית המשפט המחוזי בכך שזקף זאת לחובתו כנסיבה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בית המשפט המחוזי לא נתן משקל מספק לקולא לנסיבות חייו הקשות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להודאתו במיוחס לו ולמצבו הרפואי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14"/>
          <w:szCs w:val="20"/>
          <w:highlight w:val="lightGray"/>
        </w:rPr>
      </w:pPr>
      <w:r>
        <w:rPr>
          <w:rFonts w:cs="Century" w:ascii="Century" w:hAnsi="Century"/>
          <w:sz w:val="14"/>
          <w:szCs w:val="20"/>
          <w:highlight w:val="lightGray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; </w:t>
      </w:r>
      <w:r>
        <w:rPr>
          <w:rtl w:val="true"/>
        </w:rPr>
        <w:t>לגילה</w:t>
      </w:r>
      <w:r>
        <w:rPr>
          <w:rFonts w:ascii="FrankRuehl" w:hAnsi="FrankRuehl"/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; </w:t>
      </w:r>
      <w:r>
        <w:rPr>
          <w:rtl w:val="true"/>
        </w:rPr>
        <w:t>להפרתו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23.5.2019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1.8.2019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1.8.2019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דקהפפטיל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6.8.2019</w:t>
      </w:r>
      <w:r>
        <w:rPr>
          <w:rtl w:val="true"/>
        </w:rPr>
        <w:t xml:space="preserve"> </w:t>
      </w:r>
      <w:r>
        <w:rPr>
          <w:rtl w:val="true"/>
        </w:rPr>
        <w:t>עדכנה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17.2.2020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המעדכנת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14"/>
          <w:szCs w:val="20"/>
        </w:rPr>
      </w:pPr>
      <w:r>
        <w:rPr>
          <w:rFonts w:cs="Miriam" w:ascii="Century" w:hAnsi="Century"/>
          <w:b/>
          <w:spacing w:val="0"/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כמבואר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מחפיר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ascii="FrankRuehl" w:hAnsi="FrankRuehl"/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ולרבים</w:t>
      </w:r>
      <w:r>
        <w:rPr>
          <w:rtl w:val="true"/>
        </w:rPr>
        <w:t xml:space="preserve">, </w:t>
      </w:r>
      <w:r>
        <w:rPr>
          <w:rtl w:val="true"/>
        </w:rPr>
        <w:t>וכגמול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בקורבנות</w:t>
      </w:r>
      <w:r>
        <w:rPr>
          <w:rtl w:val="true"/>
        </w:rPr>
        <w:t>-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לרפאה</w:t>
      </w:r>
      <w:r>
        <w:rPr>
          <w:rFonts w:ascii="FrankRuehl" w:hAnsi="FrankRuehl"/>
          <w:rtl w:val="true"/>
        </w:rPr>
        <w:t>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10.3.2008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10626/07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24.1.2011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15.1.2018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3.10.2019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29.1.2020</w:t>
      </w:r>
      <w:r>
        <w:rPr>
          <w:rtl w:val="true"/>
        </w:rPr>
        <w:t xml:space="preserve">)).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30.5.2018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אנופרייב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23.1.2019</w:t>
      </w:r>
      <w:r>
        <w:rPr>
          <w:rtl w:val="true"/>
        </w:rPr>
        <w:t xml:space="preserve">)).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15.7.2012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23.9.2012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23.1.2013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, </w:t>
      </w:r>
      <w:r>
        <w:rPr>
          <w:rtl w:val="true"/>
        </w:rPr>
        <w:t>שוויונית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ועקיבה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פייביש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701</w:t>
      </w:r>
      <w:r>
        <w:rPr>
          <w:rtl w:val="true"/>
        </w:rPr>
        <w:t xml:space="preserve">, </w:t>
      </w:r>
      <w:r>
        <w:rPr/>
        <w:t>708-707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8.2.2012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18.7.2013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23.9.2014</w:t>
      </w:r>
      <w:r>
        <w:rPr>
          <w:rtl w:val="true"/>
        </w:rPr>
        <w:t xml:space="preserve">)).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והוקעה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ובהביאי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32"/>
          <w:szCs w:val="38"/>
        </w:rPr>
      </w:pPr>
      <w:r>
        <w:rPr>
          <w:sz w:val="32"/>
          <w:szCs w:val="3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5.3.2020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18068230</w:t>
      </w:r>
      <w:r>
        <w:rPr>
          <w:sz w:val="16"/>
          <w:rtl w:val="true"/>
        </w:rPr>
        <w:t>_</w:t>
      </w:r>
      <w:r>
        <w:rPr>
          <w:sz w:val="16"/>
        </w:rPr>
        <w:t>R13.docx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  <w:r>
        <w:rPr>
          <w:rtl w:val="true"/>
        </w:rPr>
        <w:t>+</w:t>
      </w:r>
      <w:r>
        <w:rPr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54678313-6823/18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6823/18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רומן לוין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b.1" TargetMode="External"/><Relationship Id="rId4" Type="http://schemas.openxmlformats.org/officeDocument/2006/relationships/hyperlink" Target="http://www.nevo.co.il/law/70301/348.b" TargetMode="External"/><Relationship Id="rId5" Type="http://schemas.openxmlformats.org/officeDocument/2006/relationships/hyperlink" Target="http://www.nevo.co.il/law/70301/jCeS" TargetMode="External"/><Relationship Id="rId6" Type="http://schemas.openxmlformats.org/officeDocument/2006/relationships/hyperlink" Target="http://www.nevo.co.il/law/90730" TargetMode="External"/><Relationship Id="rId7" Type="http://schemas.openxmlformats.org/officeDocument/2006/relationships/hyperlink" Target="http://www.nevo.co.il/law/90730/22" TargetMode="External"/><Relationship Id="rId8" Type="http://schemas.openxmlformats.org/officeDocument/2006/relationships/hyperlink" Target="http://www.nevo.co.il/law/90730/22.a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90730/22.a" TargetMode="External"/><Relationship Id="rId13" Type="http://schemas.openxmlformats.org/officeDocument/2006/relationships/hyperlink" Target="http://www.nevo.co.il/law/90730" TargetMode="External"/><Relationship Id="rId14" Type="http://schemas.openxmlformats.org/officeDocument/2006/relationships/hyperlink" Target="http://www.nevo.co.il/law/70301/jCeS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90730/22" TargetMode="External"/><Relationship Id="rId18" Type="http://schemas.openxmlformats.org/officeDocument/2006/relationships/hyperlink" Target="http://www.nevo.co.il/law/90730" TargetMode="External"/><Relationship Id="rId19" Type="http://schemas.openxmlformats.org/officeDocument/2006/relationships/hyperlink" Target="http://www.nevo.co.il/case/6234386" TargetMode="External"/><Relationship Id="rId20" Type="http://schemas.openxmlformats.org/officeDocument/2006/relationships/hyperlink" Target="http://www.nevo.co.il/case/5988374" TargetMode="External"/><Relationship Id="rId21" Type="http://schemas.openxmlformats.org/officeDocument/2006/relationships/hyperlink" Target="http://www.nevo.co.il/case/21478626" TargetMode="External"/><Relationship Id="rId22" Type="http://schemas.openxmlformats.org/officeDocument/2006/relationships/hyperlink" Target="http://www.nevo.co.il/case/25860716" TargetMode="External"/><Relationship Id="rId23" Type="http://schemas.openxmlformats.org/officeDocument/2006/relationships/hyperlink" Target="http://www.nevo.co.il/case/25430225" TargetMode="External"/><Relationship Id="rId24" Type="http://schemas.openxmlformats.org/officeDocument/2006/relationships/hyperlink" Target="http://www.nevo.co.il/case/24263465" TargetMode="External"/><Relationship Id="rId25" Type="http://schemas.openxmlformats.org/officeDocument/2006/relationships/hyperlink" Target="http://www.nevo.co.il/case/24307831" TargetMode="External"/><Relationship Id="rId26" Type="http://schemas.openxmlformats.org/officeDocument/2006/relationships/hyperlink" Target="http://www.nevo.co.il/case/6247080" TargetMode="External"/><Relationship Id="rId27" Type="http://schemas.openxmlformats.org/officeDocument/2006/relationships/hyperlink" Target="http://www.nevo.co.il/case/6245790" TargetMode="External"/><Relationship Id="rId28" Type="http://schemas.openxmlformats.org/officeDocument/2006/relationships/hyperlink" Target="http://www.nevo.co.il/case/6243858" TargetMode="External"/><Relationship Id="rId29" Type="http://schemas.openxmlformats.org/officeDocument/2006/relationships/hyperlink" Target="http://www.nevo.co.il/case/6887392" TargetMode="External"/><Relationship Id="rId30" Type="http://schemas.openxmlformats.org/officeDocument/2006/relationships/hyperlink" Target="http://www.nevo.co.il/case/24140772" TargetMode="External"/><Relationship Id="rId31" Type="http://schemas.openxmlformats.org/officeDocument/2006/relationships/hyperlink" Target="http://www.nevo.co.il/case/17943127" TargetMode="External"/><Relationship Id="rId32" Type="http://schemas.openxmlformats.org/officeDocument/2006/relationships/hyperlink" Target="http://www.nevo.co.il/case/5703734" TargetMode="External"/><Relationship Id="rId33" Type="http://schemas.openxmlformats.org/officeDocument/2006/relationships/hyperlink" Target="http://www.nevo.co.il/case/6950458" TargetMode="External"/><Relationship Id="rId34" Type="http://schemas.openxmlformats.org/officeDocument/2006/relationships/hyperlink" Target="http://www.nevo.co.il/case/13104267" TargetMode="External"/><Relationship Id="rId35" Type="http://schemas.openxmlformats.org/officeDocument/2006/relationships/hyperlink" Target="http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2020-03-09T08:49:00Z</dcterms:created>
  <dc:creator>h4</dc:creator>
  <dc:description/>
  <cp:keywords/>
  <dc:language>en-IL</dc:language>
  <cp:lastModifiedBy>orly</cp:lastModifiedBy>
  <cp:lastPrinted>2020-03-05T14:20:00Z</cp:lastPrinted>
  <dcterms:modified xsi:type="dcterms:W3CDTF">2020-03-09T08:49:00Z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רומן לוין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6234386;5988374;21478626;25860716;25430225;24263465;24307831;6247080;6245790;6243858;6887392;24140772;17943127;5703734;6950458;13104267</vt:lpwstr>
  </property>
  <property fmtid="{D5CDD505-2E9C-101B-9397-08002B2CF9AE}" pid="9" name="CITY">
    <vt:lpwstr/>
  </property>
  <property fmtid="{D5CDD505-2E9C-101B-9397-08002B2CF9AE}" pid="10" name="DATE">
    <vt:lpwstr>20200305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וילנר;א' חיות</vt:lpwstr>
  </property>
  <property fmtid="{D5CDD505-2E9C-101B-9397-08002B2CF9AE}" pid="14" name="LAWLISTTMP1">
    <vt:lpwstr>70301/348.b;345.b.1;jCeS:2</vt:lpwstr>
  </property>
  <property fmtid="{D5CDD505-2E9C-101B-9397-08002B2CF9AE}" pid="15" name="LAWLISTTMP2">
    <vt:lpwstr>90730/022.a;022</vt:lpwstr>
  </property>
  <property fmtid="{D5CDD505-2E9C-101B-9397-08002B2CF9AE}" pid="16" name="LAWYER">
    <vt:lpwstr>שרית חתוקה;טל ענר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בתי-משפט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1446;1446;1446;1446;333</vt:lpwstr>
  </property>
  <property fmtid="{D5CDD505-2E9C-101B-9397-08002B2CF9AE}" pid="49" name="NOSE31">
    <vt:lpwstr>מדיניות ענישה: עבירות מין בקטינים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 לקולה</vt:lpwstr>
  </property>
  <property fmtid="{D5CDD505-2E9C-101B-9397-08002B2CF9AE}" pid="52" name="NOSE33">
    <vt:lpwstr>אחדות הענישה</vt:lpwstr>
  </property>
  <property fmtid="{D5CDD505-2E9C-101B-9397-08002B2CF9AE}" pid="53" name="NOSE34">
    <vt:lpwstr>התערבות ערכאת הערעור</vt:lpwstr>
  </property>
  <property fmtid="{D5CDD505-2E9C-101B-9397-08002B2CF9AE}" pid="54" name="NOSE35">
    <vt:lpwstr>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16970;8996;12547;8978;2708</vt:lpwstr>
  </property>
  <property fmtid="{D5CDD505-2E9C-101B-9397-08002B2CF9AE}" pid="60" name="PADIDATE">
    <vt:lpwstr>20200309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6823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410120200305</vt:lpwstr>
  </property>
  <property fmtid="{D5CDD505-2E9C-101B-9397-08002B2CF9AE}" pid="70" name="TYPE_N_DATE">
    <vt:lpwstr>41020200305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