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683/21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2" w:name="FirstAppellant"/>
            <w:bookmarkEnd w:id="2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טובה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מהלו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השלום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25.1.2021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58892-09-20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מינטקביץ</w:t>
            </w:r>
          </w:p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cs="Miriam" w:ascii="Century" w:hAnsi="Century"/>
                <w:b/>
                <w:szCs w:val="24"/>
                <w:rtl w:val="true"/>
              </w:rPr>
            </w:r>
          </w:p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Cs w:val="24"/>
                <w:rtl w:val="true"/>
              </w:rPr>
              <w:t>תשובת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המשיבה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מיום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</w:rPr>
              <w:t>4.2.2021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Ruller31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ששון</w:t>
      </w:r>
      <w:r>
        <w:rPr>
          <w:rFonts w:cs="Times New Roman"/>
          <w:rtl w:val="true"/>
        </w:rPr>
        <w:t xml:space="preserve"> </w:t>
      </w:r>
    </w:p>
    <w:p>
      <w:pPr>
        <w:pStyle w:val="Ruller31"/>
        <w:ind w:end="0"/>
        <w:jc w:val="start"/>
        <w:rPr/>
      </w:pPr>
      <w:bookmarkStart w:id="3" w:name="FirstLawyer"/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bookmarkEnd w:id="3"/>
      <w:r>
        <w:rPr>
          <w:rtl w:val="true"/>
        </w:rPr>
        <w:t>ה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זלושינסקי</w:t>
      </w:r>
    </w:p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4" w:name="ABSTRACT_START"/>
      <w:bookmarkEnd w:id="4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נדחה ערעור על החלטת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השלום שלא לפסול עצמו מלדון בעניינה של המערערת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המואשמת בעבירות זיוף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הונאה מרמה וגניבה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 כי העובדה שהמותב דן בהליך מעצר ואף נחשף לעברו הפלילי של נאשם בתוך 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אינה מקימה כשלעצמה עילת פסלות ויש לבחון כל מקרה לנסיבותיו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מקרה זה אינו מקים עילת פסלות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לא נמצאה הצדקה לפסילת המותב מחמת מראית פני הצדק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 – שופטים – עילת הפסלות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 – פסלות שופט – מראית פני הצדק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החלטת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השלום שלא לפסול עצמו מלדון בעניינה של המערערת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נגדה הוגש כתב אישום בשורה של עבירות שעיקרן זיוף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הונאה בכרטיסי חיוב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מרמה וגניבה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הנשיאה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חיות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הבקשה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העובדה שהמותב דן בהליך מעצר ואף נחשף לעברו הפלילי של נאשם בתוך 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אינה מקימה כשלעצמה עילת פסלות ויש לבחון כל מקרה לנסיבותיו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מקרה זה אינו מקים עילת פסלות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בפני המותב התקיימו שני דיונים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ומפרוטוקול הדיונים הללו עולה כי בדיון הראשון טען בא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כוחה דאז של המערערת בעיקר לעניין מצבה הבריאותי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והחלטת המותב להיעתר לבקשה להארכת המעצר נסמכה על החלטה של מותב אחר שניתנה ימים ספורים קודם לכן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הדיון השני התמקד בתנאי מעצרה של המערערת והיה טכני בעיקרו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בקשת בא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כוחה דאז לדחות את הדיון ולאפשר לו ללמוד את החומר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טענת המערערת כאילו נחשף המותב לחומר ראיות כלשהו באותו דיון נטענה באופן כוללני ואין לה כל תימוכין בפרוטוקול הדיונים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המותב עצמו אף הבהיר בהחלטתו כי הוא אינו זוכר שנחשף לחומרים כלשהם בעניינה של המערערת ובהיעדר כל פירוט על אודות החומרים שאליהם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פי הנטען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נחשף המותב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הונח בסיס לעילת פסלות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טענת המערערת לפיה תכנית העבודה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קיבלה עדיפות על פני זכותה להליך הוגן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נדחתה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הבהיר שמדובר 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 משני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אילו הייתה הצדקה לפסילתו לא היה בשיקול זה כדי להכריע את הכף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בהינתן מכלול נסיבות 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נמצאה הצדקה לפסילת המותב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לא מחמת מראית פני הצדק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5" w:name="ABSTRACT_END"/>
      <w:bookmarkStart w:id="6" w:name="ABSTRACT_END"/>
      <w:bookmarkEnd w:id="6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7" w:name="PsakDin"/>
            <w:bookmarkStart w:id="8" w:name="BeginProtocol"/>
            <w:bookmarkStart w:id="9" w:name="secretary"/>
            <w:bookmarkEnd w:id="7"/>
            <w:bookmarkEnd w:id="8"/>
            <w:bookmarkEnd w:id="9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0" w:name="Writer_Name"/>
      <w:bookmarkEnd w:id="10"/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מינטקביץ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25.1.2021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58892-09-20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27.8.2020</w:t>
      </w:r>
      <w:r>
        <w:rPr>
          <w:rtl w:val="true"/>
        </w:rPr>
        <w:t xml:space="preserve"> </w:t>
      </w:r>
      <w:r>
        <w:rPr>
          <w:rtl w:val="true"/>
        </w:rPr>
        <w:t>נעצרה המערערת</w:t>
      </w:r>
      <w:r>
        <w:rPr>
          <w:rtl w:val="true"/>
        </w:rPr>
        <w:t xml:space="preserve">, </w:t>
      </w:r>
      <w:r>
        <w:rPr>
          <w:rtl w:val="true"/>
        </w:rPr>
        <w:t>נחקרה בחשד לביצוע עבירות הונאה</w:t>
      </w:r>
      <w:r>
        <w:rPr>
          <w:rtl w:val="true"/>
        </w:rPr>
        <w:t xml:space="preserve">, </w:t>
      </w:r>
      <w:r>
        <w:rPr>
          <w:rtl w:val="true"/>
        </w:rPr>
        <w:t>זיוף והתחזות</w:t>
      </w:r>
      <w:r>
        <w:rPr>
          <w:rtl w:val="true"/>
        </w:rPr>
        <w:t xml:space="preserve">, </w:t>
      </w:r>
      <w:r>
        <w:rPr>
          <w:rtl w:val="true"/>
        </w:rPr>
        <w:t>ושוחררה לאחר חקירתה</w:t>
      </w:r>
      <w:r>
        <w:rPr>
          <w:rtl w:val="true"/>
        </w:rPr>
        <w:t xml:space="preserve">. </w:t>
      </w:r>
      <w:r>
        <w:rPr>
          <w:rtl w:val="true"/>
        </w:rPr>
        <w:t>במהלך חודש ספטמבר נעצרה המערערת</w:t>
      </w:r>
      <w:r>
        <w:rPr>
          <w:rtl w:val="true"/>
        </w:rPr>
        <w:t xml:space="preserve">, </w:t>
      </w:r>
      <w:r>
        <w:rPr>
          <w:rtl w:val="true"/>
        </w:rPr>
        <w:t>נחקרה  ושוחררה בתנאים שונים בנוגע לעבירות נוספות</w:t>
      </w:r>
      <w:r>
        <w:rPr>
          <w:rtl w:val="true"/>
        </w:rPr>
        <w:t xml:space="preserve">, </w:t>
      </w:r>
      <w:r>
        <w:rPr>
          <w:rtl w:val="true"/>
        </w:rPr>
        <w:t xml:space="preserve">אך ביום </w:t>
      </w:r>
      <w:r>
        <w:rPr/>
        <w:t>21.9.2020</w:t>
      </w:r>
      <w:r>
        <w:rPr>
          <w:rtl w:val="true"/>
        </w:rPr>
        <w:t xml:space="preserve"> </w:t>
      </w:r>
      <w:r>
        <w:rPr>
          <w:rtl w:val="true"/>
        </w:rPr>
        <w:t>היא נעצרה בחשד להפרת תנאי השחרור</w:t>
      </w:r>
      <w:r>
        <w:rPr>
          <w:rtl w:val="true"/>
        </w:rPr>
        <w:t xml:space="preserve">, </w:t>
      </w:r>
      <w:r>
        <w:rPr>
          <w:rtl w:val="true"/>
        </w:rPr>
        <w:t>וכן בחשד לביצוע עבירות גניבה נוספות</w:t>
      </w:r>
      <w:r>
        <w:rPr>
          <w:rtl w:val="true"/>
        </w:rPr>
        <w:t xml:space="preserve">. </w:t>
      </w:r>
      <w:r>
        <w:rPr>
          <w:rtl w:val="true"/>
        </w:rPr>
        <w:t>בעקבות כך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22.9.2020</w:t>
      </w:r>
      <w:r>
        <w:rPr>
          <w:rtl w:val="true"/>
        </w:rPr>
        <w:t xml:space="preserve"> </w:t>
      </w:r>
      <w:r>
        <w:rPr>
          <w:rtl w:val="true"/>
        </w:rPr>
        <w:t xml:space="preserve">הוארך מעצרה של המערערת עד ליום </w:t>
      </w:r>
      <w:r>
        <w:rPr/>
        <w:t>25.9.2020</w:t>
      </w:r>
      <w:r>
        <w:rPr>
          <w:rtl w:val="true"/>
        </w:rPr>
        <w:t xml:space="preserve">, </w:t>
      </w:r>
      <w:r>
        <w:rPr>
          <w:rtl w:val="true"/>
        </w:rPr>
        <w:t>ונקבע כי בנסיבות שנוצרו  לא ניתן עוד לתת בה אמון</w:t>
      </w:r>
      <w:r>
        <w:rPr>
          <w:rtl w:val="true"/>
        </w:rPr>
        <w:t xml:space="preserve">. </w:t>
      </w:r>
      <w:r>
        <w:rPr>
          <w:rtl w:val="true"/>
        </w:rPr>
        <w:t xml:space="preserve">ההליכים שהתנהלו בעניינה של המערערת עד ליום </w:t>
      </w:r>
      <w:r>
        <w:rPr/>
        <w:t>25.9.2020</w:t>
      </w:r>
      <w:r>
        <w:rPr>
          <w:rtl w:val="true"/>
        </w:rPr>
        <w:t xml:space="preserve">, </w:t>
      </w:r>
      <w:r>
        <w:rPr>
          <w:rtl w:val="true"/>
        </w:rPr>
        <w:t>התנהלו בפני מותבים שונים</w:t>
      </w:r>
      <w:r>
        <w:rPr>
          <w:rtl w:val="true"/>
        </w:rPr>
        <w:t xml:space="preserve">, </w:t>
      </w:r>
      <w:r>
        <w:rPr>
          <w:rtl w:val="true"/>
        </w:rPr>
        <w:t xml:space="preserve">שאינם המותב אשר בעניינו הוגשה בקשת הפסלות נושא הערעור דנן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המותב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25.9.2020</w:t>
      </w:r>
      <w:r>
        <w:rPr>
          <w:rtl w:val="true"/>
        </w:rPr>
        <w:t xml:space="preserve"> </w:t>
      </w:r>
      <w:r>
        <w:rPr>
          <w:rtl w:val="true"/>
        </w:rPr>
        <w:t>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הצהרת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תובע</w:t>
      </w:r>
      <w:r>
        <w:rPr>
          <w:rtl w:val="true"/>
        </w:rPr>
        <w:t xml:space="preserve">.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לשחררה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המותב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22.9.2020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בתנאים</w:t>
      </w:r>
      <w:r>
        <w:rPr>
          <w:rtl w:val="true"/>
        </w:rPr>
        <w:t xml:space="preserve">, </w:t>
      </w:r>
      <w:r>
        <w:rPr>
          <w:rtl w:val="true"/>
        </w:rPr>
        <w:t>והורה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לאשפוזה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 xml:space="preserve">ביום </w:t>
      </w:r>
      <w:r>
        <w:rPr/>
        <w:t>29.9.2020</w:t>
      </w:r>
      <w:r>
        <w:rPr>
          <w:rtl w:val="true"/>
        </w:rPr>
        <w:t xml:space="preserve"> </w:t>
      </w:r>
      <w:r>
        <w:rPr>
          <w:rtl w:val="true"/>
        </w:rPr>
        <w:t>הוגש כתב אישום נגד המערערת בשורה של עבירות שעיקרן זיוף</w:t>
      </w:r>
      <w:r>
        <w:rPr>
          <w:rtl w:val="true"/>
        </w:rPr>
        <w:t xml:space="preserve">, </w:t>
      </w:r>
      <w:r>
        <w:rPr>
          <w:rtl w:val="true"/>
        </w:rPr>
        <w:t>הונאה בכרטיסי חיוב</w:t>
      </w:r>
      <w:r>
        <w:rPr>
          <w:rtl w:val="true"/>
        </w:rPr>
        <w:t xml:space="preserve">, </w:t>
      </w:r>
      <w:r>
        <w:rPr>
          <w:rtl w:val="true"/>
        </w:rPr>
        <w:t>מרמה וגניבה</w:t>
      </w:r>
      <w:r>
        <w:rPr>
          <w:rtl w:val="true"/>
        </w:rPr>
        <w:t xml:space="preserve">. 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הוגשה בקשה למעצר המערערת עד תום ההליכים</w:t>
      </w:r>
      <w:r>
        <w:rPr>
          <w:rtl w:val="true"/>
        </w:rPr>
        <w:t xml:space="preserve">. </w:t>
      </w:r>
      <w:r>
        <w:rPr>
          <w:rtl w:val="true"/>
        </w:rPr>
        <w:t xml:space="preserve">בבקשה זו דן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</w:t>
      </w:r>
      <w:r>
        <w:rPr>
          <w:rtl w:val="true"/>
        </w:rPr>
        <w:t xml:space="preserve"> שקבע כי המערערת תישאר במעצר עד החלטה אחרת</w:t>
      </w:r>
      <w:r>
        <w:rPr>
          <w:rtl w:val="true"/>
        </w:rPr>
        <w:t xml:space="preserve">, </w:t>
      </w:r>
      <w:r>
        <w:rPr>
          <w:rtl w:val="true"/>
        </w:rPr>
        <w:t xml:space="preserve">תוך שפירט מתווה לאשפוזה חלף מעצרה וקבע דיון המשך ליום </w:t>
      </w:r>
      <w:r>
        <w:rPr/>
        <w:t>14.10.2020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כעולה מפרוטוקול הדיון מיום </w:t>
      </w:r>
      <w:r>
        <w:rPr/>
        <w:t>14.10.2020</w:t>
      </w:r>
      <w:r>
        <w:rPr>
          <w:rtl w:val="true"/>
        </w:rPr>
        <w:t xml:space="preserve">, </w:t>
      </w:r>
      <w:r>
        <w:rPr>
          <w:rtl w:val="true"/>
        </w:rPr>
        <w:t>אשר התקיים בפני המותב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כוחה של המערערת דאז טען כי אפשרות יישומו של המתווה לאשפוז חלף מעצר עודנה בבדיקה וביקש כי הדיון יידחה במספר ימים על מנת ליתן בידיו סיפק ללמוד את חומר החקירה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כוחה של המערערת הוסיף וביקש שבית המשפט יתייחס כבר באותו השלב לטענות שהעלתה המערערת בעניין תנאי מעצרה</w:t>
      </w:r>
      <w:r>
        <w:rPr>
          <w:rtl w:val="true"/>
        </w:rPr>
        <w:t xml:space="preserve">. </w:t>
      </w:r>
      <w:r>
        <w:rPr>
          <w:rtl w:val="true"/>
        </w:rPr>
        <w:t>בית המשפט קמא החליט כי ההליכים ימשכו לפני מותבים שונים</w:t>
      </w:r>
      <w:r>
        <w:rPr>
          <w:rtl w:val="true"/>
        </w:rPr>
        <w:t xml:space="preserve">, </w:t>
      </w:r>
      <w:r>
        <w:rPr>
          <w:rtl w:val="true"/>
        </w:rPr>
        <w:t>וכן הפנה את תשומת לב רופא שב</w:t>
      </w:r>
      <w:r>
        <w:rPr>
          <w:rtl w:val="true"/>
        </w:rPr>
        <w:t>"</w:t>
      </w:r>
      <w:r>
        <w:rPr>
          <w:rtl w:val="true"/>
        </w:rPr>
        <w:t>ס לדברי בא</w:t>
      </w:r>
      <w:r>
        <w:rPr>
          <w:rtl w:val="true"/>
        </w:rPr>
        <w:t>-</w:t>
      </w:r>
      <w:r>
        <w:rPr>
          <w:rtl w:val="true"/>
        </w:rPr>
        <w:t>כוחה של המערערת בנוגע למצבה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לאחר מספר דיונים שהתקיימו בפני מותב אחר</w:t>
      </w:r>
      <w:r>
        <w:rPr>
          <w:rtl w:val="true"/>
        </w:rPr>
        <w:t xml:space="preserve">, </w:t>
      </w:r>
      <w:r>
        <w:rPr>
          <w:rtl w:val="true"/>
        </w:rPr>
        <w:t>הועבר התיק לשמיעת ראיות בפני המותב דנן</w:t>
      </w:r>
      <w:r>
        <w:rPr>
          <w:rtl w:val="true"/>
        </w:rPr>
        <w:t xml:space="preserve">, </w:t>
      </w:r>
      <w:r>
        <w:rPr>
          <w:rtl w:val="true"/>
        </w:rPr>
        <w:t>ובתקופה זו אף החליפה המערערת ייצוג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כוחה של המערערת הודיעה כי היא מבקשת שהתיק לא ישמע בפני המותב מאחר שהוא דן במעצרה של המערערת</w:t>
      </w:r>
      <w:r>
        <w:rPr>
          <w:rtl w:val="true"/>
        </w:rPr>
        <w:t xml:space="preserve">. </w:t>
      </w:r>
      <w:r>
        <w:rPr>
          <w:rtl w:val="true"/>
        </w:rPr>
        <w:t>ההודעה נרשמה</w:t>
      </w:r>
      <w:r>
        <w:rPr>
          <w:rtl w:val="true"/>
        </w:rPr>
        <w:t xml:space="preserve">, </w:t>
      </w:r>
      <w:r>
        <w:rPr>
          <w:rtl w:val="true"/>
        </w:rPr>
        <w:t>ובית המשפט קבע כי ייתן החלטתו בעניין זה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 xml:space="preserve">ביום </w:t>
      </w:r>
      <w:r>
        <w:rPr/>
        <w:t>24.1.2021</w:t>
      </w:r>
      <w:r>
        <w:rPr>
          <w:rtl w:val="true"/>
        </w:rPr>
        <w:t xml:space="preserve"> </w:t>
      </w:r>
      <w:r>
        <w:rPr>
          <w:rtl w:val="true"/>
        </w:rPr>
        <w:t>הגישה באת</w:t>
      </w:r>
      <w:r>
        <w:rPr>
          <w:rtl w:val="true"/>
        </w:rPr>
        <w:t>-</w:t>
      </w:r>
      <w:r>
        <w:rPr>
          <w:rtl w:val="true"/>
        </w:rPr>
        <w:t xml:space="preserve">כוח המערערת </w:t>
      </w:r>
      <w:r>
        <w:rPr>
          <w:rtl w:val="true"/>
        </w:rPr>
        <w:t>"</w:t>
      </w:r>
      <w:r>
        <w:rPr>
          <w:rtl w:val="true"/>
        </w:rPr>
        <w:t>בקשה להעברת מותב</w:t>
      </w:r>
      <w:r>
        <w:rPr>
          <w:rtl w:val="true"/>
        </w:rPr>
        <w:t xml:space="preserve">", </w:t>
      </w:r>
      <w:r>
        <w:rPr>
          <w:rtl w:val="true"/>
        </w:rPr>
        <w:t xml:space="preserve">שבה ציינה כי נמסר לה שהמותב עסק בתיק במסגרת הליך המעצר ואף </w:t>
      </w:r>
      <w:r>
        <w:rPr>
          <w:rtl w:val="true"/>
        </w:rPr>
        <w:t>"</w:t>
      </w:r>
      <w:r>
        <w:rPr>
          <w:rtl w:val="true"/>
        </w:rPr>
        <w:t>חיווה דעתו באופן כללי</w:t>
      </w:r>
      <w:r>
        <w:rPr>
          <w:rtl w:val="true"/>
        </w:rPr>
        <w:t xml:space="preserve">" </w:t>
      </w:r>
      <w:r>
        <w:rPr>
          <w:rtl w:val="true"/>
        </w:rPr>
        <w:t>בעניין ההליך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 xml:space="preserve">כוח המערערת התייחסה לשני הדיונים שהתנהלו לפני המותב ביום </w:t>
      </w:r>
      <w:r>
        <w:rPr/>
        <w:t>25.9.2020</w:t>
      </w:r>
      <w:r>
        <w:rPr>
          <w:rtl w:val="true"/>
        </w:rPr>
        <w:t xml:space="preserve"> </w:t>
      </w:r>
      <w:r>
        <w:rPr>
          <w:rtl w:val="true"/>
        </w:rPr>
        <w:t xml:space="preserve">וביום </w:t>
      </w:r>
      <w:r>
        <w:rPr/>
        <w:t>14.10.2020</w:t>
      </w:r>
      <w:r>
        <w:rPr>
          <w:rtl w:val="true"/>
        </w:rPr>
        <w:t xml:space="preserve">, </w:t>
      </w:r>
      <w:r>
        <w:rPr>
          <w:rtl w:val="true"/>
        </w:rPr>
        <w:t xml:space="preserve">ולגבי הדיון השני טענה כי נשמעו בו </w:t>
      </w:r>
      <w:r>
        <w:rPr>
          <w:rtl w:val="true"/>
        </w:rPr>
        <w:t>"</w:t>
      </w:r>
      <w:r>
        <w:rPr>
          <w:rtl w:val="true"/>
        </w:rPr>
        <w:t xml:space="preserve">הערות בית </w:t>
      </w:r>
      <w:r>
        <w:rPr>
          <w:rtl w:val="true"/>
        </w:rPr>
        <w:t>[</w:t>
      </w:r>
      <w:r>
        <w:rPr>
          <w:rtl w:val="true"/>
        </w:rPr>
        <w:t>ה</w:t>
      </w:r>
      <w:r>
        <w:rPr>
          <w:rtl w:val="true"/>
        </w:rPr>
        <w:t>]</w:t>
      </w:r>
      <w:r>
        <w:rPr>
          <w:rtl w:val="true"/>
        </w:rPr>
        <w:t xml:space="preserve">משפט </w:t>
      </w:r>
      <w:r>
        <w:rPr>
          <w:rtl w:val="true"/>
        </w:rPr>
        <w:t>[</w:t>
      </w:r>
      <w:r>
        <w:rPr>
          <w:rtl w:val="true"/>
        </w:rPr>
        <w:t>קמא</w:t>
      </w:r>
      <w:r>
        <w:rPr>
          <w:rtl w:val="true"/>
        </w:rPr>
        <w:t xml:space="preserve">], </w:t>
      </w:r>
      <w:r>
        <w:rPr>
          <w:rtl w:val="true"/>
        </w:rPr>
        <w:t>אף מעבר לרשום בפרוטוקול הדיון</w:t>
      </w:r>
      <w:r>
        <w:rPr>
          <w:rtl w:val="true"/>
        </w:rPr>
        <w:t xml:space="preserve">".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 המערערת הדגישה כי ההליך העיקרי טרם החל</w:t>
      </w:r>
      <w:r>
        <w:rPr>
          <w:rtl w:val="true"/>
        </w:rPr>
        <w:t xml:space="preserve">, </w:t>
      </w:r>
      <w:r>
        <w:rPr>
          <w:rtl w:val="true"/>
        </w:rPr>
        <w:t>כך שלטענתה העברת ההליך בשלב הראשוני שבו הוא מצוי</w:t>
      </w:r>
      <w:r>
        <w:rPr>
          <w:rtl w:val="true"/>
        </w:rPr>
        <w:t xml:space="preserve">, </w:t>
      </w:r>
      <w:r>
        <w:rPr>
          <w:rtl w:val="true"/>
        </w:rPr>
        <w:t>לא תגרום נזק ותתרום למראית פני הצדק ולזכותה של המערערת להליך הוגן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בתגובתה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25.9.2020</w:t>
      </w:r>
      <w:r>
        <w:rPr>
          <w:rtl w:val="true"/>
        </w:rPr>
        <w:t xml:space="preserve">,  </w:t>
      </w:r>
      <w:r>
        <w:rPr>
          <w:rtl w:val="true"/>
        </w:rPr>
        <w:t>האריך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22.9.2020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; </w:t>
      </w:r>
      <w:r>
        <w:rPr>
          <w:rtl w:val="true"/>
        </w:rPr>
        <w:t>ובדיון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14.10.2020</w:t>
      </w:r>
      <w:r>
        <w:rPr>
          <w:rtl w:val="true"/>
        </w:rPr>
        <w:t xml:space="preserve">, </w:t>
      </w:r>
      <w:r>
        <w:rPr>
          <w:rtl w:val="true"/>
        </w:rPr>
        <w:t>המותב</w:t>
      </w:r>
      <w:r>
        <w:rPr>
          <w:rFonts w:eastAsia="Arial TUR;Arial" w:cs="Arial TUR;Arial"/>
          <w:rtl w:val="true"/>
        </w:rPr>
        <w:t xml:space="preserve"> </w:t>
      </w:r>
      <w:bookmarkStart w:id="11" w:name="Seif4"/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bookmarkEnd w:id="11"/>
      <w:r>
        <w:rPr>
          <w:rtl w:val="true"/>
        </w:rPr>
        <w:t>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tl w:val="true"/>
        </w:rPr>
        <w:t xml:space="preserve">, </w:t>
      </w:r>
      <w:r>
        <w:rPr>
          <w:rtl w:val="true"/>
        </w:rPr>
        <w:t>ולמיטב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לראיות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. 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המותב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 xml:space="preserve">בהחלטתו מיום </w:t>
      </w:r>
      <w:r>
        <w:rPr/>
        <w:t>25.1.2021</w:t>
      </w:r>
      <w:r>
        <w:rPr>
          <w:rtl w:val="true"/>
        </w:rPr>
        <w:t xml:space="preserve"> </w:t>
      </w:r>
      <w:r>
        <w:rPr>
          <w:rtl w:val="true"/>
        </w:rPr>
        <w:t>דחה בית המשפט קמא את בקשת הפסלות בציינו כי אמנם אין זה רצוי ששופט שדן בהליכי מעצר ידון גם בתיק העיקרי</w:t>
      </w:r>
      <w:r>
        <w:rPr>
          <w:rtl w:val="true"/>
        </w:rPr>
        <w:t xml:space="preserve">, </w:t>
      </w:r>
      <w:r>
        <w:rPr>
          <w:rtl w:val="true"/>
        </w:rPr>
        <w:t>אך הדבר אינו מקים עילת פסלות מניה וביה</w:t>
      </w:r>
      <w:r>
        <w:rPr>
          <w:rtl w:val="true"/>
        </w:rPr>
        <w:t xml:space="preserve">, </w:t>
      </w:r>
      <w:r>
        <w:rPr>
          <w:rtl w:val="true"/>
        </w:rPr>
        <w:t>ויש לבחון האם בנסיבות העניין קיים חשש ממשי למשוא פנים</w:t>
      </w:r>
      <w:r>
        <w:rPr>
          <w:rtl w:val="true"/>
        </w:rPr>
        <w:t xml:space="preserve">. </w:t>
      </w:r>
      <w:r>
        <w:rPr>
          <w:rtl w:val="true"/>
        </w:rPr>
        <w:t xml:space="preserve">המותב הבהיר כי מאז הדיונים ביום </w:t>
      </w:r>
      <w:r>
        <w:rPr/>
        <w:t>25.9.2020</w:t>
      </w:r>
      <w:r>
        <w:rPr>
          <w:rtl w:val="true"/>
        </w:rPr>
        <w:t xml:space="preserve"> </w:t>
      </w:r>
      <w:r>
        <w:rPr>
          <w:rtl w:val="true"/>
        </w:rPr>
        <w:t xml:space="preserve">וביום </w:t>
      </w:r>
      <w:r>
        <w:rPr/>
        <w:t>14.10.2020</w:t>
      </w:r>
      <w:r>
        <w:rPr>
          <w:rtl w:val="true"/>
        </w:rPr>
        <w:t xml:space="preserve"> </w:t>
      </w:r>
      <w:r>
        <w:rPr>
          <w:rtl w:val="true"/>
        </w:rPr>
        <w:t>חלפו מספר חודשים ופרטי התיק אינם זכורים לו</w:t>
      </w:r>
      <w:r>
        <w:rPr>
          <w:rtl w:val="true"/>
        </w:rPr>
        <w:t xml:space="preserve">, </w:t>
      </w:r>
      <w:r>
        <w:rPr>
          <w:rtl w:val="true"/>
        </w:rPr>
        <w:t>מלבד העובדה ששאלת מקום מעצרה של המערערת הועלתה ונדונה</w:t>
      </w:r>
      <w:r>
        <w:rPr>
          <w:rtl w:val="true"/>
        </w:rPr>
        <w:t xml:space="preserve">. </w:t>
      </w:r>
      <w:r>
        <w:rPr>
          <w:rtl w:val="true"/>
        </w:rPr>
        <w:t xml:space="preserve">עוד הדגיש המותב כי </w:t>
      </w:r>
      <w:bookmarkStart w:id="12" w:name="Seif5"/>
      <w:r>
        <w:rPr>
          <w:rtl w:val="true"/>
        </w:rPr>
        <w:t xml:space="preserve">כלל לא </w:t>
      </w:r>
      <w:bookmarkEnd w:id="12"/>
      <w:r>
        <w:rPr>
          <w:rtl w:val="true"/>
        </w:rPr>
        <w:t>זכור לו אם נחשף לראיות או לנתונים נוספים הנוגעים למערערת</w:t>
      </w:r>
      <w:r>
        <w:rPr>
          <w:rtl w:val="true"/>
        </w:rPr>
        <w:t xml:space="preserve">, </w:t>
      </w:r>
      <w:r>
        <w:rPr>
          <w:rtl w:val="true"/>
        </w:rPr>
        <w:t>אך ככל שנחשף אליהם הם אינם זכורים לו</w:t>
      </w:r>
      <w:r>
        <w:rPr>
          <w:rtl w:val="true"/>
        </w:rPr>
        <w:t xml:space="preserve">. </w:t>
      </w:r>
      <w:r>
        <w:rPr>
          <w:rtl w:val="true"/>
        </w:rPr>
        <w:t>המותב הוסיף והפנה לפסיקה שלפיה חשיפה של בית המשפט לראיות בלתי קבילות או להרשעות קודמות של נאשם אינה מביאה בהכרח לפסילת המותב ונוכח האמור</w:t>
      </w:r>
      <w:r>
        <w:rPr>
          <w:rtl w:val="true"/>
        </w:rPr>
        <w:t xml:space="preserve">, </w:t>
      </w:r>
      <w:r>
        <w:rPr>
          <w:rtl w:val="true"/>
        </w:rPr>
        <w:t>קבע כי לא קיים חשש למשוא פנים כלפי המערערת המצדיק את פסילתו</w:t>
      </w:r>
      <w:r>
        <w:rPr>
          <w:rtl w:val="true"/>
        </w:rPr>
        <w:t xml:space="preserve">. </w:t>
      </w:r>
      <w:r>
        <w:rPr>
          <w:rtl w:val="true"/>
        </w:rPr>
        <w:t xml:space="preserve">כשיקול </w:t>
      </w:r>
      <w:r>
        <w:rPr>
          <w:rtl w:val="true"/>
        </w:rPr>
        <w:t>"</w:t>
      </w:r>
      <w:r>
        <w:rPr>
          <w:rtl w:val="true"/>
        </w:rPr>
        <w:t>משני</w:t>
      </w:r>
      <w:r>
        <w:rPr>
          <w:rtl w:val="true"/>
        </w:rPr>
        <w:t xml:space="preserve">" </w:t>
      </w:r>
      <w:r>
        <w:rPr>
          <w:rtl w:val="true"/>
        </w:rPr>
        <w:t>ציין המותב כי התיק הוקצה לו על פי תכנית העבודה של בית המשפט ולפיכך</w:t>
      </w:r>
      <w:r>
        <w:rPr>
          <w:rtl w:val="true"/>
        </w:rPr>
        <w:t xml:space="preserve">, </w:t>
      </w:r>
      <w:r>
        <w:rPr>
          <w:rtl w:val="true"/>
        </w:rPr>
        <w:t>חובה עליו לשמוע את התיק אלא אם קמה עילת פסילה ממשית</w:t>
      </w:r>
      <w:r>
        <w:rPr>
          <w:rtl w:val="true"/>
        </w:rPr>
        <w:t xml:space="preserve">. </w:t>
      </w:r>
      <w:r>
        <w:rPr>
          <w:rtl w:val="true"/>
        </w:rPr>
        <w:t>עוד צוין כי בשל אילוצים של העת האחרונה</w:t>
      </w:r>
      <w:r>
        <w:rPr>
          <w:rtl w:val="true"/>
        </w:rPr>
        <w:t xml:space="preserve">, </w:t>
      </w:r>
      <w:r>
        <w:rPr>
          <w:rtl w:val="true"/>
        </w:rPr>
        <w:t xml:space="preserve">העברת התיק למותב אחר תגרור עיכוב בשמיעתו אך הדגיש כי מדובר </w:t>
      </w:r>
      <w:r>
        <w:rPr>
          <w:rtl w:val="true"/>
        </w:rPr>
        <w:t>"</w:t>
      </w:r>
      <w:r>
        <w:rPr>
          <w:rtl w:val="true"/>
        </w:rPr>
        <w:t>בשיקול מסדר שני</w:t>
      </w:r>
      <w:r>
        <w:rPr>
          <w:rtl w:val="true"/>
        </w:rPr>
        <w:t xml:space="preserve">", </w:t>
      </w:r>
      <w:r>
        <w:rPr>
          <w:rtl w:val="true"/>
        </w:rPr>
        <w:t>וכי אילו היתה קמה עילת פסילה ממשית לא היה בשיקול זה כדי למנוע את העברת התיק למותב אחר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 xml:space="preserve">בערעור שלפניי טוענת המערערת שבית המשפט קמא </w:t>
      </w:r>
      <w:r>
        <w:rPr>
          <w:rtl w:val="true"/>
        </w:rPr>
        <w:t>"</w:t>
      </w:r>
      <w:r>
        <w:rPr>
          <w:rtl w:val="true"/>
        </w:rPr>
        <w:t xml:space="preserve">טעה </w:t>
      </w:r>
      <w:r>
        <w:rPr>
          <w:rtl w:val="true"/>
        </w:rPr>
        <w:t xml:space="preserve">[...] </w:t>
      </w:r>
      <w:r>
        <w:rPr>
          <w:rtl w:val="true"/>
        </w:rPr>
        <w:t>עת קבע כי אינו זוכר דבר מעובדות המקרה ומהראיות אליהן נחשף</w:t>
      </w:r>
      <w:r>
        <w:rPr>
          <w:rtl w:val="true"/>
        </w:rPr>
        <w:t xml:space="preserve">", </w:t>
      </w:r>
      <w:r>
        <w:rPr>
          <w:rtl w:val="true"/>
        </w:rPr>
        <w:t>שכן המערערת היא בעלת מאפיינים יוצאי דופן ולשיטתה</w:t>
      </w:r>
      <w:r>
        <w:rPr>
          <w:rtl w:val="true"/>
        </w:rPr>
        <w:t xml:space="preserve">, </w:t>
      </w:r>
      <w:r>
        <w:rPr>
          <w:rtl w:val="true"/>
        </w:rPr>
        <w:t>בית המשפט קמא נתן לכך ביטוי כאשר ציין שזכור לו שנדונה שאלת מקום מעצרה</w:t>
      </w:r>
      <w:r>
        <w:rPr>
          <w:rtl w:val="true"/>
        </w:rPr>
        <w:t xml:space="preserve">. </w:t>
      </w:r>
      <w:r>
        <w:rPr>
          <w:rtl w:val="true"/>
        </w:rPr>
        <w:t>עוד טוענת המערערת כי בית המשפט קמא התייחס לשאלת האמון שיש לרחוש לה בדונו בעניין מעצרה</w:t>
      </w:r>
      <w:r>
        <w:rPr>
          <w:rtl w:val="true"/>
        </w:rPr>
        <w:t xml:space="preserve">, </w:t>
      </w:r>
      <w:r>
        <w:rPr>
          <w:rtl w:val="true"/>
        </w:rPr>
        <w:t>ושאלה זו כרוכה באופן הדוק עם ההליך העיקרי</w:t>
      </w:r>
      <w:r>
        <w:rPr>
          <w:rtl w:val="true"/>
        </w:rPr>
        <w:t xml:space="preserve">. </w:t>
      </w:r>
      <w:r>
        <w:rPr>
          <w:rtl w:val="true"/>
        </w:rPr>
        <w:t xml:space="preserve">המערערת מוסיפה כי </w:t>
      </w:r>
      <w:r>
        <w:rPr>
          <w:rtl w:val="true"/>
        </w:rPr>
        <w:t>"</w:t>
      </w:r>
      <w:r>
        <w:rPr>
          <w:rtl w:val="true"/>
        </w:rPr>
        <w:t xml:space="preserve">ככל הידוע </w:t>
      </w:r>
      <w:r>
        <w:rPr>
          <w:rtl w:val="true"/>
        </w:rPr>
        <w:t>[</w:t>
      </w:r>
      <w:r>
        <w:rPr>
          <w:rtl w:val="true"/>
        </w:rPr>
        <w:t>לבאת</w:t>
      </w:r>
      <w:r>
        <w:rPr>
          <w:rtl w:val="true"/>
        </w:rPr>
        <w:t>-</w:t>
      </w:r>
      <w:r>
        <w:rPr>
          <w:rtl w:val="true"/>
        </w:rPr>
        <w:t>כוחה</w:t>
      </w:r>
      <w:r>
        <w:rPr>
          <w:rtl w:val="true"/>
        </w:rPr>
        <w:t xml:space="preserve">]", </w:t>
      </w:r>
      <w:r>
        <w:rPr>
          <w:rtl w:val="true"/>
        </w:rPr>
        <w:t xml:space="preserve">המותב </w:t>
      </w:r>
      <w:r>
        <w:rPr>
          <w:rtl w:val="true"/>
        </w:rPr>
        <w:t>"</w:t>
      </w:r>
      <w:r>
        <w:rPr>
          <w:rtl w:val="true"/>
        </w:rPr>
        <w:t>אף עיין בחומרי החקירה במידה המספיקה לגיבוש התרשמות ממנו</w:t>
      </w:r>
      <w:r>
        <w:rPr>
          <w:rtl w:val="true"/>
        </w:rPr>
        <w:t xml:space="preserve">".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נוכח הפירוט בהחלטות שנתן המותב בעניין מעצרה כמו גם קביעותיו בנוגע להיעדר האמון בה</w:t>
      </w:r>
      <w:r>
        <w:rPr>
          <w:rtl w:val="true"/>
        </w:rPr>
        <w:t xml:space="preserve">, </w:t>
      </w:r>
      <w:r>
        <w:rPr>
          <w:rtl w:val="true"/>
        </w:rPr>
        <w:t xml:space="preserve">חשיפה חלקית לחומרים בעניינה מהווה אף היא </w:t>
      </w:r>
      <w:r>
        <w:rPr>
          <w:rtl w:val="true"/>
        </w:rPr>
        <w:t>"</w:t>
      </w:r>
      <w:r>
        <w:rPr>
          <w:rtl w:val="true"/>
        </w:rPr>
        <w:t>מסה קריטית</w:t>
      </w:r>
      <w:r>
        <w:rPr>
          <w:rtl w:val="true"/>
        </w:rPr>
        <w:t xml:space="preserve">" </w:t>
      </w:r>
      <w:r>
        <w:rPr>
          <w:rtl w:val="true"/>
        </w:rPr>
        <w:t>המצדיקה את פסילת המותב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 </w:t>
      </w:r>
      <w:r>
        <w:rPr>
          <w:rtl w:val="true"/>
        </w:rPr>
        <w:t xml:space="preserve">קיים חשש אובייקטיבי כי בעת שהמותב ייחשף מחדש לראיות הוא ייזכר בהתרשמותו ממנה ומהתנהלותה גם אם אינו זוכר את הדברים עתה ולגישתה יהיה בכך כדי להוביל </w:t>
      </w:r>
      <w:r>
        <w:rPr>
          <w:rtl w:val="true"/>
        </w:rPr>
        <w:t>"</w:t>
      </w:r>
      <w:r>
        <w:rPr>
          <w:rtl w:val="true"/>
        </w:rPr>
        <w:t>לשמיעת התיק תחת רושם כבד של דעה קדומה אודות המערערת</w:t>
      </w:r>
      <w:r>
        <w:rPr>
          <w:rtl w:val="true"/>
        </w:rPr>
        <w:t xml:space="preserve">". </w:t>
      </w:r>
      <w:r>
        <w:rPr>
          <w:rtl w:val="true"/>
        </w:rPr>
        <w:t>לטענת המערערת</w:t>
      </w:r>
      <w:r>
        <w:rPr>
          <w:rtl w:val="true"/>
        </w:rPr>
        <w:t xml:space="preserve">, </w:t>
      </w:r>
      <w:r>
        <w:rPr>
          <w:rtl w:val="true"/>
        </w:rPr>
        <w:t>אף אם אין חשש למשוא פנים</w:t>
      </w:r>
      <w:r>
        <w:rPr>
          <w:rtl w:val="true"/>
        </w:rPr>
        <w:t xml:space="preserve">, </w:t>
      </w:r>
      <w:r>
        <w:rPr>
          <w:rtl w:val="true"/>
        </w:rPr>
        <w:t>מראית פני הצדק ושיקולי שמירה על אמון הציבור במערכת המשפט</w:t>
      </w:r>
      <w:r>
        <w:rPr>
          <w:rtl w:val="true"/>
        </w:rPr>
        <w:t xml:space="preserve">, </w:t>
      </w:r>
      <w:r>
        <w:rPr>
          <w:rtl w:val="true"/>
        </w:rPr>
        <w:t>מחייבים את פסילת המותב</w:t>
      </w:r>
      <w:r>
        <w:rPr>
          <w:rtl w:val="true"/>
        </w:rPr>
        <w:t xml:space="preserve">. </w:t>
      </w:r>
      <w:r>
        <w:rPr>
          <w:rtl w:val="true"/>
        </w:rPr>
        <w:t xml:space="preserve">עוד טוענת המערערת שבית המשפט קמא שגה בכך שלקח בחשבון את </w:t>
      </w:r>
      <w:r>
        <w:rPr>
          <w:rtl w:val="true"/>
        </w:rPr>
        <w:t>"</w:t>
      </w:r>
      <w:r>
        <w:rPr>
          <w:rtl w:val="true"/>
        </w:rPr>
        <w:t>תכנית העבודה</w:t>
      </w:r>
      <w:r>
        <w:rPr>
          <w:rtl w:val="true"/>
        </w:rPr>
        <w:t xml:space="preserve">" </w:t>
      </w:r>
      <w:r>
        <w:rPr>
          <w:rtl w:val="true"/>
        </w:rPr>
        <w:t>של בית המשפט כנימוק לדחיית בקשת הפסלות</w:t>
      </w:r>
      <w:r>
        <w:rPr>
          <w:rtl w:val="true"/>
        </w:rPr>
        <w:t xml:space="preserve">, </w:t>
      </w:r>
      <w:r>
        <w:rPr>
          <w:rtl w:val="true"/>
        </w:rPr>
        <w:t>ב</w:t>
      </w:r>
      <w:bookmarkStart w:id="13" w:name="Seif3"/>
      <w:r>
        <w:rPr>
          <w:rtl w:val="true"/>
        </w:rPr>
        <w:t xml:space="preserve">פרט כאשר </w:t>
      </w:r>
      <w:bookmarkEnd w:id="13"/>
      <w:r>
        <w:rPr>
          <w:rtl w:val="true"/>
        </w:rPr>
        <w:t>עסקינן בזכותה של המערערת להליך הוגן ובבית משפט שבו מכהנים שופטים רבים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בתגובתה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4.2.2021</w:t>
      </w:r>
      <w:r>
        <w:rPr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לגישתה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.  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;Arial" w:cs="Arial TUR;Arial"/>
          <w:rtl w:val="true"/>
        </w:rPr>
        <w:t xml:space="preserve"> </w:t>
      </w:r>
      <w:bookmarkStart w:id="14" w:name="Seif6"/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;Arial" w:cs="Arial TUR;Arial"/>
          <w:rtl w:val="true"/>
        </w:rPr>
        <w:t xml:space="preserve"> </w:t>
      </w:r>
      <w:bookmarkEnd w:id="14"/>
      <w:r>
        <w:rPr>
          <w:rtl w:val="true"/>
        </w:rPr>
        <w:t>בראיות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 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bookmarkStart w:id="15" w:name="Seif7"/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bookmarkEnd w:id="15"/>
      <w:r>
        <w:rPr>
          <w:rtl w:val="true"/>
        </w:rPr>
        <w:t>זוכר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שנחשף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25.9.2020</w:t>
      </w:r>
      <w:r>
        <w:rPr>
          <w:rtl w:val="true"/>
        </w:rPr>
        <w:t xml:space="preserve"> </w:t>
      </w:r>
      <w:r>
        <w:rPr>
          <w:rtl w:val="true"/>
        </w:rPr>
        <w:t>וביום</w:t>
      </w:r>
      <w:r>
        <w:rPr>
          <w:rFonts w:eastAsia="Arial TUR;Arial" w:cs="Arial TUR;Arial"/>
          <w:rtl w:val="true"/>
        </w:rPr>
        <w:t xml:space="preserve"> </w:t>
      </w:r>
      <w:r>
        <w:rPr/>
        <w:t>14.10.2020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bookmarkStart w:id="16" w:name="Seif8"/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bookmarkEnd w:id="16"/>
      <w:r>
        <w:rPr>
          <w:rtl w:val="true"/>
        </w:rPr>
        <w:t>נכחה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שלגביו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/>
        <w:t>10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כבר נפסק בעבר כי העובדה שהמותב דן בהליך מעצר ואף נחשף לעברו הפלילי של נאשם בתוך כך</w:t>
      </w:r>
      <w:r>
        <w:rPr>
          <w:rtl w:val="true"/>
        </w:rPr>
        <w:t xml:space="preserve">, </w:t>
      </w:r>
      <w:r>
        <w:rPr>
          <w:rtl w:val="true"/>
        </w:rPr>
        <w:t xml:space="preserve">אינה מקימה כשלעצמה עילת פסלות ויש לבחון כל מקרה לנסיבותיו </w:t>
      </w:r>
      <w:r>
        <w:rPr>
          <w:rtl w:val="true"/>
        </w:rPr>
        <w:t>(</w:t>
      </w:r>
      <w:hyperlink r:id="rId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8084/20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חרב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bookmarkStart w:id="17" w:name="Seif1"/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bookmarkEnd w:id="17"/>
      <w:r>
        <w:rPr/>
        <w:t>8</w:t>
      </w:r>
      <w:r>
        <w:rPr>
          <w:rtl w:val="true"/>
        </w:rPr>
        <w:t xml:space="preserve"> (</w:t>
      </w:r>
      <w:r>
        <w:rPr/>
        <w:t>26.11.2020</w:t>
      </w:r>
      <w:r>
        <w:rPr>
          <w:rtl w:val="true"/>
        </w:rPr>
        <w:t xml:space="preserve">)). </w:t>
      </w:r>
      <w:r>
        <w:rPr>
          <w:rtl w:val="true"/>
        </w:rPr>
        <w:t>המקרה שלפנינו אינו מקים עילת פסלות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התקיימו בפני המותב שני דיונים ביום </w:t>
      </w:r>
      <w:r>
        <w:rPr/>
        <w:t>25.9.2020</w:t>
      </w:r>
      <w:r>
        <w:rPr>
          <w:rtl w:val="true"/>
        </w:rPr>
        <w:t xml:space="preserve"> </w:t>
      </w:r>
      <w:r>
        <w:rPr>
          <w:rtl w:val="true"/>
        </w:rPr>
        <w:t xml:space="preserve">וביום </w:t>
      </w:r>
      <w:r>
        <w:rPr/>
        <w:t>14.10.2020</w:t>
      </w:r>
      <w:r>
        <w:rPr>
          <w:rtl w:val="true"/>
        </w:rPr>
        <w:t xml:space="preserve">, </w:t>
      </w:r>
      <w:r>
        <w:rPr>
          <w:rtl w:val="true"/>
        </w:rPr>
        <w:t>ומפרוטוקול הדיונים הללו עולה כי בדיון הראשון טען בא</w:t>
      </w:r>
      <w:r>
        <w:rPr>
          <w:rtl w:val="true"/>
        </w:rPr>
        <w:t>-</w:t>
      </w:r>
      <w:r>
        <w:rPr>
          <w:rtl w:val="true"/>
        </w:rPr>
        <w:t>כוחה דאז של המערערת בעיקר לעניין מצבה הבריאותי</w:t>
      </w:r>
      <w:r>
        <w:rPr>
          <w:rtl w:val="true"/>
        </w:rPr>
        <w:t xml:space="preserve">, </w:t>
      </w:r>
      <w:r>
        <w:rPr>
          <w:rtl w:val="true"/>
        </w:rPr>
        <w:t>והחלטת המותב להיעתר לבקשה להארכת המעצר נסמכה על החלטה של מותב אחר שניתנה ימים ספורים קודם לכן</w:t>
      </w:r>
      <w:r>
        <w:rPr>
          <w:rtl w:val="true"/>
        </w:rPr>
        <w:t xml:space="preserve">. </w:t>
      </w:r>
      <w:r>
        <w:rPr>
          <w:rtl w:val="true"/>
        </w:rPr>
        <w:t>הדיון השני התמקד בתנאי מעצרה של המערערת והיה טכני בעיקרו</w:t>
      </w:r>
      <w:r>
        <w:rPr>
          <w:rtl w:val="true"/>
        </w:rPr>
        <w:t xml:space="preserve">, </w:t>
      </w:r>
      <w:r>
        <w:rPr>
          <w:rtl w:val="true"/>
        </w:rPr>
        <w:t>נוכח בקשת בא</w:t>
      </w:r>
      <w:r>
        <w:rPr>
          <w:rtl w:val="true"/>
        </w:rPr>
        <w:t>-</w:t>
      </w:r>
      <w:r>
        <w:rPr>
          <w:rtl w:val="true"/>
        </w:rPr>
        <w:t>כוחה דאז לדחות את הדיון ולאפשר לו ללמוד את החומר</w:t>
      </w:r>
      <w:r>
        <w:rPr>
          <w:rtl w:val="true"/>
        </w:rPr>
        <w:t xml:space="preserve">. </w:t>
      </w:r>
      <w:r>
        <w:rPr>
          <w:rtl w:val="true"/>
        </w:rPr>
        <w:t>טענת המערערת כאילו נחשף המותב לחומר ראיות כלשהו באותו דיון נטענה באופן כוללני ואין לה כל תימוכין בפרוטוקול הדיונים שהתקיימו בפני המותב</w:t>
      </w:r>
      <w:r>
        <w:rPr>
          <w:rtl w:val="true"/>
        </w:rPr>
        <w:t xml:space="preserve">. </w:t>
      </w:r>
      <w:r>
        <w:rPr>
          <w:rtl w:val="true"/>
        </w:rPr>
        <w:t>המותב עצמו אף הבהיר בהחלטתו כי הוא אינו זוכר שנחשף לחומרים כלשהם בעניינה של המערערת ובהיעדר כל פירוט על אודות החומרים שאליהם</w:t>
      </w:r>
      <w:r>
        <w:rPr>
          <w:rtl w:val="true"/>
        </w:rPr>
        <w:t xml:space="preserve">, </w:t>
      </w:r>
      <w:r>
        <w:rPr>
          <w:rtl w:val="true"/>
        </w:rPr>
        <w:t>על פי הנטען</w:t>
      </w:r>
      <w:r>
        <w:rPr>
          <w:rtl w:val="true"/>
        </w:rPr>
        <w:t xml:space="preserve">, </w:t>
      </w:r>
      <w:r>
        <w:rPr>
          <w:rtl w:val="true"/>
        </w:rPr>
        <w:t xml:space="preserve">נחשף המותב לא הונח על פני הדברים הבסיס לעילת פסלות 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4587/20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חאמד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bookmarkStart w:id="18" w:name="Seif2"/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bookmarkEnd w:id="18"/>
      <w:r>
        <w:rPr/>
        <w:t>3</w:t>
      </w:r>
      <w:r>
        <w:rPr>
          <w:rtl w:val="true"/>
        </w:rPr>
        <w:t xml:space="preserve"> (</w:t>
      </w:r>
      <w:r>
        <w:rPr/>
        <w:t>5.8.2020</w:t>
      </w:r>
      <w:r>
        <w:rPr>
          <w:rtl w:val="true"/>
        </w:rPr>
        <w:t>)).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/>
        <w:t>11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טענת המערערת לפיה תכנית העבודה של בית המשפט קיבלה עדיפות על פני זכותה להליך הוגן</w:t>
      </w:r>
      <w:r>
        <w:rPr>
          <w:rtl w:val="true"/>
        </w:rPr>
        <w:t xml:space="preserve">, </w:t>
      </w:r>
      <w:r>
        <w:rPr>
          <w:rtl w:val="true"/>
        </w:rPr>
        <w:t>אף היא דינה להידחות שכן בית המשפט קמא הבהיר שמדובר ב</w:t>
      </w:r>
      <w:r>
        <w:rPr>
          <w:rtl w:val="true"/>
        </w:rPr>
        <w:t>"</w:t>
      </w:r>
      <w:r>
        <w:rPr>
          <w:rtl w:val="true"/>
        </w:rPr>
        <w:t>שיקול משני</w:t>
      </w:r>
      <w:r>
        <w:rPr>
          <w:rtl w:val="true"/>
        </w:rPr>
        <w:t xml:space="preserve">" </w:t>
      </w:r>
      <w:r>
        <w:rPr>
          <w:rtl w:val="true"/>
        </w:rPr>
        <w:t>וכי אילו הייתה הצדקה לפסילתו לא היה בשיקול זה כדי להכריע את הכף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בהינתן מכלול נסיבות העניין המפורטות לעיל</w:t>
      </w:r>
      <w:r>
        <w:rPr>
          <w:rtl w:val="true"/>
        </w:rPr>
        <w:t xml:space="preserve">, </w:t>
      </w:r>
      <w:r>
        <w:rPr>
          <w:rtl w:val="true"/>
        </w:rPr>
        <w:t>לא מצאתי הצדקה לפסילת המותב</w:t>
      </w:r>
      <w:r>
        <w:rPr>
          <w:rtl w:val="true"/>
        </w:rPr>
        <w:t xml:space="preserve">, </w:t>
      </w:r>
      <w:r>
        <w:rPr>
          <w:rtl w:val="true"/>
        </w:rPr>
        <w:t>אף לא מחמת מראית פני הצדק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9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8.2.2021</w:t>
      </w:r>
      <w:r>
        <w:rPr>
          <w:rtl w:val="true"/>
        </w:rPr>
        <w:t xml:space="preserve">). </w:t>
      </w:r>
      <w:bookmarkEnd w:id="19"/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bookmarkStart w:id="20" w:name="Start_Write"/>
      <w:bookmarkEnd w:id="20"/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8"/>
        <w:gridCol w:w="2786"/>
        <w:gridCol w:w="2789"/>
      </w:tblGrid>
      <w:tr>
        <w:trPr/>
        <w:tc>
          <w:tcPr>
            <w:tcW w:w="2788" w:type="dxa"/>
            <w:tcBorders/>
          </w:tcPr>
          <w:p>
            <w:pPr>
              <w:pStyle w:val="Ruller41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89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21006830</w:t>
      </w:r>
      <w:r>
        <w:rPr>
          <w:sz w:val="16"/>
          <w:rtl w:val="true"/>
        </w:rPr>
        <w:t>_</w:t>
      </w:r>
      <w:r>
        <w:rPr>
          <w:sz w:val="16"/>
        </w:rPr>
        <w:t>V02.docx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דז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6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ה 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חיות </w:t>
      </w:r>
      <w:r>
        <w:rPr>
          <w:rFonts w:cs="David" w:ascii="David" w:hAnsi="David"/>
          <w:color w:val="000000"/>
          <w:szCs w:val="22"/>
        </w:rPr>
        <w:t>54678313-683/21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8"/>
      <w:footerReference w:type="default" r:id="rId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683/21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טובה מהלו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  <w:rPr>
        <w:sz w:val="28"/>
        <w:b w:val="false"/>
        <w:bCs w:val="false"/>
        <w:lang w:bidi="he-IL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b w:val="false"/>
      <w:bCs w:val="false"/>
      <w:sz w:val="28"/>
      <w:lang w:bidi="he-I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7033891" TargetMode="External"/><Relationship Id="rId3" Type="http://schemas.openxmlformats.org/officeDocument/2006/relationships/hyperlink" Target="http://www.nevo.co.il/case/27033891" TargetMode="External"/><Relationship Id="rId4" Type="http://schemas.openxmlformats.org/officeDocument/2006/relationships/hyperlink" Target="http://www.nevo.co.il/case/27179278" TargetMode="External"/><Relationship Id="rId5" Type="http://schemas.openxmlformats.org/officeDocument/2006/relationships/hyperlink" Target="http://www.nevo.co.il/case/26818871" TargetMode="External"/><Relationship Id="rId6" Type="http://schemas.openxmlformats.org/officeDocument/2006/relationships/hyperlink" Target="http://supreme.court.gov.il/" TargetMode="External"/><Relationship Id="rId7" Type="http://schemas.openxmlformats.org/officeDocument/2006/relationships/hyperlink" Target="http://www.nevo.co.il/advertisements/nevo-100.doc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2021-02-10T12:01:00Z</dcterms:created>
  <dc:creator>h4</dc:creator>
  <dc:description/>
  <cp:keywords/>
  <dc:language>en-IL</dc:language>
  <cp:lastModifiedBy>orly</cp:lastModifiedBy>
  <cp:lastPrinted>2021-02-08T19:50:00Z</cp:lastPrinted>
  <dcterms:modified xsi:type="dcterms:W3CDTF">2021-02-10T12:01:00Z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טובה מהלו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27033891:2;26818871</vt:lpwstr>
  </property>
  <property fmtid="{D5CDD505-2E9C-101B-9397-08002B2CF9AE}" pid="9" name="CITY">
    <vt:lpwstr/>
  </property>
  <property fmtid="{D5CDD505-2E9C-101B-9397-08002B2CF9AE}" pid="10" name="DATE">
    <vt:lpwstr>20210208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</vt:lpwstr>
  </property>
  <property fmtid="{D5CDD505-2E9C-101B-9397-08002B2CF9AE}" pid="14" name="LAWYER">
    <vt:lpwstr>רוני זלושינסקי;מוריה ששון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METAKZER">
    <vt:lpwstr>פאני</vt:lpwstr>
  </property>
  <property fmtid="{D5CDD505-2E9C-101B-9397-08002B2CF9AE}" pid="21" name="NEWPARTA">
    <vt:lpwstr/>
  </property>
  <property fmtid="{D5CDD505-2E9C-101B-9397-08002B2CF9AE}" pid="22" name="NEWPARTB">
    <vt:lpwstr/>
  </property>
  <property fmtid="{D5CDD505-2E9C-101B-9397-08002B2CF9AE}" pid="23" name="NEWPARTC">
    <vt:lpwstr/>
  </property>
  <property fmtid="{D5CDD505-2E9C-101B-9397-08002B2CF9AE}" pid="24" name="NEWPROC">
    <vt:lpwstr/>
  </property>
  <property fmtid="{D5CDD505-2E9C-101B-9397-08002B2CF9AE}" pid="25" name="NOSE11">
    <vt:lpwstr>בתי-משפט</vt:lpwstr>
  </property>
  <property fmtid="{D5CDD505-2E9C-101B-9397-08002B2CF9AE}" pid="26" name="NOSE110">
    <vt:lpwstr/>
  </property>
  <property fmtid="{D5CDD505-2E9C-101B-9397-08002B2CF9AE}" pid="27" name="NOSE12">
    <vt:lpwstr>בתי-משפט</vt:lpwstr>
  </property>
  <property fmtid="{D5CDD505-2E9C-101B-9397-08002B2CF9AE}" pid="28" name="NOSE13">
    <vt:lpwstr/>
  </property>
  <property fmtid="{D5CDD505-2E9C-101B-9397-08002B2CF9AE}" pid="29" name="NOSE14">
    <vt:lpwstr/>
  </property>
  <property fmtid="{D5CDD505-2E9C-101B-9397-08002B2CF9AE}" pid="30" name="NOSE15">
    <vt:lpwstr/>
  </property>
  <property fmtid="{D5CDD505-2E9C-101B-9397-08002B2CF9AE}" pid="31" name="NOSE16">
    <vt:lpwstr/>
  </property>
  <property fmtid="{D5CDD505-2E9C-101B-9397-08002B2CF9AE}" pid="32" name="NOSE17">
    <vt:lpwstr/>
  </property>
  <property fmtid="{D5CDD505-2E9C-101B-9397-08002B2CF9AE}" pid="33" name="NOSE18">
    <vt:lpwstr/>
  </property>
  <property fmtid="{D5CDD505-2E9C-101B-9397-08002B2CF9AE}" pid="34" name="NOSE19">
    <vt:lpwstr/>
  </property>
  <property fmtid="{D5CDD505-2E9C-101B-9397-08002B2CF9AE}" pid="35" name="NOSE1ID">
    <vt:lpwstr>14;14</vt:lpwstr>
  </property>
  <property fmtid="{D5CDD505-2E9C-101B-9397-08002B2CF9AE}" pid="36" name="NOSE21">
    <vt:lpwstr>שופטים</vt:lpwstr>
  </property>
  <property fmtid="{D5CDD505-2E9C-101B-9397-08002B2CF9AE}" pid="37" name="NOSE210">
    <vt:lpwstr/>
  </property>
  <property fmtid="{D5CDD505-2E9C-101B-9397-08002B2CF9AE}" pid="38" name="NOSE22">
    <vt:lpwstr>פסלות שופט</vt:lpwstr>
  </property>
  <property fmtid="{D5CDD505-2E9C-101B-9397-08002B2CF9AE}" pid="39" name="NOSE23">
    <vt:lpwstr/>
  </property>
  <property fmtid="{D5CDD505-2E9C-101B-9397-08002B2CF9AE}" pid="40" name="NOSE24">
    <vt:lpwstr/>
  </property>
  <property fmtid="{D5CDD505-2E9C-101B-9397-08002B2CF9AE}" pid="41" name="NOSE25">
    <vt:lpwstr/>
  </property>
  <property fmtid="{D5CDD505-2E9C-101B-9397-08002B2CF9AE}" pid="42" name="NOSE26">
    <vt:lpwstr/>
  </property>
  <property fmtid="{D5CDD505-2E9C-101B-9397-08002B2CF9AE}" pid="43" name="NOSE27">
    <vt:lpwstr/>
  </property>
  <property fmtid="{D5CDD505-2E9C-101B-9397-08002B2CF9AE}" pid="44" name="NOSE28">
    <vt:lpwstr/>
  </property>
  <property fmtid="{D5CDD505-2E9C-101B-9397-08002B2CF9AE}" pid="45" name="NOSE29">
    <vt:lpwstr/>
  </property>
  <property fmtid="{D5CDD505-2E9C-101B-9397-08002B2CF9AE}" pid="46" name="NOSE2ID">
    <vt:lpwstr>341;336</vt:lpwstr>
  </property>
  <property fmtid="{D5CDD505-2E9C-101B-9397-08002B2CF9AE}" pid="47" name="NOSE31">
    <vt:lpwstr>עילת הפסלות</vt:lpwstr>
  </property>
  <property fmtid="{D5CDD505-2E9C-101B-9397-08002B2CF9AE}" pid="48" name="NOSE310">
    <vt:lpwstr/>
  </property>
  <property fmtid="{D5CDD505-2E9C-101B-9397-08002B2CF9AE}" pid="49" name="NOSE32">
    <vt:lpwstr>מראית פני הצדק</vt:lpwstr>
  </property>
  <property fmtid="{D5CDD505-2E9C-101B-9397-08002B2CF9AE}" pid="50" name="NOSE33">
    <vt:lpwstr/>
  </property>
  <property fmtid="{D5CDD505-2E9C-101B-9397-08002B2CF9AE}" pid="51" name="NOSE34">
    <vt:lpwstr/>
  </property>
  <property fmtid="{D5CDD505-2E9C-101B-9397-08002B2CF9AE}" pid="52" name="NOSE35">
    <vt:lpwstr/>
  </property>
  <property fmtid="{D5CDD505-2E9C-101B-9397-08002B2CF9AE}" pid="53" name="NOSE36">
    <vt:lpwstr/>
  </property>
  <property fmtid="{D5CDD505-2E9C-101B-9397-08002B2CF9AE}" pid="54" name="NOSE37">
    <vt:lpwstr/>
  </property>
  <property fmtid="{D5CDD505-2E9C-101B-9397-08002B2CF9AE}" pid="55" name="NOSE38">
    <vt:lpwstr/>
  </property>
  <property fmtid="{D5CDD505-2E9C-101B-9397-08002B2CF9AE}" pid="56" name="NOSE39">
    <vt:lpwstr/>
  </property>
  <property fmtid="{D5CDD505-2E9C-101B-9397-08002B2CF9AE}" pid="57" name="NOSE3ID">
    <vt:lpwstr>18867;16428</vt:lpwstr>
  </property>
  <property fmtid="{D5CDD505-2E9C-101B-9397-08002B2CF9AE}" pid="58" name="PADIDATE">
    <vt:lpwstr>20210210</vt:lpwstr>
  </property>
  <property fmtid="{D5CDD505-2E9C-101B-9397-08002B2CF9AE}" pid="59" name="PADIMAIL">
    <vt:lpwstr>YES</vt:lpwstr>
  </property>
  <property fmtid="{D5CDD505-2E9C-101B-9397-08002B2CF9AE}" pid="60" name="PAGE">
    <vt:lpwstr/>
  </property>
  <property fmtid="{D5CDD505-2E9C-101B-9397-08002B2CF9AE}" pid="61" name="PART">
    <vt:lpwstr/>
  </property>
  <property fmtid="{D5CDD505-2E9C-101B-9397-08002B2CF9AE}" pid="62" name="PROCESS">
    <vt:lpwstr>עפ</vt:lpwstr>
  </property>
  <property fmtid="{D5CDD505-2E9C-101B-9397-08002B2CF9AE}" pid="63" name="PROCNUM">
    <vt:lpwstr>683</vt:lpwstr>
  </property>
  <property fmtid="{D5CDD505-2E9C-101B-9397-08002B2CF9AE}" pid="64" name="PROCYEAR">
    <vt:lpwstr>21</vt:lpwstr>
  </property>
  <property fmtid="{D5CDD505-2E9C-101B-9397-08002B2CF9AE}" pid="65" name="PSAKDIN">
    <vt:lpwstr>פסק-דין</vt:lpwstr>
  </property>
  <property fmtid="{D5CDD505-2E9C-101B-9397-08002B2CF9AE}" pid="66" name="TYPE">
    <vt:lpwstr>1</vt:lpwstr>
  </property>
  <property fmtid="{D5CDD505-2E9C-101B-9397-08002B2CF9AE}" pid="67" name="TYPE_ABS_DATE">
    <vt:lpwstr>410120210208</vt:lpwstr>
  </property>
  <property fmtid="{D5CDD505-2E9C-101B-9397-08002B2CF9AE}" pid="68" name="TYPE_N_DATE">
    <vt:lpwstr>41020210208</vt:lpwstr>
  </property>
  <property fmtid="{D5CDD505-2E9C-101B-9397-08002B2CF9AE}" pid="69" name="VOLUME">
    <vt:lpwstr/>
  </property>
  <property fmtid="{D5CDD505-2E9C-101B-9397-08002B2CF9AE}" pid="70" name="WORDNUMPAGES">
    <vt:lpwstr>6</vt:lpwstr>
  </property>
</Properties>
</file>