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;Miriam"/>
          <w:b/>
          <w:bCs/>
        </w:rPr>
      </w:pPr>
      <w:r>
        <w:rPr>
          <w:rFonts w:cs="Miriam;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685/21</w:t>
            </w:r>
          </w:p>
        </w:tc>
      </w:tr>
    </w:tbl>
    <w:p>
      <w:pPr>
        <w:pStyle w:val="Normal"/>
        <w:ind w:end="0"/>
        <w:jc w:val="end"/>
        <w:rPr>
          <w:rFonts w:cs="Miriam;Miriam"/>
          <w:b/>
          <w:bCs/>
        </w:rPr>
      </w:pPr>
      <w:r>
        <w:rPr>
          <w:rFonts w:cs="Miriam;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;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;Miriam"/>
          <w:b/>
          <w:bCs/>
        </w:rPr>
      </w:pPr>
      <w:r>
        <w:rPr>
          <w:rFonts w:cs="Miriam;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;Miriam"/>
                <w:b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27.01.2021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5569-10-20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;Miriam"/>
                <w:b/>
                <w:b/>
                <w:szCs w:val="24"/>
                <w:rtl w:val="true"/>
              </w:rPr>
              <w:t>ר</w:t>
            </w:r>
            <w:r>
              <w:rPr>
                <w:rFonts w:cs="Miriam;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;Miriam"/>
                <w:b/>
                <w:b/>
                <w:szCs w:val="24"/>
                <w:rtl w:val="true"/>
              </w:rPr>
              <w:t>סולקין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Lawyer"/>
            <w:bookmarkEnd w:id="3"/>
            <w:r>
              <w:rPr>
                <w:rFonts w:ascii="David;Times New Roman" w:hAnsi="David;Times New Roman"/>
                <w:rtl w:val="true"/>
              </w:rPr>
              <w:t>בשם 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ארד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1984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77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הוצגה עילה לפסילת המותב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לא מטעמים של מראית פני הצדק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בין היתר צוין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שנפסק בעבר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להשתלשלות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האירועים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שונה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מגרסת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חזקה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המתארת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נאמנה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אותם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אירועים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הנטל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המבקש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לסתור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כבד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בנטל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משפט – שופטים – פסילה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משפט – פסלות שופט – טעמי הפסלות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ערעור על החלטת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השלום בבאר שבע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סולקין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שלא לפסול את עצמו מלדון בהליך הפלילי המתנהל בעניינו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יצויין כי הדיון בעניינו של המערער הועבר לדיון בפני המותב ביום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26.1.2021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לאחר שהצדדים לא הגיעו להסכמות בדיונים מקדמיים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הליך גישור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")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שהתקיימו בפני השופטת 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שטרית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המערער טוען כי בפתח הדיון שאל המותב את הצדדים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[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]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מאסר על תנאי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מקשה על הצדדים להגיע לידי הסדר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בעוד בא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כוחו השיב בשלילה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כוח המאשימה ציין כי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רק יצא מהכלא לאחרונה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לשיטת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נחשף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לעברו הפלילי שאותו לא היה אמור לדעת בשלב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עוד טוען המערער להתרחשויות נוספות בדיון מיום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26.1.2021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המקימות עילת פסלות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וכן להתקשרות פסולה שקיים המותב עם השופטת שטרית בעניינו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נשיאת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העליון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השופטת 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דחתה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לא נמצא כי מתקיימות בענייננו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ליצור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חשש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ממשי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למשוא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פנים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המותב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כמשמעות המונח </w:t>
      </w:r>
      <w:hyperlink r:id="rId5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77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</w:t>
      </w:r>
      <w:hyperlink r:id="rId6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המשפט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טענותיו של המערער מתייחסות רובן ככולן לאירועים שלא קיבלו ביטוי בפרוטוקול הדיון מיום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26.1.2021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אף קבע בהחלטתו הדוחה את בקשת הפסלות כי האופן שבו תיאר בא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כוח המערער את ההתרחשויות הללו אינו מדויק לפחות בחלקו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שנפסק בעבר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להשתלשלות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האירועים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שונה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מגרסת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חזקה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המתארת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נאמנה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אותם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אירועים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הנטל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המבקש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לסתור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כבד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בנטל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ומעיון במערכת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נט המשפט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עולה כי המערער אף לא הגיש בקשה לתיקון פרוטוקול הדיון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המערער לא הוכיח עילה לפסילת המותב עקב ההתרחשויות בדיון מיום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26.1.2021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טענת המערער בדבר היחשפות המותב לעובדה ששוחרר לאחרונה ממאסר נעדרת תימוכין בפרוטוקול הדיון ועל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להידרש לה במסגרת הערעור דנן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למעלה מן הצורך צוין כי חשיפה למידע על עברו הפלילי של נאשם אינה מקימה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כשלעצמה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עילת פסלות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והמערער לא נימק מדוע הפרט שלטענתו נחשף מהווה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מסה קריטית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שהמותב לא יוכל להשתחרר ממנה בבואו לדון בהליך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השגותיו של המערער על התקשורת שקיים המותב עם השופטת שטרית אף הן אינן מבססות עילת פסלות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שציין המערער בעצמו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 ובא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כוחו הסכימו להצעת המותב לשוב לאולם הדיונים של השופטת שטרית ומכל מקום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התנהלות זו של המותב לא חרגה מניהול סביר של ההליך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עוד צוין כי טענתו של המערער בדבר היחשפות המותב לחומר בלתי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קביל מהדיונים המקדמיים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לא גובתה בתשתית עובדתית או בפירוט החומר שנטען כי המותב נחשף אליו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ומנגד המותב הבהיר כי לא נחשף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עניין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שעלה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בדיון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הגישור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אלו לא הוכח שהמותב נחשף לחומר בלתי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קביל כלשהו מהדיונים המקדמיים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כל שכן חומר שההיחשפות לו מצדיקה את פסילתו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מכל הטעמים לעיל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הנשיאה לא שוכנעה כי הוצגה עילה לפסילת המותב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לא מטעמים של מראית פני הצדק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;Miriam"/>
          <w:sz w:val="24"/>
          <w:szCs w:val="24"/>
          <w:u w:val="single"/>
        </w:rPr>
      </w:pPr>
      <w:r>
        <w:rPr>
          <w:rFonts w:cs="Miriam;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Ruller4"/>
        <w:ind w:end="0"/>
        <w:jc w:val="both"/>
        <w:rPr/>
      </w:pPr>
      <w:bookmarkStart w:id="16" w:name="Start_Write"/>
      <w:bookmarkEnd w:id="16"/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ר</w:t>
      </w:r>
      <w:r>
        <w:rPr>
          <w:rFonts w:cs="Miriam;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סולקין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/>
        <w:t>27.1.2021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/>
        <w:t>5569-10-20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מלדון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5.10.2020</w:t>
      </w:r>
      <w:r>
        <w:rPr>
          <w:rtl w:val="true"/>
        </w:rPr>
        <w:t xml:space="preserve"> </w:t>
      </w:r>
      <w:r>
        <w:rPr>
          <w:rtl w:val="true"/>
        </w:rPr>
        <w:t>הוגש נגד המערער כתב אישום המייחס לו עבירה של הפרת צו פיקוח ועבירת פרסום והצגת תועבה</w:t>
      </w:r>
      <w:r>
        <w:rPr>
          <w:rtl w:val="true"/>
        </w:rPr>
        <w:t xml:space="preserve">, </w:t>
      </w:r>
      <w:r>
        <w:rPr>
          <w:rtl w:val="true"/>
        </w:rPr>
        <w:t xml:space="preserve">ובצדו בקשה למעצרו של המערער עד תום ההליכים אשר התקבלה ביום </w:t>
      </w:r>
      <w:r>
        <w:rPr/>
        <w:t>15.11.2020</w:t>
      </w:r>
      <w:r>
        <w:rPr>
          <w:rtl w:val="true"/>
        </w:rPr>
        <w:t xml:space="preserve"> (</w:t>
      </w:r>
      <w:hyperlink r:id="rId7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5548-10-20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לאחר דיונים מקדמיים שהתקיימו ביום </w:t>
      </w:r>
      <w:r>
        <w:rPr/>
        <w:t>29.12.2020</w:t>
      </w:r>
      <w:r>
        <w:rPr>
          <w:rtl w:val="true"/>
        </w:rPr>
        <w:t xml:space="preserve"> </w:t>
      </w:r>
      <w:r>
        <w:rPr>
          <w:rtl w:val="true"/>
        </w:rPr>
        <w:t xml:space="preserve">ובבוקר יום </w:t>
      </w:r>
      <w:r>
        <w:rPr/>
        <w:t>26.1.2021</w:t>
      </w:r>
      <w:r>
        <w:rPr>
          <w:rtl w:val="true"/>
        </w:rPr>
        <w:t xml:space="preserve"> </w:t>
      </w:r>
      <w:r>
        <w:rPr>
          <w:rtl w:val="true"/>
        </w:rPr>
        <w:t xml:space="preserve">בפני השופטת הבכירה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;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בהם לא הגיעו הצדדים לידי הסכמה</w:t>
      </w:r>
      <w:r>
        <w:rPr>
          <w:rtl w:val="true"/>
        </w:rPr>
        <w:t xml:space="preserve">, </w:t>
      </w:r>
      <w:r>
        <w:rPr>
          <w:rtl w:val="true"/>
        </w:rPr>
        <w:t xml:space="preserve">התקיים בהמשך יום </w:t>
      </w:r>
      <w:r>
        <w:rPr/>
        <w:t>26.1.2021</w:t>
      </w:r>
      <w:r>
        <w:rPr>
          <w:rtl w:val="true"/>
        </w:rPr>
        <w:t xml:space="preserve"> </w:t>
      </w:r>
      <w:r>
        <w:rPr>
          <w:rtl w:val="true"/>
        </w:rPr>
        <w:t xml:space="preserve">דיון בפני השופט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סולקין</w:t>
      </w:r>
      <w:r>
        <w:rPr>
          <w:rtl w:val="true"/>
        </w:rPr>
        <w:t xml:space="preserve">. </w:t>
      </w:r>
      <w:r>
        <w:rPr>
          <w:rtl w:val="true"/>
        </w:rPr>
        <w:t>בתחילת פרוטוקול הדיון מתועדים הדברים הבאים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: </w:t>
      </w:r>
      <w:r>
        <w:rPr>
          <w:rtl w:val="true"/>
        </w:rPr>
        <w:t>היינו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בגישור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להסכמות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סניגור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בינינו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[</w:t>
      </w:r>
      <w:r>
        <w:rPr>
          <w:rtl w:val="true"/>
        </w:rPr>
        <w:t>הצדדים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למותב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המגשר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המקדמי</w:t>
      </w:r>
      <w:r>
        <w:rPr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tl w:val="true"/>
        </w:rPr>
        <w:t>[</w:t>
      </w:r>
      <w:r>
        <w:rPr>
          <w:rtl w:val="true"/>
        </w:rPr>
        <w:t>לאחר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הפסקה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מתחדש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[...]]"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בשלב זה הודיע בא</w:t>
      </w:r>
      <w:r>
        <w:rPr>
          <w:rtl w:val="true"/>
        </w:rPr>
        <w:t>-</w:t>
      </w:r>
      <w:r>
        <w:rPr>
          <w:rtl w:val="true"/>
        </w:rPr>
        <w:t>כוח המערער כי הוא מבקש לדחות את המשך הדיון בשל נסיבות אישיות</w:t>
      </w:r>
      <w:r>
        <w:rPr>
          <w:rtl w:val="true"/>
        </w:rPr>
        <w:t xml:space="preserve">, </w:t>
      </w:r>
      <w:r>
        <w:rPr>
          <w:rtl w:val="true"/>
        </w:rPr>
        <w:t>והדיון הופסק והתחדש למחרת היום</w:t>
      </w:r>
      <w:r>
        <w:rPr>
          <w:rtl w:val="true"/>
        </w:rPr>
        <w:t xml:space="preserve">. </w:t>
      </w:r>
      <w:r>
        <w:rPr>
          <w:rtl w:val="true"/>
        </w:rPr>
        <w:t xml:space="preserve">בפתח הדיון ביום </w:t>
      </w:r>
      <w:r>
        <w:rPr/>
        <w:t>27.1.2021</w:t>
      </w:r>
      <w:r>
        <w:rPr>
          <w:rtl w:val="true"/>
        </w:rPr>
        <w:t xml:space="preserve"> </w:t>
      </w:r>
      <w:r>
        <w:rPr>
          <w:rtl w:val="true"/>
        </w:rPr>
        <w:t>ביקש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בעל פה</w:t>
      </w:r>
      <w:r>
        <w:rPr>
          <w:rtl w:val="true"/>
        </w:rPr>
        <w:t xml:space="preserve">, </w:t>
      </w:r>
      <w:r>
        <w:rPr>
          <w:rtl w:val="true"/>
        </w:rPr>
        <w:t>כי המותב יפסול את עצמו נוכח ההתרחשויות בדיון מיום האתמול</w:t>
      </w:r>
      <w:r>
        <w:rPr>
          <w:rtl w:val="true"/>
        </w:rPr>
        <w:t xml:space="preserve">, </w:t>
      </w:r>
      <w:r>
        <w:rPr>
          <w:rtl w:val="true"/>
        </w:rPr>
        <w:t>בשל חשש ממשי למשוא פנים וכן מטעמי פגיעה במראית פני הצדק</w:t>
      </w:r>
      <w:r>
        <w:rPr>
          <w:rtl w:val="true"/>
        </w:rPr>
        <w:t xml:space="preserve">. </w:t>
      </w: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בית המשפט ציין בפניו שמועד דיון ההוכחות הראשון יהיה בחודש יוני</w:t>
      </w:r>
      <w:r>
        <w:rPr>
          <w:rtl w:val="true"/>
        </w:rPr>
        <w:t xml:space="preserve">, </w:t>
      </w:r>
      <w:r>
        <w:rPr>
          <w:rtl w:val="true"/>
        </w:rPr>
        <w:t>כך שהמערער ישהה במעצר במשך תשעה חודשים</w:t>
      </w:r>
      <w:r>
        <w:rPr>
          <w:rtl w:val="true"/>
        </w:rPr>
        <w:t xml:space="preserve">, </w:t>
      </w:r>
      <w:r>
        <w:rPr>
          <w:rtl w:val="true"/>
        </w:rPr>
        <w:t>ולשיטת בא</w:t>
      </w:r>
      <w:r>
        <w:rPr>
          <w:rtl w:val="true"/>
        </w:rPr>
        <w:t>-</w:t>
      </w:r>
      <w:r>
        <w:rPr>
          <w:rtl w:val="true"/>
        </w:rPr>
        <w:t xml:space="preserve">כוח המערער </w:t>
      </w:r>
      <w:r>
        <w:rPr>
          <w:rtl w:val="true"/>
        </w:rPr>
        <w:t>"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ביכולת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למצות</w:t>
      </w:r>
      <w:r>
        <w:rPr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 </w:t>
      </w:r>
      <w:r>
        <w:rPr>
          <w:rtl w:val="true"/>
        </w:rPr>
        <w:t>ולמצות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". </w:t>
      </w:r>
      <w:r>
        <w:rPr>
          <w:rtl w:val="true"/>
        </w:rPr>
        <w:t>עוד טען בא</w:t>
      </w:r>
      <w:r>
        <w:rPr>
          <w:rtl w:val="true"/>
        </w:rPr>
        <w:t>-</w:t>
      </w:r>
      <w:r>
        <w:rPr>
          <w:rtl w:val="true"/>
        </w:rPr>
        <w:t xml:space="preserve">כוח המערער שבית המשפט ציין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 </w:t>
      </w:r>
      <w:r>
        <w:rPr>
          <w:rtl w:val="true"/>
        </w:rPr>
        <w:t>חכם</w:t>
      </w:r>
      <w:r>
        <w:rPr>
          <w:rtl w:val="true"/>
        </w:rPr>
        <w:t xml:space="preserve"> </w:t>
      </w:r>
      <w:r>
        <w:rPr>
          <w:rtl w:val="true"/>
        </w:rPr>
        <w:t>עדיף</w:t>
      </w:r>
      <w:r>
        <w:rPr>
          <w:rtl w:val="true"/>
        </w:rPr>
        <w:t xml:space="preserve"> </w:t>
      </w:r>
      <w:r>
        <w:rPr>
          <w:rtl w:val="true"/>
        </w:rPr>
        <w:t>לסגור</w:t>
      </w:r>
      <w:r>
        <w:rPr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"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ממילא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יקבל</w:t>
      </w:r>
      <w:r>
        <w:rPr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הוסיף וטען כי בית המשפט התכתב עם השופטת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 xml:space="preserve">במהלך הדיון שהתקיים ביום </w:t>
      </w:r>
      <w:r>
        <w:rPr/>
        <w:t>26.1.2021</w:t>
      </w:r>
      <w:r>
        <w:rPr>
          <w:rtl w:val="true"/>
        </w:rPr>
        <w:t xml:space="preserve">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</w:t>
      </w:r>
      <w:r>
        <w:rPr>
          <w:rtl w:val="true"/>
        </w:rPr>
        <w:t>]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המסרים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 </w:t>
      </w:r>
      <w:r>
        <w:rPr>
          <w:rtl w:val="true"/>
        </w:rPr>
        <w:t>כשאני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השיח</w:t>
      </w:r>
      <w:r>
        <w:rPr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".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הוסיף והסביר כי הצדדים עברו לאולמה של השופטת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 לאחר שבית המשפט </w:t>
      </w:r>
      <w:r>
        <w:rPr>
          <w:rtl w:val="true"/>
        </w:rPr>
        <w:t>"</w:t>
      </w:r>
      <w:r>
        <w:rPr>
          <w:rtl w:val="true"/>
        </w:rPr>
        <w:t>התריע</w:t>
      </w:r>
      <w:r>
        <w:rPr>
          <w:rtl w:val="true"/>
        </w:rPr>
        <w:t xml:space="preserve">"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וכי כאשר שבו לאולמו של המותב אמר הלה לבא</w:t>
      </w:r>
      <w:r>
        <w:rPr>
          <w:rtl w:val="true"/>
        </w:rPr>
        <w:t>-</w:t>
      </w:r>
      <w:r>
        <w:rPr>
          <w:rtl w:val="true"/>
        </w:rPr>
        <w:t xml:space="preserve">כוח המערער כי </w:t>
      </w:r>
      <w:r>
        <w:rPr>
          <w:rtl w:val="true"/>
        </w:rPr>
        <w:t>"</w:t>
      </w:r>
      <w:r>
        <w:rPr>
          <w:rtl w:val="true"/>
        </w:rPr>
        <w:t>הסניגור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מתנהג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" </w:t>
      </w:r>
      <w:r>
        <w:rPr>
          <w:rtl w:val="true"/>
        </w:rPr>
        <w:t>בכך שאינו מסכים להצעה שהועלתה במהלך הדיון המקדמי</w:t>
      </w:r>
      <w:r>
        <w:rPr>
          <w:rtl w:val="true"/>
        </w:rPr>
        <w:t xml:space="preserve">. </w:t>
      </w:r>
      <w:r>
        <w:rPr>
          <w:rtl w:val="true"/>
        </w:rPr>
        <w:t xml:space="preserve">לטענתו בית המשפט </w:t>
      </w:r>
      <w:r>
        <w:rPr>
          <w:rtl w:val="true"/>
        </w:rPr>
        <w:t>"</w:t>
      </w:r>
      <w:r>
        <w:rPr>
          <w:rtl w:val="true"/>
        </w:rPr>
        <w:t>לא אפשר לו</w:t>
      </w:r>
      <w:r>
        <w:rPr>
          <w:rtl w:val="true"/>
        </w:rPr>
        <w:t xml:space="preserve">" </w:t>
      </w:r>
      <w:r>
        <w:rPr>
          <w:rtl w:val="true"/>
        </w:rPr>
        <w:t xml:space="preserve">להצהיר על כפירת המערער ואף הבהיר </w:t>
      </w:r>
      <w:r>
        <w:rPr>
          <w:rtl w:val="true"/>
        </w:rPr>
        <w:t>"</w:t>
      </w:r>
      <w:r>
        <w:rPr>
          <w:rtl w:val="true"/>
        </w:rPr>
        <w:t>שהתיק</w:t>
      </w:r>
      <w:r>
        <w:rPr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 </w:t>
      </w:r>
      <w:r>
        <w:rPr>
          <w:rtl w:val="true"/>
        </w:rPr>
        <w:t>יגיע</w:t>
      </w:r>
      <w:r>
        <w:rPr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שיוכרע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". </w:t>
      </w:r>
      <w:r>
        <w:rPr>
          <w:rtl w:val="true"/>
        </w:rPr>
        <w:t>עוד טען בא</w:t>
      </w:r>
      <w:r>
        <w:rPr>
          <w:rtl w:val="true"/>
        </w:rPr>
        <w:t>-</w:t>
      </w:r>
      <w:r>
        <w:rPr>
          <w:rtl w:val="true"/>
        </w:rPr>
        <w:t xml:space="preserve">כוח המערער כי בית המשפט </w:t>
      </w:r>
      <w:r>
        <w:rPr>
          <w:rtl w:val="true"/>
        </w:rPr>
        <w:t>"</w:t>
      </w:r>
      <w:r>
        <w:rPr>
          <w:rtl w:val="true"/>
        </w:rPr>
        <w:t xml:space="preserve">נחשף לעברו של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 </w:t>
      </w:r>
      <w:r>
        <w:rPr>
          <w:rtl w:val="true"/>
        </w:rPr>
        <w:t xml:space="preserve">וכן נחשף לקו הגנה שלו </w:t>
      </w:r>
      <w:r>
        <w:rPr>
          <w:rtl w:val="true"/>
        </w:rPr>
        <w:t>"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שביקש</w:t>
      </w:r>
      <w:r>
        <w:rPr>
          <w:rtl w:val="true"/>
        </w:rPr>
        <w:t xml:space="preserve"> </w:t>
      </w:r>
      <w:r>
        <w:rPr>
          <w:rtl w:val="true"/>
        </w:rPr>
        <w:t>מהסניגור</w:t>
      </w:r>
      <w:r>
        <w:rPr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 </w:t>
      </w:r>
      <w:r>
        <w:rPr>
          <w:rtl w:val="true"/>
        </w:rPr>
        <w:t>ואז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קו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כל ההתרחשויות הללו</w:t>
      </w:r>
      <w:r>
        <w:rPr>
          <w:rtl w:val="true"/>
        </w:rPr>
        <w:t xml:space="preserve">, </w:t>
      </w:r>
      <w:r>
        <w:rPr>
          <w:rtl w:val="true"/>
        </w:rPr>
        <w:t>כך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לא קיבלו ביטוי בפרוטוקול הדיון מיום </w:t>
      </w:r>
      <w:r>
        <w:rPr/>
        <w:t>26.1.2021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הוסיף וטען כי לתחושתו בית המשפט נוהג כלפיו </w:t>
      </w:r>
      <w:r>
        <w:rPr>
          <w:rtl w:val="true"/>
        </w:rPr>
        <w:t>"</w:t>
      </w:r>
      <w:r>
        <w:rPr>
          <w:rtl w:val="true"/>
        </w:rPr>
        <w:t>בעוינות</w:t>
      </w:r>
      <w:r>
        <w:rPr>
          <w:rtl w:val="true"/>
        </w:rPr>
        <w:t xml:space="preserve">" </w:t>
      </w:r>
      <w:r>
        <w:rPr>
          <w:rtl w:val="true"/>
        </w:rPr>
        <w:t>וכי קיים חשש שנחשף למידע מהליך הגישור שאינו אמור לעמוד בפניו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בתגובה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שמעתי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שליש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קונוטציה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שהסניגור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שמעתי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תובעת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נוכחת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כתובה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הפסלות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מידית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בית המשפט דחה את בקשת הפסלות על אתר בציינו כי </w:t>
      </w:r>
      <w:r>
        <w:rPr>
          <w:rtl w:val="true"/>
        </w:rPr>
        <w:t>"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שנשמעו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משקפים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". </w:t>
      </w:r>
      <w:r>
        <w:rPr>
          <w:rtl w:val="true"/>
        </w:rPr>
        <w:t>בית המשפט הוסיף כי הצדדים הם שבחרו לשתפו</w:t>
      </w:r>
      <w:r>
        <w:rPr>
          <w:rtl w:val="true"/>
        </w:rPr>
        <w:t xml:space="preserve">, </w:t>
      </w:r>
      <w:r>
        <w:rPr>
          <w:rtl w:val="true"/>
        </w:rPr>
        <w:t>בפתח הדיון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קרובים</w:t>
      </w:r>
      <w:r>
        <w:rPr>
          <w:rtl w:val="true"/>
        </w:rPr>
        <w:t xml:space="preserve"> </w:t>
      </w:r>
      <w:r>
        <w:rPr>
          <w:rtl w:val="true"/>
        </w:rPr>
        <w:t>להסכמה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המחלוקות</w:t>
      </w:r>
      <w:r>
        <w:rPr>
          <w:rtl w:val="true"/>
        </w:rPr>
        <w:t xml:space="preserve"> </w:t>
      </w:r>
      <w:r>
        <w:rPr>
          <w:rtl w:val="true"/>
        </w:rPr>
        <w:t>שנותרו</w:t>
      </w:r>
      <w:r>
        <w:rPr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 </w:t>
      </w:r>
      <w:r>
        <w:rPr>
          <w:rtl w:val="true"/>
        </w:rPr>
        <w:t>ונוגעות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חוזרות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כפולות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". </w:t>
      </w:r>
      <w:r>
        <w:rPr>
          <w:rtl w:val="true"/>
        </w:rPr>
        <w:t xml:space="preserve">באשר לתקשורת שקיים עם השופטת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tl w:val="true"/>
        </w:rPr>
        <w:t xml:space="preserve"> הדגיש בית המשפט כי 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 </w:t>
      </w:r>
      <w:r>
        <w:rPr>
          <w:rtl w:val="true"/>
        </w:rPr>
        <w:t>המגשר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ואכן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. </w:t>
      </w:r>
      <w:r>
        <w:rPr>
          <w:rtl w:val="true"/>
        </w:rPr>
        <w:t>בבדיקה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שעלה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הגישור</w:t>
      </w:r>
      <w:r>
        <w:rPr>
          <w:rtl w:val="true"/>
        </w:rPr>
        <w:t xml:space="preserve">". </w:t>
      </w:r>
      <w:r>
        <w:rPr>
          <w:rtl w:val="true"/>
        </w:rPr>
        <w:t>עוד ציין בית המשפט כי הוא לא נחשף לקו ההגנה למעט מה שנמסר לו מבא</w:t>
      </w:r>
      <w:r>
        <w:rPr>
          <w:rtl w:val="true"/>
        </w:rPr>
        <w:t>-</w:t>
      </w:r>
      <w:r>
        <w:rPr>
          <w:rtl w:val="true"/>
        </w:rPr>
        <w:t>כוח המערער בנוגע ל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החוזרות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", </w:t>
      </w:r>
      <w:r>
        <w:rPr>
          <w:rtl w:val="true"/>
        </w:rPr>
        <w:t>כפי שתועד בפרוטוקול הדיון</w:t>
      </w:r>
      <w:r>
        <w:rPr>
          <w:rtl w:val="true"/>
        </w:rPr>
        <w:t xml:space="preserve">, </w:t>
      </w:r>
      <w:r>
        <w:rPr>
          <w:rtl w:val="true"/>
        </w:rPr>
        <w:t>ומכל מקום בית המשפט ממילא עתיד להיחשף לעיקרי קו ההגנה במסגרת דיון המענה לכתב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הוסיף וציין כי הוא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לתוצאות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"; </w:t>
      </w:r>
      <w:r>
        <w:rPr>
          <w:rtl w:val="true"/>
        </w:rPr>
        <w:t xml:space="preserve">כי סוגיית השלכות קביעת המועד לדיון ההוכחות </w:t>
      </w:r>
      <w:r>
        <w:rPr>
          <w:rtl w:val="true"/>
        </w:rPr>
        <w:t>"</w:t>
      </w:r>
      <w:r>
        <w:rPr>
          <w:rtl w:val="true"/>
        </w:rPr>
        <w:t>ככל הנראה</w:t>
      </w:r>
      <w:r>
        <w:rPr>
          <w:rtl w:val="true"/>
        </w:rPr>
        <w:t xml:space="preserve">" </w:t>
      </w:r>
      <w:r>
        <w:rPr>
          <w:rtl w:val="true"/>
        </w:rPr>
        <w:t>נדונה בין הצדדים לבין עצמם</w:t>
      </w:r>
      <w:r>
        <w:rPr>
          <w:rtl w:val="true"/>
        </w:rPr>
        <w:t xml:space="preserve">; </w:t>
      </w:r>
      <w:r>
        <w:rPr>
          <w:rtl w:val="true"/>
        </w:rPr>
        <w:t>וכי תחושתו של בא</w:t>
      </w:r>
      <w:r>
        <w:rPr>
          <w:rtl w:val="true"/>
        </w:rPr>
        <w:t>-</w:t>
      </w:r>
      <w:r>
        <w:rPr>
          <w:rtl w:val="true"/>
        </w:rPr>
        <w:t>כוח המערער היא סובייקטיבית 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מכאן הערעור שלפניי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טוען כי בפתח הדיון מיום </w:t>
      </w:r>
      <w:r>
        <w:rPr/>
        <w:t>26.1.2021</w:t>
      </w:r>
      <w:r>
        <w:rPr>
          <w:rtl w:val="true"/>
        </w:rPr>
        <w:t xml:space="preserve"> </w:t>
      </w:r>
      <w:r>
        <w:rPr>
          <w:rtl w:val="true"/>
        </w:rPr>
        <w:t xml:space="preserve">שאל המותב את הצדדים </w:t>
      </w:r>
      <w:r>
        <w:rPr>
          <w:rtl w:val="true"/>
        </w:rPr>
        <w:t>"</w:t>
      </w:r>
      <w:r>
        <w:rPr>
          <w:rtl w:val="true"/>
        </w:rPr>
        <w:t xml:space="preserve">אם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 </w:t>
      </w:r>
      <w:r>
        <w:rPr>
          <w:rtl w:val="true"/>
        </w:rPr>
        <w:t>יש מאסר על תנאי</w:t>
      </w:r>
      <w:r>
        <w:rPr>
          <w:rtl w:val="true"/>
        </w:rPr>
        <w:t xml:space="preserve">" </w:t>
      </w:r>
      <w:r>
        <w:rPr>
          <w:rtl w:val="true"/>
        </w:rPr>
        <w:t>אשר מקשה על הצדדים להגיע לידי הסדר</w:t>
      </w:r>
      <w:r>
        <w:rPr>
          <w:rtl w:val="true"/>
        </w:rPr>
        <w:t xml:space="preserve">, </w:t>
      </w:r>
      <w:r>
        <w:rPr>
          <w:rtl w:val="true"/>
        </w:rPr>
        <w:t>וכי בעוד בא</w:t>
      </w:r>
      <w:r>
        <w:rPr>
          <w:rtl w:val="true"/>
        </w:rPr>
        <w:t>-</w:t>
      </w:r>
      <w:r>
        <w:rPr>
          <w:rtl w:val="true"/>
        </w:rPr>
        <w:t>כוחו השיב בשלילה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המאשימה ציין כי המערער </w:t>
      </w:r>
      <w:r>
        <w:rPr>
          <w:rtl w:val="true"/>
        </w:rPr>
        <w:t>"</w:t>
      </w:r>
      <w:r>
        <w:rPr>
          <w:rtl w:val="true"/>
        </w:rPr>
        <w:t>רק יצא מהכלא לאחרונה</w:t>
      </w:r>
      <w:r>
        <w:rPr>
          <w:rtl w:val="true"/>
        </w:rPr>
        <w:t xml:space="preserve">".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נחשף בית המשפט לעברו הפלילי שאותו לא היה אמור לדעת בשלב זה</w:t>
      </w:r>
      <w:r>
        <w:rPr>
          <w:rtl w:val="true"/>
        </w:rPr>
        <w:t xml:space="preserve">. </w:t>
      </w:r>
      <w:r>
        <w:rPr>
          <w:rtl w:val="true"/>
        </w:rPr>
        <w:t xml:space="preserve">עוד טוען המערער כי אמירת המותב בדבר קביעת דיון הוכחות בחודש יוני היוותה ניסיון </w:t>
      </w:r>
      <w:r>
        <w:rPr>
          <w:rtl w:val="true"/>
        </w:rPr>
        <w:t>"</w:t>
      </w:r>
      <w:r>
        <w:rPr>
          <w:rtl w:val="true"/>
        </w:rPr>
        <w:t>להלך אימים</w:t>
      </w:r>
      <w:r>
        <w:rPr>
          <w:rtl w:val="true"/>
        </w:rPr>
        <w:t xml:space="preserve">"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 xml:space="preserve">וכן כי יש טעם לפגם בכך שבית המשפט תיאם עם השופטת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שהצדדים יחזרו לדיון בפניה</w:t>
      </w:r>
      <w:r>
        <w:rPr>
          <w:rtl w:val="true"/>
        </w:rPr>
        <w:t xml:space="preserve">, </w:t>
      </w:r>
      <w:r>
        <w:rPr>
          <w:rtl w:val="true"/>
        </w:rPr>
        <w:t>וזאת מבלי שניתנה הסכמתם לכך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מציין המערער כי </w:t>
      </w:r>
      <w:r>
        <w:rPr>
          <w:rtl w:val="true"/>
        </w:rPr>
        <w:t>"</w:t>
      </w:r>
      <w:r>
        <w:rPr>
          <w:rtl w:val="true"/>
        </w:rPr>
        <w:t>התובעת המוסמכת מטעם פמ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" </w:t>
      </w:r>
      <w:r>
        <w:rPr>
          <w:rtl w:val="true"/>
        </w:rPr>
        <w:t xml:space="preserve">נכחה באולם הדיונים של השופטת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 ביום </w:t>
      </w:r>
      <w:r>
        <w:rPr/>
        <w:t>26.1.2021</w:t>
      </w:r>
      <w:r>
        <w:rPr>
          <w:rtl w:val="true"/>
        </w:rPr>
        <w:t xml:space="preserve">, </w:t>
      </w:r>
      <w:r>
        <w:rPr>
          <w:rtl w:val="true"/>
        </w:rPr>
        <w:t>וכי גם לאחר שחזרו הצדדים לאולמו של המותב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</w:t>
      </w:r>
      <w:r>
        <w:rPr>
          <w:rtl w:val="true"/>
        </w:rPr>
        <w:t>"[</w:t>
      </w:r>
      <w:r>
        <w:rPr>
          <w:rtl w:val="true"/>
        </w:rPr>
        <w:t>ה</w:t>
      </w:r>
      <w:r>
        <w:rPr>
          <w:rtl w:val="true"/>
        </w:rPr>
        <w:t>]</w:t>
      </w:r>
      <w:r>
        <w:rPr>
          <w:rtl w:val="true"/>
        </w:rPr>
        <w:t>קליד ו</w:t>
      </w:r>
      <w:r>
        <w:rPr>
          <w:rtl w:val="true"/>
        </w:rPr>
        <w:t>[</w:t>
      </w:r>
      <w:r>
        <w:rPr>
          <w:rtl w:val="true"/>
        </w:rPr>
        <w:t>ה</w:t>
      </w:r>
      <w:r>
        <w:rPr>
          <w:rtl w:val="true"/>
        </w:rPr>
        <w:t>]</w:t>
      </w:r>
      <w:r>
        <w:rPr>
          <w:rtl w:val="true"/>
        </w:rPr>
        <w:t>תכתב</w:t>
      </w:r>
      <w:r>
        <w:rPr>
          <w:rtl w:val="true"/>
        </w:rPr>
        <w:t xml:space="preserve">" </w:t>
      </w:r>
      <w:r>
        <w:rPr>
          <w:rtl w:val="true"/>
        </w:rPr>
        <w:t xml:space="preserve">עם השופטת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 ושוחח עמה בדואר אלקטרוני </w:t>
      </w:r>
      <w:r>
        <w:rPr>
          <w:rtl w:val="true"/>
        </w:rPr>
        <w:t>"</w:t>
      </w:r>
      <w:r>
        <w:rPr>
          <w:rtl w:val="true"/>
        </w:rPr>
        <w:t>כששם נמצאת גם התובעת המוסמכת מטעם הפרקליטות</w:t>
      </w:r>
      <w:r>
        <w:rPr>
          <w:rtl w:val="true"/>
        </w:rPr>
        <w:t xml:space="preserve">". </w:t>
      </w:r>
      <w:r>
        <w:rPr>
          <w:rtl w:val="true"/>
        </w:rPr>
        <w:t xml:space="preserve">המערער מוסיף כי בית המשפט </w:t>
      </w:r>
      <w:r>
        <w:rPr>
          <w:rtl w:val="true"/>
        </w:rPr>
        <w:t>"[</w:t>
      </w:r>
      <w:r>
        <w:rPr>
          <w:rtl w:val="true"/>
        </w:rPr>
        <w:t>עשה</w:t>
      </w:r>
      <w:r>
        <w:rPr>
          <w:rtl w:val="true"/>
        </w:rPr>
        <w:t xml:space="preserve">] </w:t>
      </w:r>
      <w:r>
        <w:rPr>
          <w:rtl w:val="true"/>
        </w:rPr>
        <w:t>מהלכים מול הפרקליטות</w:t>
      </w:r>
      <w:r>
        <w:rPr>
          <w:rtl w:val="true"/>
        </w:rPr>
        <w:t xml:space="preserve">" </w:t>
      </w:r>
      <w:r>
        <w:rPr>
          <w:rtl w:val="true"/>
        </w:rPr>
        <w:t xml:space="preserve">על מנת להוביל אותה להסכים להצעה שהועלתה על ידי השופטת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 xml:space="preserve">תוך שהוא </w:t>
      </w:r>
      <w:r>
        <w:rPr>
          <w:rtl w:val="true"/>
        </w:rPr>
        <w:t>[</w:t>
      </w:r>
      <w:r>
        <w:rPr>
          <w:rtl w:val="true"/>
        </w:rPr>
        <w:t>בית המשפט</w:t>
      </w:r>
      <w:r>
        <w:rPr>
          <w:rtl w:val="true"/>
        </w:rPr>
        <w:t xml:space="preserve">] </w:t>
      </w:r>
      <w:r>
        <w:rPr>
          <w:rtl w:val="true"/>
        </w:rPr>
        <w:t>נותן למשיבה הנחיות עבודה ברורות ודורש ממנה להתייעץ עם גורמים בכירים יותר</w:t>
      </w:r>
      <w:r>
        <w:rPr>
          <w:rtl w:val="true"/>
        </w:rPr>
        <w:t xml:space="preserve">", </w:t>
      </w:r>
      <w:r>
        <w:rPr>
          <w:rtl w:val="true"/>
        </w:rPr>
        <w:t>וכל זאת ללא ידיעת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התקשורת שקיים המותב עם השופטת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tl w:val="true"/>
        </w:rPr>
        <w:t xml:space="preserve"> ועם הפרקליטות מקימה חשש ממשי למשוא פנים ופגיעה במראית פני הצדק</w:t>
      </w:r>
      <w:r>
        <w:rPr>
          <w:rtl w:val="true"/>
        </w:rPr>
        <w:t xml:space="preserve">, </w:t>
      </w:r>
      <w:r>
        <w:rPr>
          <w:rtl w:val="true"/>
        </w:rPr>
        <w:t xml:space="preserve">והתבטאויותיו הנטענות של המותב חרגו </w:t>
      </w:r>
      <w:r>
        <w:rPr>
          <w:rtl w:val="true"/>
        </w:rPr>
        <w:t>"</w:t>
      </w:r>
      <w:r>
        <w:rPr>
          <w:rtl w:val="true"/>
        </w:rPr>
        <w:t>מגבולות המעורבות האקטיב</w:t>
      </w:r>
      <w:r>
        <w:rPr>
          <w:rtl w:val="true"/>
        </w:rPr>
        <w:t>ית</w:t>
      </w:r>
      <w:r>
        <w:rPr>
          <w:rtl w:val="true"/>
        </w:rPr>
        <w:t xml:space="preserve"> הלגיטימית</w:t>
      </w:r>
      <w:r>
        <w:rPr>
          <w:rtl w:val="true"/>
        </w:rPr>
        <w:t xml:space="preserve">". </w:t>
      </w:r>
      <w:r>
        <w:rPr>
          <w:rtl w:val="true"/>
        </w:rPr>
        <w:t>המערער מוסיף כי בא</w:t>
      </w:r>
      <w:r>
        <w:rPr>
          <w:rtl w:val="true"/>
        </w:rPr>
        <w:t>-</w:t>
      </w:r>
      <w:r>
        <w:rPr>
          <w:rtl w:val="true"/>
        </w:rPr>
        <w:t xml:space="preserve">כוחו ביקש מבית המשפט ביום </w:t>
      </w:r>
      <w:r>
        <w:rPr/>
        <w:t>26.1.2021</w:t>
      </w:r>
      <w:r>
        <w:rPr>
          <w:rtl w:val="true"/>
        </w:rPr>
        <w:t xml:space="preserve"> </w:t>
      </w:r>
      <w:r>
        <w:rPr>
          <w:rtl w:val="true"/>
        </w:rPr>
        <w:t>לדחות את הדיון עוד לפני שבית המשפט הורה על יציאה להפסקה</w:t>
      </w:r>
      <w:r>
        <w:rPr>
          <w:rtl w:val="true"/>
        </w:rPr>
        <w:t xml:space="preserve">, </w:t>
      </w:r>
      <w:r>
        <w:rPr>
          <w:rtl w:val="true"/>
        </w:rPr>
        <w:t>וכי בית המשפט החזיק את בא</w:t>
      </w:r>
      <w:r>
        <w:rPr>
          <w:rtl w:val="true"/>
        </w:rPr>
        <w:t>-</w:t>
      </w:r>
      <w:r>
        <w:rPr>
          <w:rtl w:val="true"/>
        </w:rPr>
        <w:t xml:space="preserve">כוחו </w:t>
      </w:r>
      <w:r>
        <w:rPr>
          <w:rtl w:val="true"/>
        </w:rPr>
        <w:t>"</w:t>
      </w:r>
      <w:r>
        <w:rPr>
          <w:rtl w:val="true"/>
        </w:rPr>
        <w:t>כבן ערובה ממש</w:t>
      </w:r>
      <w:r>
        <w:rPr>
          <w:rtl w:val="true"/>
        </w:rPr>
        <w:t xml:space="preserve">" </w:t>
      </w:r>
      <w:r>
        <w:rPr>
          <w:rtl w:val="true"/>
        </w:rPr>
        <w:t>בכך שלא נעתר לבקשת הדחייה מיד</w:t>
      </w:r>
      <w:r>
        <w:rPr>
          <w:rtl w:val="true"/>
        </w:rPr>
        <w:t xml:space="preserve">. </w:t>
      </w:r>
      <w:r>
        <w:rPr>
          <w:rtl w:val="true"/>
        </w:rPr>
        <w:t>עוד מציין המערער כי ההליך נמצא בראשיתו</w:t>
      </w:r>
      <w:r>
        <w:rPr>
          <w:rtl w:val="true"/>
        </w:rPr>
        <w:t xml:space="preserve">, </w:t>
      </w:r>
      <w:r>
        <w:rPr>
          <w:rtl w:val="true"/>
        </w:rPr>
        <w:t>כך שהעברת הדיון למותב אחר לא תגרום להתמשכותו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שעיינתי בערעור ובנספחיו</w:t>
      </w:r>
      <w:r>
        <w:rPr>
          <w:rtl w:val="true"/>
        </w:rPr>
        <w:t xml:space="preserve">, </w:t>
      </w:r>
      <w:r>
        <w:rPr>
          <w:rtl w:val="true"/>
        </w:rPr>
        <w:t>באתי לידי מסקנה כי דינו להידחות</w:t>
      </w:r>
      <w:r>
        <w:rPr>
          <w:rtl w:val="true"/>
        </w:rPr>
        <w:t xml:space="preserve">. </w:t>
      </w:r>
      <w:r>
        <w:rPr>
          <w:rtl w:val="true"/>
        </w:rPr>
        <w:t xml:space="preserve">לא מצאתי כי מתקיימות בענייננו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ליצור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למשוא</w:t>
      </w:r>
      <w:r>
        <w:rPr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 </w:t>
      </w:r>
      <w:r>
        <w:rPr>
          <w:rtl w:val="true"/>
        </w:rPr>
        <w:t>מצד</w:t>
      </w:r>
      <w:r>
        <w:rPr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, </w:t>
      </w:r>
      <w:r>
        <w:rPr>
          <w:rtl w:val="true"/>
        </w:rPr>
        <w:t xml:space="preserve">כמשמעות המונח </w:t>
      </w:r>
      <w:hyperlink r:id="rId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[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נוסח משולב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],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התשמ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"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ד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-</w:t>
      </w:r>
      <w:r>
        <w:rPr>
          <w:rFonts w:cs="FrankRuehl;Times New Roman" w:ascii="FrankRuehl;Times New Roman" w:hAnsi="FrankRuehl;Times New Roman"/>
          <w:color w:val="000000"/>
          <w:sz w:val="28"/>
        </w:rPr>
        <w:t>1984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טענותיו של המערער מתייחסות רובן ככולן לאירועים שלא קיבלו ביטוי בפרוטוקול הדיון מיום </w:t>
      </w:r>
      <w:r>
        <w:rPr/>
        <w:t>26.1.2021</w:t>
      </w:r>
      <w:r>
        <w:rPr>
          <w:rtl w:val="true"/>
        </w:rPr>
        <w:t xml:space="preserve">, </w:t>
      </w:r>
      <w:r>
        <w:rPr>
          <w:rtl w:val="true"/>
        </w:rPr>
        <w:t>ובית המשפט אף קבע בהחלטתו הדוחה את בקשת הפסלות כי האופן שבו תיאר בא</w:t>
      </w:r>
      <w:r>
        <w:rPr>
          <w:rtl w:val="true"/>
        </w:rPr>
        <w:t>-</w:t>
      </w:r>
      <w:r>
        <w:rPr>
          <w:rtl w:val="true"/>
        </w:rPr>
        <w:t>כוח המערער את ההתרחשויות הללו אינו מדויק לפחות בחלקו</w:t>
      </w:r>
      <w:r>
        <w:rPr>
          <w:rtl w:val="true"/>
        </w:rPr>
        <w:t xml:space="preserve">. </w:t>
      </w:r>
      <w:r>
        <w:rPr>
          <w:rtl w:val="true"/>
        </w:rPr>
        <w:t>כפי שנפסק בעבר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להשתלשלות</w:t>
      </w:r>
      <w:r>
        <w:rPr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 </w:t>
      </w:r>
      <w:r>
        <w:rPr>
          <w:rtl w:val="true"/>
        </w:rPr>
        <w:t>מגרסת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קמה</w:t>
      </w:r>
      <w:r>
        <w:rPr>
          <w:rtl w:val="true"/>
        </w:rPr>
        <w:t xml:space="preserve"> </w:t>
      </w:r>
      <w:r>
        <w:rPr>
          <w:rtl w:val="true"/>
        </w:rPr>
        <w:t>חזקה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המתארת</w:t>
      </w:r>
      <w:r>
        <w:rPr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 xml:space="preserve">אותם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הנטל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 </w:t>
      </w:r>
      <w:r>
        <w:rPr>
          <w:rtl w:val="true"/>
        </w:rPr>
        <w:t>לסתור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7100/18</w:t>
        </w:r>
      </w:hyperlink>
      <w:r>
        <w:rPr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זנגול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נ</w:t>
      </w:r>
      <w:r>
        <w:rPr>
          <w:rFonts w:cs="Miriam;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;Miriam" w:ascii="Century" w:hAnsi="Century"/>
          <w:b/>
          <w:spacing w:val="0"/>
          <w:szCs w:val="24"/>
          <w:rtl w:val="true"/>
        </w:rPr>
        <w:t xml:space="preserve">-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המקומית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Cs w:val="24"/>
          <w:rtl w:val="true"/>
        </w:rPr>
        <w:t>ולבניה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24.10.2018</w:t>
      </w:r>
      <w:r>
        <w:rPr>
          <w:rtl w:val="true"/>
        </w:rPr>
        <w:t xml:space="preserve">)).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בנטל זה</w:t>
      </w:r>
      <w:r>
        <w:rPr>
          <w:rtl w:val="true"/>
        </w:rPr>
        <w:t xml:space="preserve">, </w:t>
      </w:r>
      <w:r>
        <w:rPr>
          <w:rtl w:val="true"/>
        </w:rPr>
        <w:t xml:space="preserve">ומעיון במערכת </w:t>
      </w:r>
      <w:r>
        <w:rPr>
          <w:rtl w:val="true"/>
        </w:rPr>
        <w:t>"</w:t>
      </w:r>
      <w:r>
        <w:rPr>
          <w:rtl w:val="true"/>
        </w:rPr>
        <w:t>נט המשפט</w:t>
      </w:r>
      <w:r>
        <w:rPr>
          <w:rtl w:val="true"/>
        </w:rPr>
        <w:t xml:space="preserve">" </w:t>
      </w:r>
      <w:r>
        <w:rPr>
          <w:rtl w:val="true"/>
        </w:rPr>
        <w:t xml:space="preserve">עולה כי המערער אף לא הגיש בקשה לתיקון פרוטוקול הדיון </w:t>
      </w:r>
      <w:r>
        <w:rPr>
          <w:rtl w:val="true"/>
        </w:rPr>
        <w:t>(</w:t>
      </w:r>
      <w:r>
        <w:rPr>
          <w:rtl w:val="true"/>
        </w:rPr>
        <w:t xml:space="preserve">ראו לעניין זה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1609/19</w:t>
        </w:r>
      </w:hyperlink>
      <w:r>
        <w:rPr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שוראקי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;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6.3.2019</w:t>
      </w:r>
      <w:r>
        <w:rPr>
          <w:rtl w:val="true"/>
        </w:rPr>
        <w:t xml:space="preserve">)).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אינני סבורה כי המערער הוכיח עילה לפסילת המותב עקב ההתרחשויות בדיון מיום </w:t>
      </w:r>
      <w:r>
        <w:rPr/>
        <w:t>26.1.2021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 טענת המערער בדבר היחשפות המותב לעובדה ששוחרר לאחרונה ממאסר נעדרת תימוכין בפרוטוקול הדיון ועל כן</w:t>
      </w:r>
      <w:r>
        <w:rPr>
          <w:rtl w:val="true"/>
        </w:rPr>
        <w:t xml:space="preserve">, </w:t>
      </w:r>
      <w:r>
        <w:rPr>
          <w:rtl w:val="true"/>
        </w:rPr>
        <w:t>אין להידרש לה במסגרת הערעור דנן</w:t>
      </w:r>
      <w:r>
        <w:rPr>
          <w:rtl w:val="true"/>
        </w:rPr>
        <w:t xml:space="preserve">. </w:t>
      </w:r>
      <w:r>
        <w:rPr>
          <w:rtl w:val="true"/>
        </w:rPr>
        <w:t>למעלה מן הצורך אציין כי חשיפה למידע על עברו הפלילי של נאשם אינה מקימה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 xml:space="preserve">עילת פסלות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4389/19</w:t>
        </w:r>
      </w:hyperlink>
      <w:r>
        <w:rPr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;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8.8.2019</w:t>
      </w:r>
      <w:r>
        <w:rPr>
          <w:rtl w:val="true"/>
        </w:rPr>
        <w:t xml:space="preserve">)), </w:t>
      </w:r>
      <w:r>
        <w:rPr>
          <w:rtl w:val="true"/>
        </w:rPr>
        <w:t xml:space="preserve">והמערער לא נימק מדוע הפרט שלטענתו נחשף מהווה 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>שהמותב לא יוכל להשתחרר ממנה בבואו לדון בהליך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השגותיו של המערער על התקשורת שקיים המותב עם השופטת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tl w:val="true"/>
        </w:rPr>
        <w:t xml:space="preserve"> אף הן אינן מבססות עילת פסלות</w:t>
      </w:r>
      <w:r>
        <w:rPr>
          <w:rtl w:val="true"/>
        </w:rPr>
        <w:t xml:space="preserve">. </w:t>
      </w:r>
      <w:r>
        <w:rPr>
          <w:rtl w:val="true"/>
        </w:rPr>
        <w:t>כפי שציין המערער בעצמו</w:t>
      </w:r>
      <w:r>
        <w:rPr>
          <w:rtl w:val="true"/>
        </w:rPr>
        <w:t xml:space="preserve">, </w:t>
      </w:r>
      <w:r>
        <w:rPr>
          <w:rtl w:val="true"/>
        </w:rPr>
        <w:t>הוא ובא</w:t>
      </w:r>
      <w:r>
        <w:rPr>
          <w:rtl w:val="true"/>
        </w:rPr>
        <w:t>-</w:t>
      </w:r>
      <w:r>
        <w:rPr>
          <w:rtl w:val="true"/>
        </w:rPr>
        <w:t xml:space="preserve">כוחו הסכימו להצעת המותב לשוב לאולם הדיונים של השופטת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tl w:val="true"/>
        </w:rPr>
        <w:t xml:space="preserve"> ומכל מקום</w:t>
      </w:r>
      <w:r>
        <w:rPr>
          <w:rtl w:val="true"/>
        </w:rPr>
        <w:t xml:space="preserve">, </w:t>
      </w:r>
      <w:r>
        <w:rPr>
          <w:rtl w:val="true"/>
        </w:rPr>
        <w:t>לא שוכנעתי שהתנהלות זו של המותב חרגה מניהול סביר של ההליך</w:t>
      </w:r>
      <w:r>
        <w:rPr>
          <w:rtl w:val="true"/>
        </w:rPr>
        <w:t xml:space="preserve">. </w:t>
      </w:r>
      <w:r>
        <w:rPr>
          <w:rtl w:val="true"/>
        </w:rPr>
        <w:t>עוד יצוין כי טענתו של המערער בדבר היחשפות המותב לחומר בלתי</w:t>
      </w:r>
      <w:r>
        <w:rPr>
          <w:rtl w:val="true"/>
        </w:rPr>
        <w:t>-</w:t>
      </w:r>
      <w:r>
        <w:rPr>
          <w:rtl w:val="true"/>
        </w:rPr>
        <w:t>קביל מהדיונים המקדמיים</w:t>
      </w:r>
      <w:r>
        <w:rPr>
          <w:rtl w:val="true"/>
        </w:rPr>
        <w:t xml:space="preserve">, </w:t>
      </w:r>
      <w:r>
        <w:rPr>
          <w:rtl w:val="true"/>
        </w:rPr>
        <w:t xml:space="preserve">לא גובתה בתשתית עובדתית או בפירוט החומר שנטען כי המותב נחשף אליו </w:t>
      </w:r>
      <w:r>
        <w:rPr>
          <w:rtl w:val="true"/>
        </w:rPr>
        <w:t>–</w:t>
      </w:r>
      <w:r>
        <w:rPr>
          <w:rtl w:val="true"/>
        </w:rPr>
        <w:t xml:space="preserve"> ומנגד המותב הבהיר כי לא נחשף </w:t>
      </w:r>
      <w:r>
        <w:rPr>
          <w:rtl w:val="true"/>
        </w:rPr>
        <w:t>"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שעלה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הגישור</w:t>
      </w:r>
      <w:r>
        <w:rPr>
          <w:rtl w:val="true"/>
        </w:rPr>
        <w:t xml:space="preserve">". </w:t>
      </w:r>
      <w:r>
        <w:rPr>
          <w:rtl w:val="true"/>
        </w:rPr>
        <w:t>בנסיבות אלו לא הוכח שהמותב נחשף לחומר בלתי</w:t>
      </w:r>
      <w:r>
        <w:rPr>
          <w:rtl w:val="true"/>
        </w:rPr>
        <w:t>-</w:t>
      </w:r>
      <w:r>
        <w:rPr>
          <w:rtl w:val="true"/>
        </w:rPr>
        <w:t>קביל כלשהו מהדיונים המקדמיים</w:t>
      </w:r>
      <w:r>
        <w:rPr>
          <w:rtl w:val="true"/>
        </w:rPr>
        <w:t xml:space="preserve">, </w:t>
      </w:r>
      <w:r>
        <w:rPr>
          <w:rtl w:val="true"/>
        </w:rPr>
        <w:t xml:space="preserve">לא כל שכן חומר שההיחשפות לו מצדיקה את פסילתו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683/21</w:t>
        </w:r>
      </w:hyperlink>
      <w:r>
        <w:rPr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מהלו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;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8.2.2021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מראית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Microsoft Sans Serif" w:cs="Arial TUR;Microsoft Sans Serif"/>
          <w:rtl w:val="true"/>
        </w:rPr>
        <w:t xml:space="preserve"> </w:t>
      </w:r>
      <w:r>
        <w:rPr>
          <w:rtl w:val="true"/>
        </w:rPr>
        <w:t>(‏</w:t>
      </w:r>
      <w:r>
        <w:rPr/>
        <w:t>17.2.2021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Microsoft Sans Serif" w:cs="Arial TUR;Microsoft Sans Serif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21006850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ה א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  <w:szCs w:val="22"/>
        </w:rPr>
        <w:t>54678313-685/21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Microsoft Sans Serif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685/21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שמעון בן טוב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8"/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8"/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Microsoft Sans Serif" w:hAnsi="Arial TUR;Microsoft Sans Serif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Microsoft Sans Serif" w:hAnsi="Arial TUR;Microsoft Sans Serif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Microsoft Sans Serif" w:hAnsi="Arial TUR;Microsoft Sans Serif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/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044109" TargetMode="External"/><Relationship Id="rId3" Type="http://schemas.openxmlformats.org/officeDocument/2006/relationships/hyperlink" Target="http://www.nevo.co.il/law/74849" TargetMode="External"/><Relationship Id="rId4" Type="http://schemas.openxmlformats.org/officeDocument/2006/relationships/hyperlink" Target="http://www.nevo.co.il/law/74849/77a.a" TargetMode="External"/><Relationship Id="rId5" Type="http://schemas.openxmlformats.org/officeDocument/2006/relationships/hyperlink" Target="http://www.nevo.co.il/law/74849/77a.a" TargetMode="External"/><Relationship Id="rId6" Type="http://schemas.openxmlformats.org/officeDocument/2006/relationships/hyperlink" Target="http://www.nevo.co.il/law/74849" TargetMode="External"/><Relationship Id="rId7" Type="http://schemas.openxmlformats.org/officeDocument/2006/relationships/hyperlink" Target="http://www.nevo.co.il/case/27044098" TargetMode="External"/><Relationship Id="rId8" Type="http://schemas.openxmlformats.org/officeDocument/2006/relationships/hyperlink" Target="http://www.nevo.co.il/law/74849/77a.a" TargetMode="External"/><Relationship Id="rId9" Type="http://schemas.openxmlformats.org/officeDocument/2006/relationships/hyperlink" Target="http://www.nevo.co.il/law/74849" TargetMode="External"/><Relationship Id="rId10" Type="http://schemas.openxmlformats.org/officeDocument/2006/relationships/hyperlink" Target="http://www.nevo.co.il/case/25046263" TargetMode="External"/><Relationship Id="rId11" Type="http://schemas.openxmlformats.org/officeDocument/2006/relationships/hyperlink" Target="http://www.nevo.co.il/case/25503702" TargetMode="External"/><Relationship Id="rId12" Type="http://schemas.openxmlformats.org/officeDocument/2006/relationships/hyperlink" Target="http://www.nevo.co.il/case/25819626" TargetMode="External"/><Relationship Id="rId13" Type="http://schemas.openxmlformats.org/officeDocument/2006/relationships/hyperlink" Target="http://www.nevo.co.il/case/27365580" TargetMode="External"/><Relationship Id="rId14" Type="http://schemas.openxmlformats.org/officeDocument/2006/relationships/hyperlink" Target="http://supreme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2021-02-18T12:48:00Z</dcterms:created>
  <dc:creator>h4</dc:creator>
  <dc:description/>
  <cp:keywords/>
  <dc:language>en-IL</dc:language>
  <cp:lastModifiedBy>orly</cp:lastModifiedBy>
  <cp:lastPrinted>2021-02-17T11:06:00Z</cp:lastPrinted>
  <dcterms:modified xsi:type="dcterms:W3CDTF">2021-02-18T12:48:00Z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בן טוב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27044109;27044098;25046263;25503702;25819626;27365580</vt:lpwstr>
  </property>
  <property fmtid="{D5CDD505-2E9C-101B-9397-08002B2CF9AE}" pid="9" name="CITY">
    <vt:lpwstr/>
  </property>
  <property fmtid="{D5CDD505-2E9C-101B-9397-08002B2CF9AE}" pid="10" name="DATE">
    <vt:lpwstr>20210217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74849/077a.a</vt:lpwstr>
  </property>
  <property fmtid="{D5CDD505-2E9C-101B-9397-08002B2CF9AE}" pid="15" name="LAWYER">
    <vt:lpwstr>טל ארד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14;14</vt:lpwstr>
  </property>
  <property fmtid="{D5CDD505-2E9C-101B-9397-08002B2CF9AE}" pid="37" name="NOSE21">
    <vt:lpwstr>שופטים</vt:lpwstr>
  </property>
  <property fmtid="{D5CDD505-2E9C-101B-9397-08002B2CF9AE}" pid="38" name="NOSE210">
    <vt:lpwstr/>
  </property>
  <property fmtid="{D5CDD505-2E9C-101B-9397-08002B2CF9AE}" pid="39" name="NOSE22">
    <vt:lpwstr>פסלות שופט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341;336</vt:lpwstr>
  </property>
  <property fmtid="{D5CDD505-2E9C-101B-9397-08002B2CF9AE}" pid="48" name="NOSE31">
    <vt:lpwstr>פסילה</vt:lpwstr>
  </property>
  <property fmtid="{D5CDD505-2E9C-101B-9397-08002B2CF9AE}" pid="49" name="NOSE310">
    <vt:lpwstr/>
  </property>
  <property fmtid="{D5CDD505-2E9C-101B-9397-08002B2CF9AE}" pid="50" name="NOSE32">
    <vt:lpwstr>טעמי הפסלות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2803;2758</vt:lpwstr>
  </property>
  <property fmtid="{D5CDD505-2E9C-101B-9397-08002B2CF9AE}" pid="59" name="PADIDATE">
    <vt:lpwstr>20210218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685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410120210217</vt:lpwstr>
  </property>
  <property fmtid="{D5CDD505-2E9C-101B-9397-08002B2CF9AE}" pid="69" name="TYPE_N_DATE">
    <vt:lpwstr>41020210217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