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6869/16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Century" w:ascii="Century" w:hAnsi="Century"/>
                <w:sz w:val="18"/>
                <w:szCs w:val="24"/>
                <w:rtl w:val="true"/>
              </w:rPr>
              <w:t>(</w:t>
            </w:r>
            <w:r>
              <w:rPr>
                <w:rFonts w:ascii="Century" w:hAnsi="Century" w:cs="Century"/>
                <w:sz w:val="18"/>
                <w:sz w:val="18"/>
                <w:szCs w:val="24"/>
                <w:rtl w:val="true"/>
              </w:rPr>
              <w:t xml:space="preserve">השופטים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דותן</w:t>
            </w:r>
            <w:r>
              <w:rPr>
                <w:rFonts w:cs="Century" w:ascii="Century" w:hAnsi="Century"/>
                <w:rtl w:val="true"/>
              </w:rPr>
              <w:t>,</w:t>
            </w:r>
            <w:r>
              <w:rPr>
                <w:rFonts w:cs="Century" w:ascii="Century" w:hAnsi="Century"/>
                <w:sz w:val="18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לוי</w:t>
            </w:r>
            <w:r>
              <w:rPr>
                <w:rFonts w:ascii="Century" w:hAnsi="Century" w:cs="Century"/>
                <w:rtl w:val="true"/>
              </w:rPr>
              <w:t xml:space="preserve"> </w:t>
            </w:r>
            <w:r>
              <w:rPr>
                <w:rFonts w:ascii="Century" w:hAnsi="Century" w:cs="Century"/>
                <w:sz w:val="18"/>
                <w:sz w:val="18"/>
                <w:szCs w:val="24"/>
                <w:rtl w:val="true"/>
              </w:rPr>
              <w:t>ו</w:t>
            </w:r>
            <w:r>
              <w:rPr>
                <w:rFonts w:cs="Century" w:ascii="Century" w:hAnsi="Century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לוי</w:t>
            </w:r>
            <w:r>
              <w:rPr>
                <w:rFonts w:cs="Century" w:ascii="Century" w:hAnsi="Century"/>
                <w:sz w:val="20"/>
                <w:szCs w:val="26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6495-06-15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8.1.2018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שוחטמן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הגנה על הציבור מפני ביצוע עבירות מין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שהופעל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ירוצה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ירצה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תחילת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שחל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נטילת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ורצון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המבוגר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לעודדו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להתקדם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ולהתמיד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טיפולי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לקולה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במצטבר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בקטינה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משפחה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בקטינה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מזוז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הנשיאה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והשופטת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הגלומה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משפחה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בהטלת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מבצעיהן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ובזויים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נעשו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ניצול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והתלות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באביה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ניצול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ריחוקה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וממשפחתה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להוסיף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ההודאה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שהטילה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בעיקרו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המחמיר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תחילת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שחל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נטילת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ורצון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וטיפול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המבוגר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להקלת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לעודדו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להתקדם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ולהתמיד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טיפולי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ולנצל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קידום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החברה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ייצאו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נשכרים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שהופעל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ירוצה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ירצה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שאר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יוותרו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ערעור על גזר דינו של בית המשפט המחוזי בתל אביב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יפו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דותן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cs="Century"/>
          <w:sz w:val="22"/>
          <w:sz w:val="22"/>
          <w:rtl w:val="true"/>
        </w:rPr>
        <w:t xml:space="preserve">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30.6.2016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6495-06-15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בגדרו נגזרו על המערער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הפעלה במצטבר של עונש מותנה של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וכן הטלת מאסר מותנה ותשלום פיצוי למתלוננת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בגין ביצוע עבירות של מעשה מגונה בקטינה בת משפחה וגרם מעשה מגונה בקטינה בת משפחה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3.6.2015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הוגש בבית המשפט המחוזי בתל אביב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יפו כתב אישום נגד המערער אשר ייחס לו עבירות של מעשה מגונה בקטינה בת 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ריבוי מקרים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גרם מעשה מגונה בקטינה בת 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13"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350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שני מקרים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והתעללות בקטין על ידי אחראי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368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לחוק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18"/>
          <w:szCs w:val="22"/>
        </w:rPr>
      </w:pPr>
      <w:r>
        <w:rPr>
          <w:rFonts w:eastAsia="Century" w:cs="Century" w:ascii="Century" w:hAnsi="Century"/>
          <w:sz w:val="18"/>
          <w:szCs w:val="22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פי עובדות כתב האישום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בתו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קטינה ילידת </w:t>
      </w:r>
      <w:r>
        <w:rPr>
          <w:rFonts w:cs="Century" w:ascii="Century" w:hAnsi="Century"/>
          <w:sz w:val="22"/>
        </w:rPr>
        <w:t>2001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אשר מתגוררת עם אמה בארצות הברית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נהגה להגיע לישראל מעת לעת בתקופת הקיץ בין השנים </w:t>
      </w:r>
      <w:r>
        <w:rPr>
          <w:rFonts w:cs="Century" w:ascii="Century" w:hAnsi="Century"/>
          <w:sz w:val="22"/>
        </w:rPr>
        <w:t>2010</w:t>
      </w:r>
      <w:r>
        <w:rPr>
          <w:rFonts w:cs="Century" w:ascii="Century" w:hAnsi="Century"/>
          <w:sz w:val="22"/>
          <w:rtl w:val="true"/>
        </w:rPr>
        <w:t xml:space="preserve"> -</w:t>
      </w:r>
      <w:r>
        <w:rPr>
          <w:rFonts w:cs="Century" w:ascii="Century" w:hAnsi="Century"/>
          <w:sz w:val="22"/>
        </w:rPr>
        <w:t>2014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ולשהות בדירתו של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בדירה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בהזדמנויות שונות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ביצע המערער מעשים מגונים במתלוננת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במועד לא ידוע בקיץ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בעוד שהמערער והמתלוננת צפו בטלוויזיה בחדרו של המערער</w:t>
      </w:r>
      <w:r>
        <w:rPr>
          <w:rtl w:val="true"/>
        </w:rPr>
        <w:t xml:space="preserve">, </w:t>
      </w:r>
      <w:r>
        <w:rPr>
          <w:rtl w:val="true"/>
        </w:rPr>
        <w:t>החדיר המערער את לשונו לפיה של המתלוננת</w:t>
      </w:r>
      <w:r>
        <w:rPr>
          <w:rtl w:val="true"/>
        </w:rPr>
        <w:t xml:space="preserve">, </w:t>
      </w:r>
      <w:r>
        <w:rPr>
          <w:rtl w:val="true"/>
        </w:rPr>
        <w:t>הוריד את מכנסיה ותחתוניה</w:t>
      </w:r>
      <w:r>
        <w:rPr>
          <w:rtl w:val="true"/>
        </w:rPr>
        <w:t xml:space="preserve">, </w:t>
      </w:r>
      <w:r>
        <w:rPr>
          <w:rtl w:val="true"/>
        </w:rPr>
        <w:t>שם את אצבעו בפיו ומישש באצבעו את איבר מינה</w:t>
      </w:r>
      <w:r>
        <w:rPr>
          <w:rtl w:val="true"/>
        </w:rPr>
        <w:t xml:space="preserve">. </w:t>
      </w:r>
      <w:r>
        <w:rPr>
          <w:rtl w:val="true"/>
        </w:rPr>
        <w:t>המערער אמר למתלוננת כי הוא מלמד אותה להיות אישה וכי היא צריכה לגעת באיבר מינה כשהיא במקלחת</w:t>
      </w:r>
      <w:r>
        <w:rPr>
          <w:rtl w:val="true"/>
        </w:rPr>
        <w:t xml:space="preserve">. </w:t>
      </w:r>
      <w:r>
        <w:rPr>
          <w:rtl w:val="true"/>
        </w:rPr>
        <w:t xml:space="preserve">בחודש יוני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בעת שהמערער והמתלוננת שיחקו במחשב שבדירתו</w:t>
      </w:r>
      <w:r>
        <w:rPr>
          <w:rtl w:val="true"/>
        </w:rPr>
        <w:t xml:space="preserve">, </w:t>
      </w:r>
      <w:r>
        <w:rPr>
          <w:rtl w:val="true"/>
        </w:rPr>
        <w:t>הפשיל המערער את מכנסיו</w:t>
      </w:r>
      <w:r>
        <w:rPr>
          <w:rtl w:val="true"/>
        </w:rPr>
        <w:t xml:space="preserve">, </w:t>
      </w:r>
      <w:r>
        <w:rPr>
          <w:rtl w:val="true"/>
        </w:rPr>
        <w:t>חשף את איבר מינו ודרש מהמתלוננת לגעת באיבר מינו</w:t>
      </w:r>
      <w:r>
        <w:rPr>
          <w:rtl w:val="true"/>
        </w:rPr>
        <w:t xml:space="preserve">. </w:t>
      </w:r>
      <w:r>
        <w:rPr>
          <w:rtl w:val="true"/>
        </w:rPr>
        <w:t>משסירבה המתלוננת</w:t>
      </w:r>
      <w:r>
        <w:rPr>
          <w:rtl w:val="true"/>
        </w:rPr>
        <w:t xml:space="preserve">, </w:t>
      </w:r>
      <w:r>
        <w:rPr>
          <w:rtl w:val="true"/>
        </w:rPr>
        <w:t>אמר לה המערער כי אין לה ממה לפחד ושזה נורמלי</w:t>
      </w:r>
      <w:r>
        <w:rPr>
          <w:rtl w:val="true"/>
        </w:rPr>
        <w:t xml:space="preserve">, </w:t>
      </w:r>
      <w:r>
        <w:rPr>
          <w:rtl w:val="true"/>
        </w:rPr>
        <w:t>אחז בידה וגרם לה למשש את איבר מינו</w:t>
      </w:r>
      <w:r>
        <w:rPr>
          <w:rtl w:val="true"/>
        </w:rPr>
        <w:t xml:space="preserve">. </w:t>
      </w:r>
      <w:r>
        <w:rPr>
          <w:rtl w:val="true"/>
        </w:rPr>
        <w:t>במועד אחר</w:t>
      </w:r>
      <w:r>
        <w:rPr>
          <w:rtl w:val="true"/>
        </w:rPr>
        <w:t xml:space="preserve">, </w:t>
      </w:r>
      <w:r>
        <w:rPr>
          <w:rtl w:val="true"/>
        </w:rPr>
        <w:t>כאשר צפתה המתלוננת בטלוויזיה בחדרו של המערער על מיטתו נכנס המערער לחדר</w:t>
      </w:r>
      <w:r>
        <w:rPr>
          <w:rtl w:val="true"/>
        </w:rPr>
        <w:t xml:space="preserve">, </w:t>
      </w:r>
      <w:r>
        <w:rPr>
          <w:rtl w:val="true"/>
        </w:rPr>
        <w:t>אחז במתלוננת</w:t>
      </w:r>
      <w:r>
        <w:rPr>
          <w:rtl w:val="true"/>
        </w:rPr>
        <w:t xml:space="preserve">, </w:t>
      </w:r>
      <w:r>
        <w:rPr>
          <w:rtl w:val="true"/>
        </w:rPr>
        <w:t>השכיבה על גופו והוריד את בגדיה התחתונים</w:t>
      </w:r>
      <w:r>
        <w:rPr>
          <w:rtl w:val="true"/>
        </w:rPr>
        <w:t xml:space="preserve">. </w:t>
      </w:r>
      <w:r>
        <w:rPr>
          <w:rtl w:val="true"/>
        </w:rPr>
        <w:t>המערער החדיר את לשונו לפיה של המתלוננת</w:t>
      </w:r>
      <w:r>
        <w:rPr>
          <w:rtl w:val="true"/>
        </w:rPr>
        <w:t xml:space="preserve">, </w:t>
      </w:r>
      <w:r>
        <w:rPr>
          <w:rtl w:val="true"/>
        </w:rPr>
        <w:t>שם אצבעו בפיו ומישש את איבר מינה באצבעו</w:t>
      </w:r>
      <w:r>
        <w:rPr>
          <w:rtl w:val="true"/>
        </w:rPr>
        <w:t xml:space="preserve">. </w:t>
      </w:r>
      <w:r>
        <w:rPr>
          <w:rtl w:val="true"/>
        </w:rPr>
        <w:t>לאחר מכן השכיב המערער את המתלוננת לצדו וליקק את איבר מינה באופן שגרם לה לכאב</w:t>
      </w:r>
      <w:r>
        <w:rPr>
          <w:rtl w:val="true"/>
        </w:rPr>
        <w:t xml:space="preserve">. </w:t>
      </w:r>
      <w:r>
        <w:rPr>
          <w:rtl w:val="true"/>
        </w:rPr>
        <w:t>המתלוננת החלה לצעוק</w:t>
      </w:r>
      <w:r>
        <w:rPr>
          <w:rtl w:val="true"/>
        </w:rPr>
        <w:t xml:space="preserve">, </w:t>
      </w:r>
      <w:r>
        <w:rPr>
          <w:rtl w:val="true"/>
        </w:rPr>
        <w:t>ובתגובה המערער אמר לה שאינה צריכה לפחד</w:t>
      </w:r>
      <w:r>
        <w:rPr>
          <w:rtl w:val="true"/>
        </w:rPr>
        <w:t xml:space="preserve">, </w:t>
      </w:r>
      <w:r>
        <w:rPr>
          <w:rtl w:val="true"/>
        </w:rPr>
        <w:t>הפשיל את מכנסיו</w:t>
      </w:r>
      <w:r>
        <w:rPr>
          <w:rtl w:val="true"/>
        </w:rPr>
        <w:t xml:space="preserve">, </w:t>
      </w:r>
      <w:r>
        <w:rPr>
          <w:rtl w:val="true"/>
        </w:rPr>
        <w:t>חשף את איבר מינו</w:t>
      </w:r>
      <w:r>
        <w:rPr>
          <w:rtl w:val="true"/>
        </w:rPr>
        <w:t xml:space="preserve">, </w:t>
      </w:r>
      <w:r>
        <w:rPr>
          <w:rtl w:val="true"/>
        </w:rPr>
        <w:t>אחז בידה של המתלוננת וגרם לה למשש את איבר מינו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בחגורה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והכריח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כביסה</w:t>
      </w:r>
      <w:r>
        <w:rPr>
          <w:rtl w:val="true"/>
        </w:rPr>
        <w:t xml:space="preserve">, </w:t>
      </w:r>
      <w:r>
        <w:rPr>
          <w:rtl w:val="true"/>
        </w:rPr>
        <w:t>כאמצעי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שבצלחתה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לאכול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האוכל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האוכל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שהקיאה</w:t>
      </w:r>
      <w:r>
        <w:rPr>
          <w:rtl w:val="true"/>
        </w:rPr>
        <w:t xml:space="preserve">,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התעללות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המערער הכחיש את כל העבירות המיוחסות 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וטען כי המתלוננת מנסה להעליל עליו עלילת שווא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סירב לאורך כל ההליך המשפטי בעניינו להיות מיוצג על ידי סניגור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חרף ניסיונות בית המשפט והסנגוריה הציבורית להסביר לו את חשיבות ייצוגו על ידי סנגור מקצועי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המשפט שדן בתיק שמע עדויות שונות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שמירה על החובה המוגברת של מתן הסבר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הנחיה ושמירת זכויות המערער הבלתי מיוצג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  <w:szCs w:val="22"/>
        </w:rPr>
      </w:pPr>
      <w:r>
        <w:rPr>
          <w:rFonts w:cs="Century" w:ascii="Century" w:hAnsi="Century"/>
          <w:sz w:val="22"/>
          <w:szCs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2.6.2016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הרשיע בית המשפט את המערער בעבירות של מעשה מגונה בקטינה בת משפחה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ריבוי מקרים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וגרם מעשה מגונה בקטינה בת משפחה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שני מקרים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הרשעה זו התבססה על עדותה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שנמצאה אמינה ועדיפה על עדותו הבלתי מהימנה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יחד עם חיזוקים ראייתיים בדמות שיחות טלפון מוקלטות בין המערער למתלוננת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הודעות טקסט בין המתלוננת לאימה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עדות האם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עדות אבי האם ועדות המערער עצמו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יחד 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זיכה את המערער מעבירה של התעללות בקטין על ידי אחראי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המתלוננת הכחישה כי המערער הכה אותה או נקט אלימות כלפיה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מאחר והמערער לא היה מיוצג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קבע בית המשפט כי אין הצדקה להרשיע אותו בעבירות איומים ותקיפה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כבקשת המדינה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שלא יוחסו לו בכתב האישום אלא אך במסגרת סיכומי המדינה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הטיעונים לעונש</w:t>
      </w:r>
      <w:r>
        <w:rPr>
          <w:rtl w:val="true"/>
        </w:rPr>
        <w:t xml:space="preserve">, </w:t>
      </w:r>
      <w:r>
        <w:rPr>
          <w:rtl w:val="true"/>
        </w:rPr>
        <w:t xml:space="preserve">טענה המדינה כי יש להטיל על המערער מאסר בפועל במתחם ענישה הנע לטענתה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המדינה הדגישה את חומרת העבירות ונסיבותיהן ועתרה להשית על המערער מאסר ברף הגבוה של המתחם</w:t>
      </w:r>
      <w:r>
        <w:rPr>
          <w:rtl w:val="true"/>
        </w:rPr>
        <w:t xml:space="preserve">, </w:t>
      </w:r>
      <w:r>
        <w:rPr>
          <w:rtl w:val="true"/>
        </w:rPr>
        <w:t xml:space="preserve">לצד הפעלה במצטבר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מותנים התלויים ועומדים נגדו בגין הרשעה אחרת</w:t>
      </w:r>
      <w:r>
        <w:rPr>
          <w:rtl w:val="true"/>
        </w:rPr>
        <w:t xml:space="preserve">, </w:t>
      </w:r>
      <w:r>
        <w:rPr>
          <w:rtl w:val="true"/>
        </w:rPr>
        <w:t>וכן מאסר מותנה ופיצוי למתלוננת</w:t>
      </w:r>
      <w:r>
        <w:rPr>
          <w:rtl w:val="true"/>
        </w:rPr>
        <w:t xml:space="preserve">. </w:t>
      </w:r>
      <w:r>
        <w:rPr>
          <w:rtl w:val="true"/>
        </w:rPr>
        <w:t>אף במסגרת הטיעונים לעונש</w:t>
      </w:r>
      <w:r>
        <w:rPr>
          <w:rtl w:val="true"/>
        </w:rPr>
        <w:t xml:space="preserve">, </w:t>
      </w:r>
      <w:r>
        <w:rPr>
          <w:rtl w:val="true"/>
        </w:rPr>
        <w:t>ולאחר שבית המשפט הדגיש בפניו כי לטיעונים לעונש חשיבות רבה לגזירת הדין</w:t>
      </w:r>
      <w:r>
        <w:rPr>
          <w:rtl w:val="true"/>
        </w:rPr>
        <w:t xml:space="preserve">, </w:t>
      </w:r>
      <w:r>
        <w:rPr>
          <w:rtl w:val="true"/>
        </w:rPr>
        <w:t>סירב המערער להיות מיוצג על ידי סנגור וסירב לטעון בנוגע לעונשו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בגזר הדין שניתן ביום </w:t>
      </w:r>
      <w:r>
        <w:rPr>
          <w:rFonts w:cs="Century" w:ascii="Century" w:hAnsi="Century"/>
          <w:sz w:val="22"/>
        </w:rPr>
        <w:t>30.6.2016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קבע בית המשפט כי הגם שעסקינן במעשים מתמשכים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מדובר בענייננו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אירוע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אחד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והעמיד את מתחם הענישה ההולם על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עד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בית המשפט הדגיש כי המעשים שביצע המערער הינם ברף החמור ביותר של מעשים מגונים במשפחה</w:t>
      </w:r>
      <w:r>
        <w:rPr>
          <w:rtl w:val="true"/>
        </w:rPr>
        <w:t xml:space="preserve">, </w:t>
      </w:r>
      <w:r>
        <w:rPr>
          <w:rtl w:val="true"/>
        </w:rPr>
        <w:t>ונעשו תוך התעלמות מגילויי ההתנגדות של המתלוננת</w:t>
      </w:r>
      <w:r>
        <w:rPr>
          <w:rtl w:val="true"/>
        </w:rPr>
        <w:t xml:space="preserve">. </w:t>
      </w:r>
      <w:r>
        <w:rPr>
          <w:rtl w:val="true"/>
        </w:rPr>
        <w:t>עוד הדגיש בית המשפט כי המערער ניצל את תמימותה של המתלוננת</w:t>
      </w:r>
      <w:r>
        <w:rPr>
          <w:rtl w:val="true"/>
        </w:rPr>
        <w:t xml:space="preserve">, </w:t>
      </w:r>
      <w:r>
        <w:rPr>
          <w:rtl w:val="true"/>
        </w:rPr>
        <w:t>את כמיהתה לאב</w:t>
      </w:r>
      <w:r>
        <w:rPr>
          <w:rtl w:val="true"/>
        </w:rPr>
        <w:t xml:space="preserve">, </w:t>
      </w:r>
      <w:r>
        <w:rPr>
          <w:rtl w:val="true"/>
        </w:rPr>
        <w:t>ואת תלותה המוחלטת בו בזמן הביקורים כשהיא מנותקת ממעגלי התמיכה שלה</w:t>
      </w:r>
      <w:r>
        <w:rPr>
          <w:rtl w:val="true"/>
        </w:rPr>
        <w:t xml:space="preserve">, </w:t>
      </w:r>
      <w:r>
        <w:rPr>
          <w:rtl w:val="true"/>
        </w:rPr>
        <w:t>ממשפחתה וחבריה</w:t>
      </w:r>
      <w:r>
        <w:rPr>
          <w:rtl w:val="true"/>
        </w:rPr>
        <w:t xml:space="preserve">, </w:t>
      </w:r>
      <w:r>
        <w:rPr>
          <w:rtl w:val="true"/>
        </w:rPr>
        <w:t>המצויים הרחק ממנה</w:t>
      </w:r>
      <w:r>
        <w:rPr>
          <w:rtl w:val="true"/>
        </w:rPr>
        <w:t xml:space="preserve">, </w:t>
      </w:r>
      <w:r>
        <w:rPr>
          <w:rtl w:val="true"/>
        </w:rPr>
        <w:t>והשתמש בבתו כאובייקט לסיפוק תאוותיו המיניות ופגע בה פגיעות חמורות אשר יותירו בנפשה צלקות קשות</w:t>
      </w:r>
      <w:r>
        <w:rPr>
          <w:rtl w:val="true"/>
        </w:rPr>
        <w:t xml:space="preserve">. </w:t>
      </w:r>
      <w:r>
        <w:rPr>
          <w:rtl w:val="true"/>
        </w:rPr>
        <w:t>עוד צוין כי המערער השתמש באמצעי פיתוי ומניפולציה על מנת לשכנע את המתלוננת לא להתנגד לו ולא לחשוף את המעשים</w:t>
      </w:r>
      <w:r>
        <w:rPr>
          <w:rtl w:val="true"/>
        </w:rPr>
        <w:t xml:space="preserve">. </w:t>
      </w:r>
      <w:r>
        <w:rPr>
          <w:rtl w:val="true"/>
        </w:rPr>
        <w:t>בית המשפט קבע כי על אף הרשעתו הקודמת של המערער אין לחרוג ממתחם העונש לחומרה</w:t>
      </w:r>
      <w:r>
        <w:rPr>
          <w:rtl w:val="true"/>
        </w:rPr>
        <w:t xml:space="preserve">, </w:t>
      </w:r>
      <w:r>
        <w:rPr>
          <w:rtl w:val="true"/>
        </w:rPr>
        <w:t>אך גם אין לחרוג ממתחם העונש לקולה</w:t>
      </w:r>
      <w:r>
        <w:rPr>
          <w:rtl w:val="true"/>
        </w:rPr>
        <w:t xml:space="preserve">, </w:t>
      </w:r>
      <w:r>
        <w:rPr>
          <w:rtl w:val="true"/>
        </w:rPr>
        <w:t>שכן המערער לא נטל אחריות על מעשיו ולא החל במאמצי שיקום כלשהם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גזר בית משפט קמא על המערער את העונשים הבאים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הפעלה במצטבר של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המאסר על תנאי שנגזרו על המערער בהרשעתו הקודמת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חודשי מאסר על תנאי שלא יעבור תוך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ממועד שחרורו עבירה מהעבירות בהן הורשע או כל עבירת מין אחרת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ופיצוי למתלוננת בסך </w:t>
      </w:r>
      <w:r>
        <w:rPr>
          <w:rFonts w:cs="Century" w:ascii="Century" w:hAnsi="Century"/>
          <w:sz w:val="22"/>
        </w:rPr>
        <w:t>50,000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ערעור המערער מופנה נגד חומרת עונש המאסר בפועל שהושת עליו</w:t>
      </w:r>
      <w:r>
        <w:rPr>
          <w:rtl w:val="true"/>
        </w:rPr>
        <w:t xml:space="preserve">. </w:t>
      </w:r>
      <w:r>
        <w:rPr>
          <w:rtl w:val="true"/>
        </w:rPr>
        <w:t>בערעורו לפנינו היה המערער מיוצג</w:t>
      </w:r>
      <w:r>
        <w:rPr>
          <w:rtl w:val="true"/>
        </w:rPr>
        <w:t xml:space="preserve">. </w:t>
      </w:r>
      <w:r>
        <w:rPr>
          <w:rtl w:val="true"/>
        </w:rPr>
        <w:t>מטעם המערער נטען כי עונש המאסר שהושת על המערער חורג ממדיניות הענישה הנהוגה בעבירות בהן הורשע באותן נסיבות</w:t>
      </w:r>
      <w:r>
        <w:rPr>
          <w:rtl w:val="true"/>
        </w:rPr>
        <w:t xml:space="preserve">, </w:t>
      </w:r>
      <w:r>
        <w:rPr>
          <w:rtl w:val="true"/>
        </w:rPr>
        <w:t>ואף ממקרים בהן הנסיבות היו חמורות יותר</w:t>
      </w:r>
      <w:r>
        <w:rPr>
          <w:rtl w:val="true"/>
        </w:rPr>
        <w:t xml:space="preserve">. </w:t>
      </w:r>
      <w:r>
        <w:rPr>
          <w:rtl w:val="true"/>
        </w:rPr>
        <w:t>נטען כי העונש החמור הינו תוצאה של התעקשות המערער לייצג את עצמו</w:t>
      </w:r>
      <w:r>
        <w:rPr>
          <w:rtl w:val="true"/>
        </w:rPr>
        <w:t xml:space="preserve">, </w:t>
      </w:r>
      <w:r>
        <w:rPr>
          <w:rtl w:val="true"/>
        </w:rPr>
        <w:t>אך כעת המערער מסכים להיות מיוצג</w:t>
      </w:r>
      <w:r>
        <w:rPr>
          <w:rtl w:val="true"/>
        </w:rPr>
        <w:t xml:space="preserve">, </w:t>
      </w:r>
      <w:r>
        <w:rPr>
          <w:rtl w:val="true"/>
        </w:rPr>
        <w:t>ובוחר שלא לערער על הכרעת הדין אלא רק על העונש שהושת עליו</w:t>
      </w:r>
      <w:r>
        <w:rPr>
          <w:rtl w:val="true"/>
        </w:rPr>
        <w:t xml:space="preserve">, </w:t>
      </w:r>
      <w:r>
        <w:rPr>
          <w:rtl w:val="true"/>
        </w:rPr>
        <w:t>והדבר מצביע על שינוי תפיסה שחל אצל המערער</w:t>
      </w:r>
      <w:r>
        <w:rPr>
          <w:rtl w:val="true"/>
        </w:rPr>
        <w:t xml:space="preserve">, </w:t>
      </w:r>
      <w:r>
        <w:rPr>
          <w:rtl w:val="true"/>
        </w:rPr>
        <w:t>לקיחת אחריות על מעשיו ורצון בשיקום</w:t>
      </w:r>
      <w:r>
        <w:rPr>
          <w:rtl w:val="true"/>
        </w:rPr>
        <w:t xml:space="preserve">. </w:t>
      </w:r>
      <w:r>
        <w:rPr>
          <w:rtl w:val="true"/>
        </w:rPr>
        <w:t>צוין כי המערער פנה לגורמי הטיפול בכלא  וביקש לעבור לאגף טיפולי לעברייני מין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בפעם הראשונה בחייו</w:t>
      </w:r>
      <w:r>
        <w:rPr>
          <w:rtl w:val="true"/>
        </w:rPr>
        <w:t xml:space="preserve">, </w:t>
      </w:r>
      <w:r>
        <w:rPr>
          <w:rtl w:val="true"/>
        </w:rPr>
        <w:t>מביע המערער מוטיבציה אמיתית לשינוי דרכיו</w:t>
      </w:r>
      <w:r>
        <w:rPr>
          <w:rtl w:val="true"/>
        </w:rPr>
        <w:t xml:space="preserve">. </w:t>
      </w:r>
      <w:r>
        <w:rPr>
          <w:rtl w:val="true"/>
        </w:rPr>
        <w:t>כמו כן נטען כי נסיבותיו האישיות של המערער לא הוצגו כדבעי בפני בית משפט קמא</w:t>
      </w:r>
      <w:r>
        <w:rPr>
          <w:rtl w:val="true"/>
        </w:rPr>
        <w:t xml:space="preserve">, </w:t>
      </w:r>
      <w:r>
        <w:rPr>
          <w:rtl w:val="true"/>
        </w:rPr>
        <w:t>ובית משפט זה מתבקש להתחשב בגילו המבוגר ובעובדה כי אשתו</w:t>
      </w:r>
      <w:r>
        <w:rPr>
          <w:rtl w:val="true"/>
        </w:rPr>
        <w:t xml:space="preserve">, </w:t>
      </w:r>
      <w:r>
        <w:rPr>
          <w:rtl w:val="true"/>
        </w:rPr>
        <w:t>שהינה אזרחית פיליפינית</w:t>
      </w:r>
      <w:r>
        <w:rPr>
          <w:rtl w:val="true"/>
        </w:rPr>
        <w:t xml:space="preserve">, </w:t>
      </w:r>
      <w:r>
        <w:rPr>
          <w:rtl w:val="true"/>
        </w:rPr>
        <w:t>עומדת בפני סיכון לגירוש מישראל יחד עם בנם בשל כניסתו של המערער למאסר ממושך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לקראת הדיון בערעור הוגשה ביום </w:t>
      </w:r>
      <w:r>
        <w:rPr/>
        <w:t>28.12.2017</w:t>
      </w:r>
      <w:r>
        <w:rPr>
          <w:rtl w:val="true"/>
        </w:rPr>
        <w:t xml:space="preserve"> </w:t>
      </w:r>
      <w:r>
        <w:rPr>
          <w:rtl w:val="true"/>
        </w:rPr>
        <w:t xml:space="preserve">חוות דעת מטעם המרכז להערכת מסוכנות בעניינו של 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tl w:val="true"/>
        </w:rPr>
        <w:t xml:space="preserve">), </w:t>
      </w:r>
      <w:r>
        <w:rPr>
          <w:rtl w:val="true"/>
        </w:rPr>
        <w:t xml:space="preserve">בהתאם </w:t>
      </w:r>
      <w:hyperlink r:id="rId1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מפני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ביצוע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מין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. </w:t>
      </w:r>
      <w:r>
        <w:rPr>
          <w:rtl w:val="true"/>
        </w:rPr>
        <w:t>חוות הדעת פירטה את התסקירים וחוות הדעת הקודמות שניתנו בעניינו של המערער במסגרת ההליך הפלילי ומאסרו</w:t>
      </w:r>
      <w:r>
        <w:rPr>
          <w:rtl w:val="true"/>
        </w:rPr>
        <w:t xml:space="preserve">: </w:t>
      </w:r>
      <w:r>
        <w:rPr>
          <w:rtl w:val="true"/>
        </w:rPr>
        <w:t xml:space="preserve">מתסקיר מעצרו של המערער מיום </w:t>
      </w:r>
      <w:r>
        <w:rPr/>
        <w:t>29.6.2015</w:t>
      </w:r>
      <w:r>
        <w:rPr>
          <w:rtl w:val="true"/>
        </w:rPr>
        <w:t xml:space="preserve"> </w:t>
      </w:r>
      <w:r>
        <w:rPr>
          <w:rtl w:val="true"/>
        </w:rPr>
        <w:t>עלה כי שירות המבחן התרשם כי המערער מתקשה לערוך בדיקה עצמית לגבי כשליו כמחנך ומטפל בבתו ולהכיר באחריות להם</w:t>
      </w:r>
      <w:r>
        <w:rPr>
          <w:rtl w:val="true"/>
        </w:rPr>
        <w:t xml:space="preserve">, </w:t>
      </w:r>
      <w:r>
        <w:rPr>
          <w:rtl w:val="true"/>
        </w:rPr>
        <w:t>ומשליך את האחריות לכשליו על אמה של המתלוננת וגורמים חיצוניים אחרים</w:t>
      </w:r>
      <w:r>
        <w:rPr>
          <w:rtl w:val="true"/>
        </w:rPr>
        <w:t xml:space="preserve">.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 אבחון ומיון של השב</w:t>
      </w:r>
      <w:r>
        <w:rPr>
          <w:rtl w:val="true"/>
        </w:rPr>
        <w:t>"</w:t>
      </w:r>
      <w:r>
        <w:rPr>
          <w:rtl w:val="true"/>
        </w:rPr>
        <w:t xml:space="preserve">ס מיום </w:t>
      </w:r>
      <w:r>
        <w:rPr/>
        <w:t>11.07.2016</w:t>
      </w:r>
      <w:r>
        <w:rPr>
          <w:rtl w:val="true"/>
        </w:rPr>
        <w:t xml:space="preserve"> </w:t>
      </w:r>
      <w:r>
        <w:rPr>
          <w:rtl w:val="true"/>
        </w:rPr>
        <w:t>עלה כי המערער מכחיש את המיוחס לו ואינו מביע נזקקות טיפולית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גליון הטיפול של העובדת הסוציאלית מטעם שב</w:t>
      </w:r>
      <w:r>
        <w:rPr>
          <w:rtl w:val="true"/>
        </w:rPr>
        <w:t>"</w:t>
      </w:r>
      <w:r>
        <w:rPr>
          <w:rtl w:val="true"/>
        </w:rPr>
        <w:t xml:space="preserve">ס מיום </w:t>
      </w:r>
      <w:r>
        <w:rPr/>
        <w:t>27.11.2016</w:t>
      </w:r>
      <w:r>
        <w:rPr>
          <w:rtl w:val="true"/>
        </w:rPr>
        <w:t xml:space="preserve"> </w:t>
      </w:r>
      <w:r>
        <w:rPr>
          <w:rtl w:val="true"/>
        </w:rPr>
        <w:t>מלמד כי המערער החל בשלב של תובנה ראשונית למעשיו</w:t>
      </w:r>
      <w:r>
        <w:rPr>
          <w:rtl w:val="true"/>
        </w:rPr>
        <w:t xml:space="preserve">, </w:t>
      </w:r>
      <w:r>
        <w:rPr>
          <w:rtl w:val="true"/>
        </w:rPr>
        <w:t>וכי ניכר שהוא בעל מוטיבציה לטיפול ממנו יוכל להיתרם</w:t>
      </w:r>
      <w:r>
        <w:rPr>
          <w:rtl w:val="true"/>
        </w:rPr>
        <w:t xml:space="preserve">. </w:t>
      </w:r>
      <w:r>
        <w:rPr>
          <w:rtl w:val="true"/>
        </w:rPr>
        <w:t xml:space="preserve">הערכת מסוכנות מיום </w:t>
      </w:r>
      <w:r>
        <w:rPr/>
        <w:t>2.3.2017</w:t>
      </w:r>
      <w:r>
        <w:rPr>
          <w:rtl w:val="true"/>
        </w:rPr>
        <w:t xml:space="preserve"> </w:t>
      </w:r>
      <w:r>
        <w:rPr>
          <w:rtl w:val="true"/>
        </w:rPr>
        <w:t>שבוצעה למערער פירטה כי הלה מתקשה לגלות אמפתיה</w:t>
      </w:r>
      <w:r>
        <w:rPr>
          <w:rtl w:val="true"/>
        </w:rPr>
        <w:t xml:space="preserve">, </w:t>
      </w:r>
      <w:r>
        <w:rPr>
          <w:rtl w:val="true"/>
        </w:rPr>
        <w:t>נוהג לנצל את האחר לצרכיו השונים ומאופיין בהתנהלות חסרת גבולות</w:t>
      </w:r>
      <w:r>
        <w:rPr>
          <w:rtl w:val="true"/>
        </w:rPr>
        <w:t xml:space="preserve">, </w:t>
      </w:r>
      <w:r>
        <w:rPr>
          <w:rtl w:val="true"/>
        </w:rPr>
        <w:t>ועל כן המסוכנות המינית הנשקפת ממנו גבוהה</w:t>
      </w:r>
      <w:r>
        <w:rPr>
          <w:rtl w:val="true"/>
        </w:rPr>
        <w:t xml:space="preserve">. </w:t>
      </w:r>
      <w:r>
        <w:rPr>
          <w:rtl w:val="true"/>
        </w:rPr>
        <w:t>בחוות דעת תקופתית של מב</w:t>
      </w:r>
      <w:r>
        <w:rPr>
          <w:rtl w:val="true"/>
        </w:rPr>
        <w:t>"</w:t>
      </w:r>
      <w:r>
        <w:rPr>
          <w:rtl w:val="true"/>
        </w:rPr>
        <w:t xml:space="preserve">ן מיום </w:t>
      </w:r>
      <w:r>
        <w:rPr/>
        <w:t>19.12.2017</w:t>
      </w:r>
      <w:r>
        <w:rPr>
          <w:rtl w:val="true"/>
        </w:rPr>
        <w:t xml:space="preserve"> </w:t>
      </w:r>
      <w:r>
        <w:rPr>
          <w:rtl w:val="true"/>
        </w:rPr>
        <w:t>נמסר כי המערער ביטא עיוותי חשיבה ביחס למניעים שהובילו אותו לבצע את העבירה</w:t>
      </w:r>
      <w:r>
        <w:rPr>
          <w:rtl w:val="true"/>
        </w:rPr>
        <w:t xml:space="preserve">, </w:t>
      </w:r>
      <w:r>
        <w:rPr>
          <w:rtl w:val="true"/>
        </w:rPr>
        <w:t>חוסר הבנה לפסול במעשיו</w:t>
      </w:r>
      <w:r>
        <w:rPr>
          <w:rtl w:val="true"/>
        </w:rPr>
        <w:t xml:space="preserve">, </w:t>
      </w:r>
      <w:r>
        <w:rPr>
          <w:rtl w:val="true"/>
        </w:rPr>
        <w:t>וחוסר אמפתיה כלפי המתלוננת וצרכיה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נמסר באותה חוות דעת כי המערער נטל אחריות חלקית למעשיו</w:t>
      </w:r>
      <w:r>
        <w:rPr>
          <w:rtl w:val="true"/>
        </w:rPr>
        <w:t xml:space="preserve">, </w:t>
      </w:r>
      <w:r>
        <w:rPr>
          <w:rtl w:val="true"/>
        </w:rPr>
        <w:t>הביע מוטיבציה פורמלית לטיפול</w:t>
      </w:r>
      <w:r>
        <w:rPr>
          <w:rtl w:val="true"/>
        </w:rPr>
        <w:t xml:space="preserve">, </w:t>
      </w:r>
      <w:r>
        <w:rPr>
          <w:rtl w:val="true"/>
        </w:rPr>
        <w:t>אשר נראה כי הוא עתיד להפיק תועלת ממנו</w:t>
      </w:r>
      <w:r>
        <w:rPr>
          <w:rtl w:val="true"/>
        </w:rPr>
        <w:t xml:space="preserve">, </w:t>
      </w:r>
      <w:r>
        <w:rPr>
          <w:rtl w:val="true"/>
        </w:rPr>
        <w:t>ומשכך הומלץ לשלבו בטיפול ייעודי לעברייני מין</w:t>
      </w:r>
      <w:r>
        <w:rPr>
          <w:rtl w:val="true"/>
        </w:rPr>
        <w:t xml:space="preserve">. </w:t>
      </w:r>
      <w:r>
        <w:rPr>
          <w:rtl w:val="true"/>
        </w:rPr>
        <w:t>לאחר סקירת התסקירים וחוות הדעת הקודמות</w:t>
      </w:r>
      <w:r>
        <w:rPr>
          <w:rtl w:val="true"/>
        </w:rPr>
        <w:t xml:space="preserve">, </w:t>
      </w:r>
      <w:r>
        <w:rPr>
          <w:rtl w:val="true"/>
        </w:rPr>
        <w:t>צוין בחוות הדעת העדכנית כי המערער שולב בקבוצה פסיכו חינוכית במהלך מאסרו</w:t>
      </w:r>
      <w:r>
        <w:rPr>
          <w:rtl w:val="true"/>
        </w:rPr>
        <w:t xml:space="preserve">, </w:t>
      </w:r>
      <w:r>
        <w:rPr>
          <w:rtl w:val="true"/>
        </w:rPr>
        <w:t>אך טרם שולב בטיפול ייעודי לעברייני מין</w:t>
      </w:r>
      <w:r>
        <w:rPr>
          <w:rtl w:val="true"/>
        </w:rPr>
        <w:t xml:space="preserve">, </w:t>
      </w:r>
      <w:r>
        <w:rPr>
          <w:rtl w:val="true"/>
        </w:rPr>
        <w:t>ונמצא ברשימת המתנה לטיפול</w:t>
      </w:r>
      <w:r>
        <w:rPr>
          <w:rtl w:val="true"/>
        </w:rPr>
        <w:t xml:space="preserve">. </w:t>
      </w:r>
      <w:r>
        <w:rPr>
          <w:rtl w:val="true"/>
        </w:rPr>
        <w:t>מעריכת המסוכנות סיכמה כי מדובר בעבריין מין רצידיביסט</w:t>
      </w:r>
      <w:r>
        <w:rPr>
          <w:rtl w:val="true"/>
        </w:rPr>
        <w:t xml:space="preserve">, </w:t>
      </w:r>
      <w:r>
        <w:rPr>
          <w:rtl w:val="true"/>
        </w:rPr>
        <w:t>אשר לאור קווי אישיותו קיים ספק בדבר יכולתו להיתרם מטיפול וכי רמת המסוכנות המינית הנשקפת ממנו הינה גבוהה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       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בדיון שהתקיים בפנינו ביום </w:t>
      </w:r>
      <w:r>
        <w:rPr/>
        <w:t>8.1.2018</w:t>
      </w:r>
      <w:r>
        <w:rPr>
          <w:rtl w:val="true"/>
        </w:rPr>
        <w:t xml:space="preserve"> </w:t>
      </w:r>
      <w:r>
        <w:rPr>
          <w:rtl w:val="true"/>
        </w:rPr>
        <w:t>טען בא</w:t>
      </w:r>
      <w:r>
        <w:rPr>
          <w:rtl w:val="true"/>
        </w:rPr>
        <w:t>-</w:t>
      </w:r>
      <w:r>
        <w:rPr>
          <w:rtl w:val="true"/>
        </w:rPr>
        <w:t xml:space="preserve">כוח המערער כי יש להתחשב בחוות הדעת מיום </w:t>
      </w:r>
      <w:r>
        <w:rPr/>
        <w:t>19.12.2017</w:t>
      </w:r>
      <w:r>
        <w:rPr>
          <w:rtl w:val="true"/>
        </w:rPr>
        <w:t xml:space="preserve"> </w:t>
      </w:r>
      <w:r>
        <w:rPr>
          <w:rtl w:val="true"/>
        </w:rPr>
        <w:t>המצביעה על כך שהמערער אכן מביע מוטיבציה לשיקום</w:t>
      </w:r>
      <w:r>
        <w:rPr>
          <w:rtl w:val="true"/>
        </w:rPr>
        <w:t xml:space="preserve">, </w:t>
      </w:r>
      <w:r>
        <w:rPr>
          <w:rtl w:val="true"/>
        </w:rPr>
        <w:t>מוטיבציה אשר לא הייתה קיימת כאשר גזר בית משפט קמא את דינו והעדרה היה אחד השיקולים להחמרתו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ביקשה באת</w:t>
      </w:r>
      <w:r>
        <w:rPr>
          <w:rtl w:val="true"/>
        </w:rPr>
        <w:t>-</w:t>
      </w:r>
      <w:r>
        <w:rPr>
          <w:rtl w:val="true"/>
        </w:rPr>
        <w:t>כוח המדינה לדחות את הערעור</w:t>
      </w:r>
      <w:r>
        <w:rPr>
          <w:rtl w:val="true"/>
        </w:rPr>
        <w:t xml:space="preserve">, </w:t>
      </w:r>
      <w:r>
        <w:rPr>
          <w:rtl w:val="true"/>
        </w:rPr>
        <w:t>וטענה כי העונש שנגזר על המערער הינו ראוי והולם את המעשים הקשים שביצע בבתו</w:t>
      </w:r>
      <w:r>
        <w:rPr>
          <w:rtl w:val="true"/>
        </w:rPr>
        <w:t xml:space="preserve">, </w:t>
      </w:r>
      <w:r>
        <w:rPr>
          <w:rtl w:val="true"/>
        </w:rPr>
        <w:t>את מאפייניו כפי שהם עולים מחוות הדעת ואת עברו הפלילי</w:t>
      </w:r>
      <w:r>
        <w:rPr>
          <w:rtl w:val="true"/>
        </w:rPr>
        <w:t xml:space="preserve">, </w:t>
      </w:r>
      <w:r>
        <w:rPr>
          <w:rtl w:val="true"/>
        </w:rPr>
        <w:t>וכי נטילת האחריות שביטא המערער הינה מן הפה אל החוץ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זה עמד לא פעם על החומרה היתרה הגלומה בעבירות מין בקטינים בני משפחה ועל הצורך בהטלת ענישה משמעותית על מבצעיהן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276" w:before="0" w:after="12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מגיעים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קרובות</w:t>
      </w:r>
      <w:r>
        <w:rPr>
          <w:rtl w:val="true"/>
        </w:rPr>
        <w:t xml:space="preserve">, </w:t>
      </w:r>
      <w:r>
        <w:rPr>
          <w:rtl w:val="true"/>
        </w:rPr>
        <w:t>קרובות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נהוגה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...</w:t>
      </w:r>
    </w:p>
    <w:p>
      <w:pPr>
        <w:pStyle w:val="Ruller5"/>
        <w:spacing w:lineRule="auto" w:line="276" w:before="0" w:after="240"/>
        <w:ind w:end="1282"/>
        <w:jc w:val="both"/>
        <w:rPr/>
      </w:pPr>
      <w:r>
        <w:rPr>
          <w:rtl w:val="true"/>
        </w:rPr>
        <w:t>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מדרכו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וקרובי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הבוגרים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לחיקוי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בעיצוב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מושגיו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וערכיו</w:t>
      </w:r>
      <w:r>
        <w:rPr>
          <w:rtl w:val="true"/>
        </w:rPr>
        <w:t xml:space="preserve">.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יוצרים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איחוי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" 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</w:rPr>
        <w:t>29</w:t>
      </w:r>
      <w:r>
        <w:rPr>
          <w:rtl w:val="true"/>
        </w:rPr>
        <w:t xml:space="preserve"> (</w:t>
      </w:r>
      <w:r>
        <w:rPr/>
        <w:t>3.9.2015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6.5.2010</w:t>
      </w:r>
      <w:r>
        <w:rPr>
          <w:rtl w:val="true"/>
        </w:rPr>
        <w:t xml:space="preserve">); 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2353/08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(</w:t>
      </w:r>
      <w:r>
        <w:rPr/>
        <w:t>7.12.2009</w:t>
      </w:r>
      <w:r>
        <w:rPr>
          <w:rtl w:val="true"/>
        </w:rPr>
        <w:t xml:space="preserve">));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5484/09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17.11.2009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8"/>
        </w:rPr>
      </w:pPr>
      <w:r>
        <w:rPr>
          <w:rFonts w:cs="Arial TUR" w:ascii="Arial TUR" w:hAnsi="Arial TUR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מעשיו של המערער הינם חמורים ובזויים</w:t>
      </w:r>
      <w:r>
        <w:rPr>
          <w:rtl w:val="true"/>
        </w:rPr>
        <w:t xml:space="preserve">. </w:t>
      </w:r>
      <w:r>
        <w:rPr>
          <w:rtl w:val="true"/>
        </w:rPr>
        <w:t>מעשים אלו נעשו תוך ניצול האמון והתלות של המתלוננת באביה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ותוך ניצול ריחוקה של המתלוננת מאמה וממשפחתה</w:t>
      </w:r>
      <w:r>
        <w:rPr>
          <w:rtl w:val="true"/>
        </w:rPr>
        <w:t xml:space="preserve">. </w:t>
      </w:r>
      <w:r>
        <w:rPr>
          <w:rtl w:val="true"/>
        </w:rPr>
        <w:t>לכך יש להוסיף את עברו הפלילי של המערער</w:t>
      </w:r>
      <w:r>
        <w:rPr>
          <w:rtl w:val="true"/>
        </w:rPr>
        <w:t xml:space="preserve">, </w:t>
      </w:r>
      <w:r>
        <w:rPr>
          <w:rtl w:val="true"/>
        </w:rPr>
        <w:t>העדר ההודאה והנזק הנפשי שנגרם למתלוננת</w:t>
      </w:r>
      <w:r>
        <w:rPr>
          <w:rtl w:val="true"/>
        </w:rPr>
        <w:t xml:space="preserve">. </w:t>
      </w:r>
      <w:r>
        <w:rPr>
          <w:rtl w:val="true"/>
        </w:rPr>
        <w:t>נוכח כל אלה</w:t>
      </w:r>
      <w:r>
        <w:rPr>
          <w:rtl w:val="true"/>
        </w:rPr>
        <w:t xml:space="preserve">, </w:t>
      </w:r>
      <w:r>
        <w:rPr>
          <w:rtl w:val="true"/>
        </w:rPr>
        <w:t>סבורני כי אף שהעונש שהושת על המערער אינו מן הקלים</w:t>
      </w:r>
      <w:r>
        <w:rPr>
          <w:rtl w:val="true"/>
        </w:rPr>
        <w:t xml:space="preserve">, </w:t>
      </w:r>
      <w:r>
        <w:rPr>
          <w:rtl w:val="true"/>
        </w:rPr>
        <w:t>אין הוא חורג ממדיניות הענישה הנוהגת והראויה בעבירות כגון אלה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ערכאת הערעור אינה נוטה להתערב בחומרת העונש שהוטל על</w:t>
      </w:r>
      <w:r>
        <w:rPr>
          <w:rtl w:val="true"/>
        </w:rPr>
        <w:t>-</w:t>
      </w:r>
      <w:r>
        <w:rPr>
          <w:rtl w:val="true"/>
        </w:rPr>
        <w:t xml:space="preserve">ידי הערכאה הדיונית אלא במקרים </w:t>
      </w:r>
      <w:r>
        <w:rPr>
          <w:rtl w:val="true"/>
        </w:rPr>
        <w:t xml:space="preserve">חריגים </w:t>
      </w:r>
      <w:r>
        <w:rPr>
          <w:sz w:val="28"/>
          <w:sz w:val="28"/>
          <w:rtl w:val="true"/>
        </w:rPr>
        <w:t>בהם נפלה בגזר הדין טעות מהותית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 שעה שהעונש שנגזר על ידה חורג באופן ממשי מרמת הענישה המקובלת או הראויה בנסיבות דומות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העונש שהושת על המערער</w:t>
      </w:r>
      <w:r>
        <w:rPr>
          <w:rtl w:val="true"/>
        </w:rPr>
        <w:t xml:space="preserve">, </w:t>
      </w:r>
      <w:r>
        <w:rPr>
          <w:rtl w:val="true"/>
        </w:rPr>
        <w:t>הגם שנקבע על הצד המחמיר</w:t>
      </w:r>
      <w:r>
        <w:rPr>
          <w:rtl w:val="true"/>
        </w:rPr>
        <w:t xml:space="preserve">, </w:t>
      </w:r>
      <w:r>
        <w:rPr>
          <w:rtl w:val="true"/>
        </w:rPr>
        <w:t>הינו עונש ראוי והולם בנסיבות העניין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אנו סבורים כי נוכח תחילת תהליך שינוי שחל במערער</w:t>
      </w:r>
      <w:r>
        <w:rPr>
          <w:rtl w:val="true"/>
        </w:rPr>
        <w:t xml:space="preserve">, </w:t>
      </w:r>
      <w:r>
        <w:rPr>
          <w:rtl w:val="true"/>
        </w:rPr>
        <w:t>של נטילת אחריות ורצון בשיקום וטיפול</w:t>
      </w:r>
      <w:r>
        <w:rPr>
          <w:rtl w:val="true"/>
        </w:rPr>
        <w:t xml:space="preserve">, </w:t>
      </w:r>
      <w:r>
        <w:rPr>
          <w:rtl w:val="true"/>
        </w:rPr>
        <w:t xml:space="preserve">ובהתחשב גם בגילו המבוגר </w:t>
      </w:r>
      <w:r>
        <w:rPr>
          <w:rtl w:val="true"/>
        </w:rPr>
        <w:t>(</w:t>
      </w:r>
      <w:r>
        <w:rPr>
          <w:rtl w:val="true"/>
        </w:rPr>
        <w:t xml:space="preserve">יליד </w:t>
      </w:r>
      <w:r>
        <w:rPr/>
        <w:t>1949</w:t>
      </w:r>
      <w:r>
        <w:rPr>
          <w:rtl w:val="true"/>
        </w:rPr>
        <w:t xml:space="preserve">), </w:t>
      </w:r>
      <w:r>
        <w:rPr>
          <w:rtl w:val="true"/>
        </w:rPr>
        <w:t>יש מקום  להקלת מה בעונש המאסר שהושת על המערער כדי לעודדו להתקדם ולהתמיד בהליך טיפולי</w:t>
      </w:r>
      <w:r>
        <w:rPr>
          <w:rtl w:val="true"/>
        </w:rPr>
        <w:t>-</w:t>
      </w:r>
      <w:r>
        <w:rPr>
          <w:rtl w:val="true"/>
        </w:rPr>
        <w:t>שיקומי ולנצל את תקופת המאסר לשם קידום שיקומו</w:t>
      </w:r>
      <w:r>
        <w:rPr>
          <w:rtl w:val="true"/>
        </w:rPr>
        <w:t xml:space="preserve">, </w:t>
      </w:r>
      <w:r>
        <w:rPr>
          <w:rtl w:val="true"/>
        </w:rPr>
        <w:t xml:space="preserve">שיקום שהן המערער והן החברה ייצאו נשכרים ממנו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7459/12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20.6.2013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שוניה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8.7.2012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לוגסי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3.8.2017</w:t>
      </w:r>
      <w:r>
        <w:rPr>
          <w:rtl w:val="true"/>
        </w:rPr>
        <w:t xml:space="preserve">)). </w:t>
      </w:r>
      <w:r>
        <w:rPr>
          <w:rtl w:val="true"/>
        </w:rPr>
        <w:t>אכן מדובר אך בתחילת תהליך של נטילת אחריות ומוטיבציה לטיפול ושיקום</w:t>
      </w:r>
      <w:r>
        <w:rPr>
          <w:rtl w:val="true"/>
        </w:rPr>
        <w:t xml:space="preserve">, </w:t>
      </w:r>
      <w:r>
        <w:rPr>
          <w:rtl w:val="true"/>
        </w:rPr>
        <w:t>אך מצב דברים זה שונה מגישתו העקבית המתנערת מכל אחריות בעבר ובעת גזירת עונשו בבית משפט קמא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 החלטנו לקבל את הערעור באופן שעונש המאסר על תנאי של ששה חודשי מאסר שהופעל ירוצה בחופף</w:t>
      </w:r>
      <w:r>
        <w:rPr>
          <w:rtl w:val="true"/>
        </w:rPr>
        <w:t xml:space="preserve">, </w:t>
      </w:r>
      <w:r>
        <w:rPr>
          <w:rtl w:val="true"/>
        </w:rPr>
        <w:t>ולא במצטבר כפי שקבע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כך שהמערער ירצה סך הכל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שאר רכיבי גזר הדין יוותרו על כנם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</w:rPr>
            </w:pP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381"/>
        <w:ind w:end="0"/>
        <w:jc w:val="start"/>
        <w:rPr>
          <w:sz w:val="30"/>
          <w:szCs w:val="24"/>
        </w:rPr>
      </w:pPr>
      <w:r>
        <w:rPr>
          <w:sz w:val="30"/>
          <w:szCs w:val="24"/>
          <w:rtl w:val="true"/>
        </w:rPr>
      </w:r>
    </w:p>
    <w:p>
      <w:pPr>
        <w:pStyle w:val="Ruller381"/>
        <w:ind w:end="0"/>
        <w:jc w:val="start"/>
        <w:rPr>
          <w:sz w:val="30"/>
          <w:szCs w:val="24"/>
        </w:rPr>
      </w:pPr>
      <w:r>
        <w:rPr>
          <w:sz w:val="30"/>
          <w:szCs w:val="24"/>
          <w:rtl w:val="true"/>
        </w:rPr>
      </w:r>
    </w:p>
    <w:p>
      <w:pPr>
        <w:pStyle w:val="Ruller381"/>
        <w:ind w:end="0"/>
        <w:jc w:val="start"/>
        <w:rPr>
          <w:sz w:val="30"/>
          <w:szCs w:val="24"/>
        </w:rPr>
      </w:pPr>
      <w:r>
        <w:rPr>
          <w:rFonts w:cs="Miriam"/>
          <w:sz w:val="28"/>
          <w:sz w:val="28"/>
          <w:szCs w:val="24"/>
          <w:u w:val="single"/>
          <w:rtl w:val="true"/>
        </w:rPr>
        <w:t>הנשיאה</w:t>
      </w:r>
      <w:r>
        <w:rPr>
          <w:rFonts w:cs="Times New Roman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4"/>
          <w:u w:val="single"/>
          <w:rtl w:val="true"/>
        </w:rPr>
        <w:t>א</w:t>
      </w:r>
      <w:r>
        <w:rPr>
          <w:rFonts w:cs="Miriam"/>
          <w:sz w:val="28"/>
          <w:szCs w:val="24"/>
          <w:u w:val="single"/>
          <w:rtl w:val="true"/>
        </w:rPr>
        <w:t xml:space="preserve">' </w:t>
      </w:r>
      <w:r>
        <w:rPr>
          <w:rFonts w:cs="Miriam"/>
          <w:sz w:val="28"/>
          <w:sz w:val="28"/>
          <w:szCs w:val="24"/>
          <w:u w:val="single"/>
          <w:rtl w:val="true"/>
        </w:rPr>
        <w:t>חיות</w:t>
      </w:r>
      <w:r>
        <w:rPr>
          <w:sz w:val="30"/>
          <w:szCs w:val="24"/>
          <w:rtl w:val="true"/>
        </w:rPr>
        <w:t>:</w:t>
      </w:r>
    </w:p>
    <w:p>
      <w:pPr>
        <w:pStyle w:val="Ruller381"/>
        <w:ind w:end="0"/>
        <w:jc w:val="start"/>
        <w:rPr>
          <w:rFonts w:cs="FrankRuehl"/>
          <w:spacing w:val="10"/>
          <w:sz w:val="30"/>
          <w:szCs w:val="28"/>
        </w:rPr>
      </w:pPr>
      <w:r>
        <w:rPr>
          <w:rFonts w:cs="FrankRuehl"/>
          <w:spacing w:val="10"/>
          <w:sz w:val="30"/>
          <w:szCs w:val="28"/>
          <w:rtl w:val="true"/>
        </w:rPr>
      </w:r>
    </w:p>
    <w:p>
      <w:pPr>
        <w:pStyle w:val="Ruller381"/>
        <w:ind w:end="0"/>
        <w:jc w:val="start"/>
        <w:rPr/>
      </w:pPr>
      <w:r>
        <w:rPr>
          <w:rFonts w:cs="FrankRuehl"/>
          <w:spacing w:val="10"/>
          <w:szCs w:val="28"/>
          <w:rtl w:val="true"/>
        </w:rPr>
        <w:tab/>
      </w:r>
      <w:r>
        <w:rPr>
          <w:rFonts w:cs="FrankRuehl"/>
          <w:spacing w:val="10"/>
          <w:szCs w:val="28"/>
          <w:rtl w:val="true"/>
        </w:rPr>
        <w:t>אני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מסכימה</w:t>
      </w:r>
      <w:r>
        <w:rPr>
          <w:rFonts w:cs="FrankRuehl"/>
          <w:spacing w:val="10"/>
          <w:szCs w:val="28"/>
          <w:rtl w:val="true"/>
        </w:rPr>
        <w:t>.</w:t>
      </w:r>
    </w:p>
    <w:p>
      <w:pPr>
        <w:pStyle w:val="Ruller381"/>
        <w:ind w:end="0"/>
        <w:jc w:val="start"/>
        <w:rPr>
          <w:rFonts w:cs="FrankRuehl"/>
          <w:spacing w:val="10"/>
          <w:szCs w:val="28"/>
        </w:rPr>
      </w:pPr>
      <w:r>
        <w:rPr>
          <w:rFonts w:cs="FrankRuehl"/>
          <w:spacing w:val="10"/>
          <w:szCs w:val="28"/>
          <w:rtl w:val="true"/>
        </w:rPr>
      </w:r>
    </w:p>
    <w:p>
      <w:pPr>
        <w:pStyle w:val="Ruller381"/>
        <w:ind w:end="0"/>
        <w:jc w:val="start"/>
        <w:rPr>
          <w:rFonts w:cs="FrankRuehl"/>
          <w:spacing w:val="10"/>
          <w:szCs w:val="28"/>
        </w:rPr>
      </w:pPr>
      <w:r>
        <w:rPr>
          <w:rFonts w:cs="FrankRuehl"/>
          <w:spacing w:val="10"/>
          <w:szCs w:val="28"/>
          <w:rtl w:val="true"/>
        </w:rPr>
      </w:r>
    </w:p>
    <w:p>
      <w:pPr>
        <w:pStyle w:val="Ruller381"/>
        <w:ind w:end="0"/>
        <w:jc w:val="start"/>
        <w:rPr>
          <w:rFonts w:cs="FrankRuehl"/>
          <w:spacing w:val="10"/>
          <w:szCs w:val="28"/>
        </w:rPr>
      </w:pPr>
      <w:r>
        <w:rPr>
          <w:rFonts w:cs="FrankRuehl"/>
          <w:spacing w:val="10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</w:rPr>
            </w:pP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Ruller381"/>
        <w:ind w:end="0"/>
        <w:jc w:val="start"/>
        <w:rPr>
          <w:sz w:val="30"/>
          <w:szCs w:val="24"/>
        </w:rPr>
      </w:pPr>
      <w:r>
        <w:rPr>
          <w:sz w:val="30"/>
          <w:szCs w:val="24"/>
          <w:rtl w:val="true"/>
        </w:rPr>
      </w:r>
    </w:p>
    <w:p>
      <w:pPr>
        <w:pStyle w:val="Ruller381"/>
        <w:ind w:end="0"/>
        <w:jc w:val="start"/>
        <w:rPr>
          <w:rFonts w:cs="Miriam"/>
          <w:sz w:val="28"/>
          <w:szCs w:val="24"/>
          <w:u w:val="single"/>
        </w:rPr>
      </w:pPr>
      <w:r>
        <w:rPr>
          <w:rFonts w:cs="Miriam"/>
          <w:sz w:val="28"/>
          <w:szCs w:val="24"/>
          <w:u w:val="single"/>
          <w:rtl w:val="true"/>
        </w:rPr>
      </w:r>
    </w:p>
    <w:p>
      <w:pPr>
        <w:pStyle w:val="Ruller381"/>
        <w:ind w:end="0"/>
        <w:jc w:val="start"/>
        <w:rPr>
          <w:sz w:val="30"/>
          <w:szCs w:val="24"/>
        </w:rPr>
      </w:pPr>
      <w:r>
        <w:rPr>
          <w:rFonts w:cs="Miriam"/>
          <w:sz w:val="28"/>
          <w:sz w:val="28"/>
          <w:szCs w:val="24"/>
          <w:u w:val="single"/>
          <w:rtl w:val="true"/>
        </w:rPr>
        <w:t>השופטת</w:t>
      </w:r>
      <w:r>
        <w:rPr>
          <w:rFonts w:cs="Times New Roman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4"/>
          <w:u w:val="single"/>
          <w:rtl w:val="true"/>
        </w:rPr>
        <w:t>ד</w:t>
      </w:r>
      <w:r>
        <w:rPr>
          <w:rFonts w:cs="Miriam"/>
          <w:sz w:val="28"/>
          <w:szCs w:val="24"/>
          <w:u w:val="single"/>
          <w:rtl w:val="true"/>
        </w:rPr>
        <w:t xml:space="preserve">' </w:t>
      </w:r>
      <w:r>
        <w:rPr>
          <w:rFonts w:cs="Miriam"/>
          <w:sz w:val="28"/>
          <w:sz w:val="28"/>
          <w:szCs w:val="24"/>
          <w:u w:val="single"/>
          <w:rtl w:val="true"/>
        </w:rPr>
        <w:t>ברק</w:t>
      </w:r>
      <w:r>
        <w:rPr>
          <w:rFonts w:cs="Miriam"/>
          <w:sz w:val="28"/>
          <w:szCs w:val="24"/>
          <w:u w:val="single"/>
          <w:rtl w:val="true"/>
        </w:rPr>
        <w:t>-</w:t>
      </w:r>
      <w:r>
        <w:rPr>
          <w:rFonts w:cs="Miriam"/>
          <w:sz w:val="28"/>
          <w:sz w:val="28"/>
          <w:szCs w:val="24"/>
          <w:u w:val="single"/>
          <w:rtl w:val="true"/>
        </w:rPr>
        <w:t>ארז</w:t>
      </w:r>
      <w:r>
        <w:rPr>
          <w:sz w:val="30"/>
          <w:szCs w:val="24"/>
          <w:rtl w:val="true"/>
        </w:rPr>
        <w:t>:</w:t>
      </w:r>
    </w:p>
    <w:p>
      <w:pPr>
        <w:pStyle w:val="Ruller381"/>
        <w:ind w:end="0"/>
        <w:jc w:val="start"/>
        <w:rPr>
          <w:rFonts w:cs="FrankRuehl"/>
          <w:spacing w:val="10"/>
          <w:sz w:val="30"/>
          <w:szCs w:val="28"/>
        </w:rPr>
      </w:pPr>
      <w:r>
        <w:rPr>
          <w:rFonts w:cs="FrankRuehl"/>
          <w:spacing w:val="10"/>
          <w:sz w:val="30"/>
          <w:szCs w:val="28"/>
          <w:rtl w:val="true"/>
        </w:rPr>
      </w:r>
    </w:p>
    <w:p>
      <w:pPr>
        <w:pStyle w:val="Ruller381"/>
        <w:ind w:end="0"/>
        <w:jc w:val="start"/>
        <w:rPr/>
      </w:pPr>
      <w:r>
        <w:rPr>
          <w:rFonts w:cs="FrankRuehl"/>
          <w:spacing w:val="10"/>
          <w:szCs w:val="28"/>
          <w:rtl w:val="true"/>
        </w:rPr>
        <w:tab/>
      </w:r>
      <w:r>
        <w:rPr>
          <w:rFonts w:cs="FrankRuehl"/>
          <w:spacing w:val="10"/>
          <w:szCs w:val="28"/>
          <w:rtl w:val="true"/>
        </w:rPr>
        <w:t>אני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מסכימה</w:t>
      </w:r>
      <w:r>
        <w:rPr>
          <w:rFonts w:cs="FrankRuehl"/>
          <w:spacing w:val="10"/>
          <w:szCs w:val="28"/>
          <w:rtl w:val="true"/>
        </w:rPr>
        <w:t>.</w:t>
      </w:r>
    </w:p>
    <w:p>
      <w:pPr>
        <w:pStyle w:val="Ruller381"/>
        <w:ind w:end="0"/>
        <w:jc w:val="start"/>
        <w:rPr>
          <w:rFonts w:cs="FrankRuehl"/>
          <w:spacing w:val="10"/>
          <w:szCs w:val="28"/>
        </w:rPr>
      </w:pPr>
      <w:r>
        <w:rPr>
          <w:rFonts w:cs="FrankRuehl"/>
          <w:spacing w:val="10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</w:rPr>
            </w:pP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81"/>
        <w:ind w:end="0"/>
        <w:jc w:val="start"/>
        <w:rPr>
          <w:sz w:val="30"/>
          <w:szCs w:val="24"/>
        </w:rPr>
      </w:pPr>
      <w:r>
        <w:rPr>
          <w:sz w:val="30"/>
          <w:szCs w:val="24"/>
          <w:rtl w:val="true"/>
        </w:rPr>
      </w:r>
    </w:p>
    <w:p>
      <w:pPr>
        <w:pStyle w:val="Ruller381"/>
        <w:ind w:end="0"/>
        <w:jc w:val="start"/>
        <w:rPr>
          <w:sz w:val="30"/>
          <w:szCs w:val="24"/>
        </w:rPr>
      </w:pPr>
      <w:r>
        <w:rPr>
          <w:sz w:val="30"/>
          <w:szCs w:val="24"/>
          <w:rtl w:val="true"/>
        </w:rPr>
      </w:r>
    </w:p>
    <w:p>
      <w:pPr>
        <w:pStyle w:val="Ruller381"/>
        <w:ind w:end="0"/>
        <w:jc w:val="start"/>
        <w:rPr/>
      </w:pPr>
      <w:r>
        <w:rPr>
          <w:rFonts w:cs="FrankRuehl"/>
          <w:spacing w:val="10"/>
          <w:szCs w:val="28"/>
          <w:rtl w:val="true"/>
        </w:rPr>
        <w:tab/>
      </w:r>
      <w:r>
        <w:rPr>
          <w:rFonts w:cs="FrankRuehl"/>
          <w:spacing w:val="10"/>
          <w:szCs w:val="28"/>
          <w:rtl w:val="true"/>
        </w:rPr>
        <w:t>הוחלט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כאמור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בפסק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דינו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השופט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מ</w:t>
      </w:r>
      <w:r>
        <w:rPr>
          <w:rFonts w:cs="Miriam"/>
          <w:sz w:val="28"/>
          <w:szCs w:val="24"/>
          <w:rtl w:val="true"/>
        </w:rPr>
        <w:t xml:space="preserve">' </w:t>
      </w:r>
      <w:r>
        <w:rPr>
          <w:rFonts w:cs="Miriam"/>
          <w:sz w:val="28"/>
          <w:sz w:val="28"/>
          <w:szCs w:val="24"/>
          <w:rtl w:val="true"/>
        </w:rPr>
        <w:t>מזוז</w:t>
      </w:r>
      <w:r>
        <w:rPr>
          <w:rFonts w:cs="FrankRuehl"/>
          <w:spacing w:val="10"/>
          <w:szCs w:val="28"/>
          <w:rtl w:val="true"/>
        </w:rPr>
        <w:t>.</w:t>
      </w:r>
    </w:p>
    <w:p>
      <w:pPr>
        <w:pStyle w:val="Ruller381"/>
        <w:ind w:end="0"/>
        <w:jc w:val="start"/>
        <w:rPr>
          <w:rFonts w:cs="FrankRuehl"/>
          <w:spacing w:val="10"/>
          <w:szCs w:val="28"/>
        </w:rPr>
      </w:pPr>
      <w:r>
        <w:rPr>
          <w:rFonts w:cs="FrankRuehl"/>
          <w:spacing w:val="10"/>
          <w:szCs w:val="28"/>
          <w:rtl w:val="true"/>
        </w:rPr>
      </w:r>
    </w:p>
    <w:p>
      <w:pPr>
        <w:pStyle w:val="Ruller381"/>
        <w:ind w:end="0"/>
        <w:jc w:val="start"/>
        <w:rPr>
          <w:rFonts w:cs="FrankRuehl"/>
          <w:spacing w:val="10"/>
          <w:szCs w:val="28"/>
        </w:rPr>
      </w:pPr>
      <w:r>
        <w:rPr>
          <w:rFonts w:cs="FrankRuehl"/>
          <w:spacing w:val="10"/>
          <w:szCs w:val="28"/>
          <w:rtl w:val="true"/>
        </w:rPr>
      </w:r>
    </w:p>
    <w:p>
      <w:pPr>
        <w:pStyle w:val="Ruller381"/>
        <w:ind w:end="0"/>
        <w:jc w:val="start"/>
        <w:rPr>
          <w:spacing w:val="10"/>
          <w:szCs w:val="28"/>
        </w:rPr>
      </w:pP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ניתן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היום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ט</w:t>
      </w:r>
      <w:r>
        <w:rPr>
          <w:rFonts w:cs="FrankRuehl"/>
          <w:spacing w:val="10"/>
          <w:szCs w:val="28"/>
          <w:rtl w:val="true"/>
        </w:rPr>
        <w:t>"</w:t>
      </w:r>
      <w:r>
        <w:rPr>
          <w:rFonts w:cs="FrankRuehl"/>
          <w:spacing w:val="10"/>
          <w:szCs w:val="28"/>
          <w:rtl w:val="true"/>
        </w:rPr>
        <w:t>ו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בשבט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התשע</w:t>
      </w:r>
      <w:r>
        <w:rPr>
          <w:rFonts w:cs="FrankRuehl"/>
          <w:spacing w:val="10"/>
          <w:szCs w:val="28"/>
          <w:rtl w:val="true"/>
        </w:rPr>
        <w:t>"</w:t>
      </w:r>
      <w:r>
        <w:rPr>
          <w:rFonts w:cs="FrankRuehl"/>
          <w:spacing w:val="10"/>
          <w:szCs w:val="28"/>
          <w:rtl w:val="true"/>
        </w:rPr>
        <w:t>ח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(‏</w:t>
      </w:r>
      <w:r>
        <w:rPr>
          <w:rFonts w:cs="FrankRuehl"/>
          <w:spacing w:val="10"/>
          <w:szCs w:val="28"/>
        </w:rPr>
        <w:t>31.1.2018</w:t>
      </w:r>
      <w:r>
        <w:rPr>
          <w:rFonts w:cs="FrankRuehl"/>
          <w:spacing w:val="10"/>
          <w:szCs w:val="28"/>
          <w:rtl w:val="true"/>
        </w:rPr>
        <w:t xml:space="preserve">). </w:t>
      </w:r>
    </w:p>
    <w:p>
      <w:pPr>
        <w:pStyle w:val="Ruller381"/>
        <w:ind w:end="0"/>
        <w:jc w:val="start"/>
        <w:rPr>
          <w:rFonts w:cs="FrankRuehl"/>
          <w:spacing w:val="10"/>
          <w:szCs w:val="28"/>
        </w:rPr>
      </w:pPr>
      <w:r>
        <w:rPr>
          <w:rFonts w:cs="FrankRuehl"/>
          <w:spacing w:val="10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tabs>
                <w:tab w:val="clear" w:pos="80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ה נ ש י א ה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tabs>
                <w:tab w:val="clear" w:pos="800"/>
                <w:tab w:val="left" w:pos="3209" w:leader="none"/>
                <w:tab w:val="left" w:pos="6753" w:leader="none"/>
              </w:tabs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tabs>
                <w:tab w:val="clear" w:pos="80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381"/>
        <w:ind w:end="0"/>
        <w:jc w:val="start"/>
        <w:rPr>
          <w:rFonts w:cs="FrankRuehl"/>
          <w:spacing w:val="10"/>
          <w:szCs w:val="28"/>
        </w:rPr>
      </w:pPr>
      <w:r>
        <w:rPr>
          <w:rFonts w:cs="FrankRuehl"/>
          <w:spacing w:val="10"/>
          <w:szCs w:val="28"/>
          <w:rtl w:val="true"/>
        </w:rPr>
      </w:r>
    </w:p>
    <w:p>
      <w:pPr>
        <w:pStyle w:val="Ruller381"/>
        <w:ind w:end="0"/>
        <w:jc w:val="start"/>
        <w:rPr>
          <w:rFonts w:cs="FrankRuehl"/>
          <w:spacing w:val="10"/>
          <w:szCs w:val="28"/>
        </w:rPr>
      </w:pPr>
      <w:r>
        <w:rPr>
          <w:rFonts w:cs="FrankRuehl"/>
          <w:spacing w:val="10"/>
          <w:szCs w:val="28"/>
          <w:rtl w:val="true"/>
        </w:rPr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16068690</w:t>
      </w:r>
      <w:r>
        <w:rPr>
          <w:sz w:val="16"/>
          <w:rtl w:val="true"/>
        </w:rPr>
        <w:t>_</w:t>
      </w:r>
      <w:r>
        <w:rPr>
          <w:sz w:val="16"/>
        </w:rPr>
        <w:t>B03.doc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ab/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54678313-6869/16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1906" w:h="16838"/>
      <w:pgMar w:left="1800" w:right="1800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6869/16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abs>
        <w:tab w:val="clear" w:pos="800"/>
      </w:tabs>
      <w:overflowPunct w:val="true"/>
      <w:autoSpaceDE w:val="true"/>
      <w:ind w:hanging="0" w:start="0" w:end="0"/>
      <w:jc w:val="both"/>
      <w:textAlignment w:val="auto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33131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50" TargetMode="External"/><Relationship Id="rId5" Type="http://schemas.openxmlformats.org/officeDocument/2006/relationships/hyperlink" Target="http://www.nevo.co.il/law/70301/351.c.2" TargetMode="External"/><Relationship Id="rId6" Type="http://schemas.openxmlformats.org/officeDocument/2006/relationships/hyperlink" Target="http://www.nevo.co.il/law/70301/368c" TargetMode="External"/><Relationship Id="rId7" Type="http://schemas.openxmlformats.org/officeDocument/2006/relationships/hyperlink" Target="http://www.nevo.co.il/law/90730" TargetMode="External"/><Relationship Id="rId8" Type="http://schemas.openxmlformats.org/officeDocument/2006/relationships/hyperlink" Target="http://www.nevo.co.il/law/90730/6" TargetMode="External"/><Relationship Id="rId9" Type="http://schemas.openxmlformats.org/officeDocument/2006/relationships/hyperlink" Target="http://www.nevo.co.il/case/20331319" TargetMode="External"/><Relationship Id="rId10" Type="http://schemas.openxmlformats.org/officeDocument/2006/relationships/hyperlink" Target="http://www.nevo.co.il/law/70301/351.c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51.c.2" TargetMode="External"/><Relationship Id="rId13" Type="http://schemas.openxmlformats.org/officeDocument/2006/relationships/hyperlink" Target="http://www.nevo.co.il/law/70301/350" TargetMode="External"/><Relationship Id="rId14" Type="http://schemas.openxmlformats.org/officeDocument/2006/relationships/hyperlink" Target="http://www.nevo.co.il/law/70301/368c" TargetMode="External"/><Relationship Id="rId15" Type="http://schemas.openxmlformats.org/officeDocument/2006/relationships/hyperlink" Target="http://www.nevo.co.il/law/90730/6" TargetMode="External"/><Relationship Id="rId16" Type="http://schemas.openxmlformats.org/officeDocument/2006/relationships/hyperlink" Target="http://www.nevo.co.il/law/90730" TargetMode="External"/><Relationship Id="rId17" Type="http://schemas.openxmlformats.org/officeDocument/2006/relationships/hyperlink" Target="http://www.nevo.co.il/case/16948372" TargetMode="External"/><Relationship Id="rId18" Type="http://schemas.openxmlformats.org/officeDocument/2006/relationships/hyperlink" Target="http://www.nevo.co.il/case/6243611" TargetMode="External"/><Relationship Id="rId19" Type="http://schemas.openxmlformats.org/officeDocument/2006/relationships/hyperlink" Target="http://www.nevo.co.il/case/5870687" TargetMode="External"/><Relationship Id="rId20" Type="http://schemas.openxmlformats.org/officeDocument/2006/relationships/hyperlink" Target="http://www.nevo.co.il/case/6246378" TargetMode="External"/><Relationship Id="rId21" Type="http://schemas.openxmlformats.org/officeDocument/2006/relationships/hyperlink" Target="http://www.nevo.co.il/case/5601394" TargetMode="External"/><Relationship Id="rId22" Type="http://schemas.openxmlformats.org/officeDocument/2006/relationships/hyperlink" Target="http://www.nevo.co.il/case/5578623" TargetMode="External"/><Relationship Id="rId23" Type="http://schemas.openxmlformats.org/officeDocument/2006/relationships/hyperlink" Target="http://www.nevo.co.il/case/20003566" TargetMode="External"/><Relationship Id="rId24" Type="http://schemas.openxmlformats.org/officeDocument/2006/relationships/hyperlink" Target="http://www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2018-02-04T09:25:00Z</dcterms:created>
  <dc:creator> </dc:creator>
  <dc:description/>
  <cp:keywords/>
  <dc:language>en-IL</dc:language>
  <cp:lastModifiedBy>orly</cp:lastModifiedBy>
  <cp:lastPrinted>2018-01-29T08:31:00Z</cp:lastPrinted>
  <dcterms:modified xsi:type="dcterms:W3CDTF">2018-02-04T09:25:00Z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20331319:2;16948372;6243611;5870687;6246378;5601394;5578623;20003566</vt:lpwstr>
  </property>
  <property fmtid="{D5CDD505-2E9C-101B-9397-08002B2CF9AE}" pid="9" name="CITY">
    <vt:lpwstr/>
  </property>
  <property fmtid="{D5CDD505-2E9C-101B-9397-08002B2CF9AE}" pid="10" name="DATE">
    <vt:lpwstr>20180131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ארז;מ' מזוז;א' חיות</vt:lpwstr>
  </property>
  <property fmtid="{D5CDD505-2E9C-101B-9397-08002B2CF9AE}" pid="14" name="LAWLISTTMP1">
    <vt:lpwstr>70301/351.c.2:2;350;368c</vt:lpwstr>
  </property>
  <property fmtid="{D5CDD505-2E9C-101B-9397-08002B2CF9AE}" pid="15" name="LAWLISTTMP2">
    <vt:lpwstr>90730/006</vt:lpwstr>
  </property>
  <property fmtid="{D5CDD505-2E9C-101B-9397-08002B2CF9AE}" pid="16" name="LAWYER">
    <vt:lpwstr>דפנה שמול;משה שוחטמן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</vt:lpwstr>
  </property>
  <property fmtid="{D5CDD505-2E9C-101B-9397-08002B2CF9AE}" pid="49" name="NOSE31">
    <vt:lpwstr>מדיניות ענישה: שיקום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 לקולה</vt:lpwstr>
  </property>
  <property fmtid="{D5CDD505-2E9C-101B-9397-08002B2CF9AE}" pid="52" name="NOSE33">
    <vt:lpwstr>מדיניות ענישה: עבירות מין בקטינים</vt:lpwstr>
  </property>
  <property fmtid="{D5CDD505-2E9C-101B-9397-08002B2CF9AE}" pid="53" name="NOSE34">
    <vt:lpwstr>מדיניות ענישה: התערבות ערכאת ערעור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14346;8996;16970;8982</vt:lpwstr>
  </property>
  <property fmtid="{D5CDD505-2E9C-101B-9397-08002B2CF9AE}" pid="60" name="PADIDATE">
    <vt:lpwstr>20180204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6869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410120180131</vt:lpwstr>
  </property>
  <property fmtid="{D5CDD505-2E9C-101B-9397-08002B2CF9AE}" pid="70" name="TYPE_N_DATE">
    <vt:lpwstr>41020180131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