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687/22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713/22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שוחט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687/22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713/22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יריב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 xml:space="preserve">ה </w:t>
            </w:r>
            <w:r>
              <w:rPr>
                <w:rFonts w:cs="David" w:ascii="David" w:hAnsi="David"/>
              </w:rPr>
              <w:t>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687/22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713/22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המשיב </w:t>
            </w:r>
            <w:r>
              <w:rPr>
                <w:rFonts w:cs="David" w:ascii="David" w:hAnsi="David"/>
              </w:rPr>
              <w:t>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687/22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הדדיים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ליפשיץ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ציגלר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מנדלבום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16.12.2021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תפ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11289-10-20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10.5.2022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/>
                <w:rtl w:val="true"/>
              </w:rPr>
              <w:t xml:space="preserve">בשם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687/22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713/22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גרידיש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Fonts w:ascii="David" w:hAnsi="David"/>
                <w:rtl w:val="true"/>
              </w:rPr>
              <w:t xml:space="preserve">בשם </w:t>
            </w: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 xml:space="preserve">ה </w:t>
            </w:r>
            <w:r>
              <w:rPr>
                <w:rFonts w:cs="David" w:ascii="David" w:hAnsi="David"/>
              </w:rPr>
              <w:t>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687/22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713/22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קנפו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333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413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'</w:t>
        </w:r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10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bookmarkStart w:id="7" w:name="ABSTRACT_START"/>
      <w:bookmarkStart w:id="8" w:name="_Hlk104102192"/>
      <w:bookmarkEnd w:id="7"/>
      <w:bookmarkEnd w:id="8"/>
      <w:r>
        <w:rPr>
          <w:spacing w:val="0"/>
          <w:sz w:val="24"/>
          <w:sz w:val="24"/>
          <w:szCs w:val="26"/>
          <w:rtl w:val="true"/>
        </w:rPr>
        <w:t>מיני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רציו</w:t>
      </w:r>
      <w:r>
        <w:rPr>
          <w:spacing w:val="0"/>
          <w:sz w:val="24"/>
          <w:szCs w:val="26"/>
          <w:rtl w:val="true"/>
        </w:rPr>
        <w:t>: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עבירת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החבלה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בכוונה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מחמירה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עסקינן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בוצעה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חמורות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ביותר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ותוצאותיה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הרסניות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שהושת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צריך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קרוב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המרבי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20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מירבי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הקבוע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בחוק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לסמן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גבולה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העליון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סמכות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הענישה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מדובר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בעמדתו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הערכית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המחוקק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ביחס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לחומרת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לקיים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דברו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תיקון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113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</w:t>
      </w:r>
      <w:hyperlink r:id="rId10">
        <w:r>
          <w:rPr>
            <w:rStyle w:val="Hyperlink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spacing w:val="0"/>
            <w:sz w:val="24"/>
            <w:sz w:val="24"/>
            <w:szCs w:val="26"/>
            <w:rtl w:val="true"/>
          </w:rPr>
          <w:t>העונשין</w:t>
        </w:r>
      </w:hyperlink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שנתן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לעיקרון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ההלימה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מעמד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עניינו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בתפיסה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הרואה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בענישת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העבריין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אקט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שלטוני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המכונן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מחדש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שיווי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המשקל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המוסרי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שהופר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ידו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מדיניות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חבלה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בכוונה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מחמירה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מקסימום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עקרון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ההלימה‏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הבניית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שיקול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השיפוטי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בענישה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הורשע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חבלה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בכוונה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מחמירה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ושינוי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זהות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רכב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חלק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רכב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ע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פ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הודאתו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בעובדות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כתב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אישום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מתוקן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ע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פ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כתב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האישום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המתוקן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("</w:t>
      </w:r>
      <w:r>
        <w:rPr>
          <w:spacing w:val="0"/>
          <w:sz w:val="24"/>
          <w:sz w:val="24"/>
          <w:szCs w:val="26"/>
          <w:rtl w:val="true"/>
        </w:rPr>
        <w:t>יריב</w:t>
      </w:r>
      <w:r>
        <w:rPr>
          <w:spacing w:val="0"/>
          <w:sz w:val="24"/>
          <w:szCs w:val="26"/>
          <w:rtl w:val="true"/>
        </w:rPr>
        <w:t xml:space="preserve">") </w:t>
      </w:r>
      <w:r>
        <w:rPr>
          <w:spacing w:val="0"/>
          <w:sz w:val="24"/>
          <w:sz w:val="24"/>
          <w:szCs w:val="26"/>
          <w:rtl w:val="true"/>
        </w:rPr>
        <w:t>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מאקדחו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מטווח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קצר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בראשו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קורבן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27</w:t>
      </w:r>
      <w:r>
        <w:rPr>
          <w:spacing w:val="0"/>
          <w:sz w:val="24"/>
          <w:szCs w:val="26"/>
          <w:rtl w:val="true"/>
        </w:rPr>
        <w:t xml:space="preserve"> ("</w:t>
      </w:r>
      <w:r>
        <w:rPr>
          <w:spacing w:val="0"/>
          <w:sz w:val="24"/>
          <w:sz w:val="24"/>
          <w:szCs w:val="26"/>
          <w:rtl w:val="true"/>
        </w:rPr>
        <w:t>קובי</w:t>
      </w:r>
      <w:r>
        <w:rPr>
          <w:spacing w:val="0"/>
          <w:sz w:val="24"/>
          <w:szCs w:val="26"/>
          <w:rtl w:val="true"/>
        </w:rPr>
        <w:t xml:space="preserve">"). </w:t>
      </w:r>
      <w:r>
        <w:rPr>
          <w:spacing w:val="0"/>
          <w:sz w:val="24"/>
          <w:sz w:val="24"/>
          <w:szCs w:val="26"/>
          <w:rtl w:val="true"/>
        </w:rPr>
        <w:t>כתוצאה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מהירי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לקובי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נגרם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נזק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מוחי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מאסיבי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והוא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מאושפז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במוסד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רפואי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במצב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צמח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הרקע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לאירוע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1000</w:t>
      </w:r>
      <w:r>
        <w:rPr>
          <w:spacing w:val="0"/>
          <w:sz w:val="24"/>
          <w:szCs w:val="26"/>
          <w:rtl w:val="true"/>
        </w:rPr>
        <w:t xml:space="preserve"> ₪ </w:t>
      </w:r>
      <w:r>
        <w:rPr>
          <w:spacing w:val="0"/>
          <w:sz w:val="24"/>
          <w:sz w:val="24"/>
          <w:szCs w:val="26"/>
          <w:rtl w:val="true"/>
        </w:rPr>
        <w:t>שקרוב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משפחתה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זוגו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קובי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לחברו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יריב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גזר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למשך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12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לצד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וחיוב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לשלם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לנפגעי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פיצוי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בסך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258,000</w:t>
      </w:r>
      <w:r>
        <w:rPr>
          <w:spacing w:val="0"/>
          <w:sz w:val="24"/>
          <w:szCs w:val="26"/>
          <w:rtl w:val="true"/>
        </w:rPr>
        <w:t xml:space="preserve"> ₪.  </w:t>
      </w:r>
      <w:r>
        <w:rPr>
          <w:spacing w:val="0"/>
          <w:sz w:val="24"/>
          <w:sz w:val="24"/>
          <w:szCs w:val="26"/>
          <w:rtl w:val="true"/>
        </w:rPr>
        <w:t>מכאן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הערעורים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ההדדיים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העליון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דחה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וקיבל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המדינה</w:t>
      </w:r>
      <w:r>
        <w:rPr>
          <w:spacing w:val="0"/>
          <w:sz w:val="24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העבירה בה עסקינן גוררת אחריה עונש מירבי של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 קבע המחוקק ומילותיו אינן בגדר מילים ריקות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שנפסק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מירבי הקבוע בחוק אינו בא לסמן רק את גבולה העליון של סמכות הענישה הנתונה בידי בתי המשפט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בעמדתו הערכית של המחוקק ביחס לחומרת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ויש לקיים את דברו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בבואו לגזור את עונשו של 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לצאת מתוך הנחה כי העונש המירבי הוא העונש שיש להטילו בנסיבות חמורות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כי בנסיבות בעלות חומרה בינונית מן הראוי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להטיל על הנאשם את מחצית העונש המירבי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בנסיבות מקלות מן הדין הוא שהעונש יוקל בהתאם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אין חולק כי העבירה בה עסקינן בוצעה בנסיבות חמורות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ותוצאותיה היו הרסניות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 המאסר שהושת על המערער לריצוי בפועל צריך להיות קרוב לעונש המרבי של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מתחם הענישה שבין </w:t>
      </w:r>
      <w:r>
        <w:rPr>
          <w:rFonts w:cs="Times New Roman" w:ascii="Times New Roman" w:hAnsi="Times New Roman"/>
          <w:spacing w:val="0"/>
          <w:szCs w:val="26"/>
        </w:rPr>
        <w:t>16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לו טענה המדינה בפני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בתארה את הפרשה – בצדק רב – 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מקרה קיצון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המתחם הנכון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למתחם זה אמנם לא נמצאה אסמכתא בדמות פסק דין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העליון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לכך היה הסבר פשוט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המקרים בהם מוגש נגד נאשם כתב אישום המייחס לו גרימת חבלה בכוונה מחמירה – רובם ככולם – חומרתם נופלת בהרבה מחומרת מעשהו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במעשה לא פחות ממזעזע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כולו זלזול בוטה בחיי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לזאת יש להוסיף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הטלת עונש של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בגין גרימת חבלה בכוונה מחמירה אינו חסר תקדים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לעונש זה יש תקדים בעניין אנורי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הנסוב על מקרה חמור מאד של דקירת אישה צעירה בפניה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בבטנה ובגבה אגב מעשה שוד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תקדים זה הוא הנכון ויש לפסק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פיו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זו אף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בתי המשפט שלנו ידעו להטיל גם את העונש המרבי של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בגין גרימת חבלה בכוונה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הדבר נעשה במקרה שנסיבותיו מזעזעות אף יותר מאלו שבנדון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מטעמים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מן הדין היה לגזור את עונשו של המערער במסגרת המתחם של </w:t>
      </w:r>
      <w:r>
        <w:rPr>
          <w:rFonts w:cs="Times New Roman" w:ascii="Times New Roman" w:hAnsi="Times New Roman"/>
          <w:spacing w:val="0"/>
          <w:szCs w:val="26"/>
        </w:rPr>
        <w:t>16-20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לו טענה המדינה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נסיבותיו האישיות של המערער מושכות את העונש שראוי להטיל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בסופו של יום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כלפי מטה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זאת רק במעט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אם בכלל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ברי הוא אפוא כי העונש של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אשר הושת על המערער מקל עמו במידה בלתי סבירה בעליל ואינו נאמן לדבר המחוקק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ענישה מקלה מעין זו גם אינה נותנת ביטוי ראוי לערכם המוסרי של נפגעי העבירה – הקורבן הישיר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קובי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והנפגעים העקיפים – אותו חובה עלינו לשקם באמצעות ענישה הולמת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פשיטא הוא כי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אינן שקולות כנגד הריסת חיים שלמים של אדם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ירי מכוון בראשו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שנפסק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תיקון </w:t>
      </w:r>
      <w:r>
        <w:rPr>
          <w:rFonts w:cs="Times New Roman" w:ascii="Times New Roman" w:hAnsi="Times New Roman"/>
          <w:spacing w:val="0"/>
          <w:szCs w:val="26"/>
        </w:rPr>
        <w:t>113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1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שנתן לעיקרון ההלימה מעמד 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 מדבר על הלימה במובן הצר של ה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lex talionis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בתפיסה רחבה יותר של הלימה הרואה בענישת העבריין אקט שלטוני המכונן מחדש את שיווי המשקל המוסרי שהופר על ידו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בתיקון כוללני אשר חייב לשקם את ערך הנפגע מן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תיקון זה לא ייעשה אם עונשו של העבריין לא יהיה שקול כנגד מה שעולל לקורבנו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מיכאל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חברו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יריב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יציין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בטוח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הקשיים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הראייתיים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עליהם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מצביעה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מצדיקים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העמדתו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לנסיבותיו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דרכה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למצות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במלוא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להגדיל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בשלוש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_Hlk104102192"/>
      <w:bookmarkStart w:id="10" w:name="ABSTRACT_END"/>
      <w:bookmarkStart w:id="11" w:name="_Hlk104102192"/>
      <w:bookmarkStart w:id="12" w:name="ABSTRACT_END"/>
      <w:bookmarkEnd w:id="11"/>
      <w:bookmarkEnd w:id="12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3" w:name="PsakDin"/>
            <w:bookmarkStart w:id="14" w:name="BeginProtocol"/>
            <w:bookmarkStart w:id="15" w:name="secretary"/>
            <w:bookmarkEnd w:id="13"/>
            <w:bookmarkEnd w:id="14"/>
            <w:bookmarkEnd w:id="15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6" w:name="Writer_Name"/>
      <w:bookmarkEnd w:id="16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7" w:name="Start_Write"/>
      <w:bookmarkStart w:id="18" w:name="Start_Write"/>
      <w:bookmarkEnd w:id="18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הערעורים שלפנינו נסובו על פרשה חמורה של זילות חיי</w:t>
      </w:r>
      <w:r>
        <w:rPr>
          <w:rtl w:val="true"/>
        </w:rPr>
        <w:t>-</w:t>
      </w:r>
      <w:r>
        <w:rPr>
          <w:rtl w:val="true"/>
        </w:rPr>
        <w:t>אדם והקלות הבלתי נסבלת של לחיצה על ההדק</w:t>
      </w:r>
      <w:r>
        <w:rPr>
          <w:rtl w:val="true"/>
        </w:rPr>
        <w:t xml:space="preserve">. </w:t>
      </w:r>
      <w:r>
        <w:rPr>
          <w:rtl w:val="true"/>
        </w:rPr>
        <w:t>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687/22</w:t>
      </w:r>
      <w:r>
        <w:rPr>
          <w:rtl w:val="true"/>
        </w:rPr>
        <w:t xml:space="preserve"> </w:t>
      </w:r>
      <w:r>
        <w:rPr>
          <w:rtl w:val="true"/>
        </w:rPr>
        <w:t>והמשיב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713/22</w:t>
      </w:r>
      <w:r>
        <w:rPr>
          <w:rtl w:val="true"/>
        </w:rPr>
        <w:t xml:space="preserve">, </w:t>
      </w:r>
      <w:r>
        <w:rPr>
          <w:rtl w:val="true"/>
        </w:rPr>
        <w:t xml:space="preserve">צעיר בן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שאותו נזהה בשמו הפרטי</w:t>
      </w:r>
      <w:r>
        <w:rPr>
          <w:rtl w:val="true"/>
        </w:rPr>
        <w:t xml:space="preserve">, </w:t>
      </w:r>
      <w:r>
        <w:rPr>
          <w:rtl w:val="true"/>
        </w:rPr>
        <w:t>יריב</w:t>
      </w:r>
      <w:r>
        <w:rPr>
          <w:rtl w:val="true"/>
        </w:rPr>
        <w:t xml:space="preserve">, </w:t>
      </w:r>
      <w:r>
        <w:rPr>
          <w:rtl w:val="true"/>
        </w:rPr>
        <w:t>ירה מאקדחו</w:t>
      </w:r>
      <w:r>
        <w:rPr>
          <w:rtl w:val="true"/>
        </w:rPr>
        <w:t xml:space="preserve">, </w:t>
      </w:r>
      <w:r>
        <w:rPr>
          <w:rtl w:val="true"/>
        </w:rPr>
        <w:t>מטווח קצר</w:t>
      </w:r>
      <w:r>
        <w:rPr>
          <w:rtl w:val="true"/>
        </w:rPr>
        <w:t xml:space="preserve">, </w:t>
      </w:r>
      <w:r>
        <w:rPr>
          <w:rtl w:val="true"/>
        </w:rPr>
        <w:t>בראשו של קורבן העבירה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שענה לשם קובי</w:t>
      </w:r>
      <w:r>
        <w:rPr>
          <w:rtl w:val="true"/>
        </w:rPr>
        <w:t xml:space="preserve">. </w:t>
      </w:r>
      <w:r>
        <w:rPr>
          <w:rtl w:val="true"/>
        </w:rPr>
        <w:t>כתוצאה מהירי</w:t>
      </w:r>
      <w:r>
        <w:rPr>
          <w:rtl w:val="true"/>
        </w:rPr>
        <w:t xml:space="preserve">, </w:t>
      </w:r>
      <w:r>
        <w:rPr>
          <w:rtl w:val="true"/>
        </w:rPr>
        <w:t>לקובי נגרם נזק מוחי מאסיבי והוא מאושפז במוסד רפואי בהיותו מונשם וחסר הכרה</w:t>
      </w:r>
      <w:r>
        <w:rPr>
          <w:rtl w:val="true"/>
        </w:rPr>
        <w:t xml:space="preserve">. </w:t>
      </w:r>
      <w:r>
        <w:rPr>
          <w:rtl w:val="true"/>
        </w:rPr>
        <w:t xml:space="preserve">הרקע לאירוע זה הוא </w:t>
      </w:r>
      <w:r>
        <w:rPr/>
        <w:t>1000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שקטין בשם א</w:t>
      </w:r>
      <w:r>
        <w:rPr>
          <w:rtl w:val="true"/>
        </w:rPr>
        <w:t xml:space="preserve">', </w:t>
      </w:r>
      <w:r>
        <w:rPr>
          <w:rtl w:val="true"/>
        </w:rPr>
        <w:t>קרוב משפחתה של בת זוגו של קובי</w:t>
      </w:r>
      <w:r>
        <w:rPr>
          <w:rtl w:val="true"/>
        </w:rPr>
        <w:t xml:space="preserve">, </w:t>
      </w:r>
      <w:r>
        <w:rPr>
          <w:rtl w:val="true"/>
        </w:rPr>
        <w:t>חב לחברו של יריב</w:t>
      </w:r>
      <w:r>
        <w:rPr>
          <w:rtl w:val="true"/>
        </w:rPr>
        <w:t xml:space="preserve">, </w:t>
      </w:r>
      <w:r>
        <w:rPr>
          <w:rtl w:val="true"/>
        </w:rPr>
        <w:t>העונה לשם מיכאל</w:t>
      </w:r>
      <w:r>
        <w:rPr>
          <w:rtl w:val="true"/>
        </w:rPr>
        <w:t xml:space="preserve">. </w:t>
      </w:r>
      <w:r>
        <w:rPr>
          <w:rtl w:val="true"/>
        </w:rPr>
        <w:t>בשל חוב זה מיכאל רב עם א</w:t>
      </w:r>
      <w:r>
        <w:rPr>
          <w:rtl w:val="true"/>
        </w:rPr>
        <w:t xml:space="preserve">'; </w:t>
      </w:r>
      <w:r>
        <w:rPr>
          <w:rtl w:val="true"/>
        </w:rPr>
        <w:t>השניים החליפו מהלומות</w:t>
      </w:r>
      <w:r>
        <w:rPr>
          <w:rtl w:val="true"/>
        </w:rPr>
        <w:t xml:space="preserve">; </w:t>
      </w:r>
      <w:r>
        <w:rPr>
          <w:rtl w:val="true"/>
        </w:rPr>
        <w:t>ובעקבותיהן שלח מיכאל לא</w:t>
      </w:r>
      <w:r>
        <w:rPr>
          <w:rtl w:val="true"/>
        </w:rPr>
        <w:t xml:space="preserve">' </w:t>
      </w:r>
      <w:r>
        <w:rPr>
          <w:rtl w:val="true"/>
        </w:rPr>
        <w:t>הודעת טקסט מאיימת בזו הלשון</w:t>
      </w:r>
      <w:r>
        <w:rPr>
          <w:rtl w:val="true"/>
        </w:rPr>
        <w:t>: "</w:t>
      </w:r>
      <w:r>
        <w:rPr>
          <w:rtl w:val="true"/>
        </w:rPr>
        <w:t>חכה חכה</w:t>
      </w:r>
      <w:r>
        <w:rPr>
          <w:rtl w:val="true"/>
        </w:rPr>
        <w:t xml:space="preserve">, </w:t>
      </w:r>
      <w:r>
        <w:rPr>
          <w:rtl w:val="true"/>
        </w:rPr>
        <w:t>מחכה לך מתנה</w:t>
      </w:r>
      <w:r>
        <w:rPr>
          <w:rtl w:val="true"/>
        </w:rPr>
        <w:t xml:space="preserve">".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סיפר לקובי על אודות הסכסוך ומסר לקובי את מספר הטלפון של מיכאל</w:t>
      </w:r>
      <w:r>
        <w:rPr>
          <w:rtl w:val="true"/>
        </w:rPr>
        <w:t xml:space="preserve">. </w:t>
      </w:r>
      <w:r>
        <w:rPr>
          <w:rtl w:val="true"/>
        </w:rPr>
        <w:t>קובי ומיכאל שוחחו בטלפון</w:t>
      </w:r>
      <w:r>
        <w:rPr>
          <w:rtl w:val="true"/>
        </w:rPr>
        <w:t xml:space="preserve">, </w:t>
      </w:r>
      <w:r>
        <w:rPr>
          <w:rtl w:val="true"/>
        </w:rPr>
        <w:t>אך שיחתם לא כיבתה את להבות הסכסוך</w:t>
      </w:r>
      <w:r>
        <w:rPr>
          <w:rtl w:val="true"/>
        </w:rPr>
        <w:t xml:space="preserve">. </w:t>
      </w:r>
      <w:r>
        <w:rPr>
          <w:rtl w:val="true"/>
        </w:rPr>
        <w:t>בערב של אותו יום</w:t>
      </w:r>
      <w:r>
        <w:rPr>
          <w:rtl w:val="true"/>
        </w:rPr>
        <w:t xml:space="preserve">, </w:t>
      </w:r>
      <w:r>
        <w:rPr/>
        <w:t>5.9.2020</w:t>
      </w:r>
      <w:r>
        <w:rPr>
          <w:rtl w:val="true"/>
        </w:rPr>
        <w:t xml:space="preserve">, </w:t>
      </w:r>
      <w:r>
        <w:rPr>
          <w:rtl w:val="true"/>
        </w:rPr>
        <w:t>הגיע יריב לקרבת בית חברו</w:t>
      </w:r>
      <w:r>
        <w:rPr>
          <w:rtl w:val="true"/>
        </w:rPr>
        <w:t xml:space="preserve">, </w:t>
      </w:r>
      <w:r>
        <w:rPr>
          <w:rtl w:val="true"/>
        </w:rPr>
        <w:t>מיכאל</w:t>
      </w:r>
      <w:r>
        <w:rPr>
          <w:rtl w:val="true"/>
        </w:rPr>
        <w:t xml:space="preserve">, </w:t>
      </w:r>
      <w:r>
        <w:rPr>
          <w:rtl w:val="true"/>
        </w:rPr>
        <w:t>כשהוא רכוב על קטנועו ונושא עמו אקדח טעון במחסנית מלאת כדורים</w:t>
      </w:r>
      <w:r>
        <w:rPr>
          <w:rtl w:val="true"/>
        </w:rPr>
        <w:t xml:space="preserve">, </w:t>
      </w:r>
      <w:r>
        <w:rPr>
          <w:rtl w:val="true"/>
        </w:rPr>
        <w:t>אותו קיבל לידיו במסגרת עבודתו כמאבטח ברכבת ישראל</w:t>
      </w:r>
      <w:r>
        <w:rPr>
          <w:rtl w:val="true"/>
        </w:rPr>
        <w:t xml:space="preserve">. </w:t>
      </w:r>
      <w:r>
        <w:rPr>
          <w:rtl w:val="true"/>
        </w:rPr>
        <w:t>מיכאל עלה על מושב הנוסע בקטנוע כשבידו אלת עץ וגרזן</w:t>
      </w:r>
      <w:r>
        <w:rPr>
          <w:rtl w:val="true"/>
        </w:rPr>
        <w:t xml:space="preserve">. </w:t>
      </w:r>
      <w:r>
        <w:rPr>
          <w:rtl w:val="true"/>
        </w:rPr>
        <w:t>בחלוף 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דקות פגשו השניים בצומת רחובות את קובי שנהג במכוניתו</w:t>
      </w:r>
      <w:r>
        <w:rPr>
          <w:rtl w:val="true"/>
        </w:rPr>
        <w:t xml:space="preserve">. </w:t>
      </w:r>
      <w:r>
        <w:rPr>
          <w:rtl w:val="true"/>
        </w:rPr>
        <w:t>יריב עצר את הקטנוע</w:t>
      </w:r>
      <w:r>
        <w:rPr>
          <w:rtl w:val="true"/>
        </w:rPr>
        <w:t xml:space="preserve">; </w:t>
      </w:r>
      <w:r>
        <w:rPr>
          <w:rtl w:val="true"/>
        </w:rPr>
        <w:t>קובי עצר את מכוניתו</w:t>
      </w:r>
      <w:r>
        <w:rPr>
          <w:rtl w:val="true"/>
        </w:rPr>
        <w:t>-</w:t>
      </w:r>
      <w:r>
        <w:rPr>
          <w:rtl w:val="true"/>
        </w:rPr>
        <w:t>שלו</w:t>
      </w:r>
      <w:r>
        <w:rPr>
          <w:rtl w:val="true"/>
        </w:rPr>
        <w:t xml:space="preserve">; </w:t>
      </w:r>
      <w:r>
        <w:rPr>
          <w:rtl w:val="true"/>
        </w:rPr>
        <w:t>מיכאל ויריב ירדו מהקטנוע</w:t>
      </w:r>
      <w:r>
        <w:rPr>
          <w:rtl w:val="true"/>
        </w:rPr>
        <w:t xml:space="preserve">, </w:t>
      </w:r>
      <w:r>
        <w:rPr>
          <w:rtl w:val="true"/>
        </w:rPr>
        <w:t>התקרבו אל מכוניתו של קובי ואחד מהם ניפץ באמצעות האלה את שמשת דלת הנהג</w:t>
      </w:r>
      <w:r>
        <w:rPr>
          <w:rtl w:val="true"/>
        </w:rPr>
        <w:t xml:space="preserve">. </w:t>
      </w:r>
      <w:r>
        <w:rPr>
          <w:rtl w:val="true"/>
        </w:rPr>
        <w:t>קובי התיז גז מדמיע ממיכל שהיה ברשותו לעברו של יריב</w:t>
      </w:r>
      <w:r>
        <w:rPr>
          <w:rtl w:val="true"/>
        </w:rPr>
        <w:t xml:space="preserve">. </w:t>
      </w:r>
      <w:r>
        <w:rPr>
          <w:rtl w:val="true"/>
        </w:rPr>
        <w:t>יריב כיוון את אקדחו</w:t>
      </w:r>
      <w:r>
        <w:rPr>
          <w:rtl w:val="true"/>
        </w:rPr>
        <w:t xml:space="preserve">, </w:t>
      </w:r>
      <w:r>
        <w:rPr>
          <w:rtl w:val="true"/>
        </w:rPr>
        <w:t>שהיה טעון ודרוך</w:t>
      </w:r>
      <w:r>
        <w:rPr>
          <w:rtl w:val="true"/>
        </w:rPr>
        <w:t xml:space="preserve">, </w:t>
      </w:r>
      <w:r>
        <w:rPr>
          <w:rtl w:val="true"/>
        </w:rPr>
        <w:t>לעבר ראשו של קובי וירה בראשו של קובי ירייה אחת מטווח קצר</w:t>
      </w:r>
      <w:r>
        <w:rPr>
          <w:rtl w:val="true"/>
        </w:rPr>
        <w:t xml:space="preserve">. </w:t>
      </w:r>
      <w:r>
        <w:rPr>
          <w:rtl w:val="true"/>
        </w:rPr>
        <w:t>ירייה זו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הותירה את קובי </w:t>
      </w:r>
      <w:r>
        <w:rPr>
          <w:rtl w:val="true"/>
        </w:rPr>
        <w:t>–</w:t>
      </w:r>
      <w:r>
        <w:rPr>
          <w:rtl w:val="true"/>
        </w:rPr>
        <w:t xml:space="preserve"> אדם צעיר שלמד הנדסה באוניברסיטה וחי חיים איכותיים ומלאי תוכן </w:t>
      </w:r>
      <w:r>
        <w:rPr>
          <w:rtl w:val="true"/>
        </w:rPr>
        <w:t>–</w:t>
      </w:r>
      <w:r>
        <w:rPr>
          <w:rtl w:val="true"/>
        </w:rPr>
        <w:t xml:space="preserve"> במצב של צמח</w:t>
      </w:r>
      <w:r>
        <w:rPr>
          <w:rtl w:val="true"/>
        </w:rPr>
        <w:t xml:space="preserve">, </w:t>
      </w:r>
      <w:r>
        <w:rPr>
          <w:rtl w:val="true"/>
        </w:rPr>
        <w:t>מחוסר הכרה</w:t>
      </w:r>
      <w:r>
        <w:rPr>
          <w:rtl w:val="true"/>
        </w:rPr>
        <w:t xml:space="preserve">, </w:t>
      </w:r>
      <w:r>
        <w:rPr>
          <w:rtl w:val="true"/>
        </w:rPr>
        <w:t>נעדר יכולת לתקשר עם הסובבים אותו</w:t>
      </w:r>
      <w:r>
        <w:rPr>
          <w:rtl w:val="true"/>
        </w:rPr>
        <w:t xml:space="preserve">, </w:t>
      </w:r>
      <w:r>
        <w:rPr>
          <w:rtl w:val="true"/>
        </w:rPr>
        <w:t>ומרחף בין חיים למוות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tl w:val="true"/>
        </w:rPr>
        <w:t>-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הורידה ירייה זו מסך שחור על חיי בת זוגו של קובי</w:t>
      </w:r>
      <w:r>
        <w:rPr>
          <w:rtl w:val="true"/>
        </w:rPr>
        <w:t xml:space="preserve">, </w:t>
      </w:r>
      <w:r>
        <w:rPr>
          <w:rtl w:val="true"/>
        </w:rPr>
        <w:t>שעמדה להינשא לו</w:t>
      </w:r>
      <w:r>
        <w:rPr>
          <w:rtl w:val="true"/>
        </w:rPr>
        <w:t xml:space="preserve">, </w:t>
      </w:r>
      <w:r>
        <w:rPr>
          <w:rtl w:val="true"/>
        </w:rPr>
        <w:t>וכן על חייו של אביו ובני משפחתו הקרובה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אירוע קשה זה</w:t>
      </w:r>
      <w:r>
        <w:rPr>
          <w:rtl w:val="true"/>
        </w:rPr>
        <w:t xml:space="preserve">, </w:t>
      </w:r>
      <w:r>
        <w:rPr>
          <w:rtl w:val="true"/>
        </w:rPr>
        <w:t>על כל פרטיו</w:t>
      </w:r>
      <w:r>
        <w:rPr>
          <w:rtl w:val="true"/>
        </w:rPr>
        <w:t xml:space="preserve">, </w:t>
      </w:r>
      <w:r>
        <w:rPr>
          <w:rtl w:val="true"/>
        </w:rPr>
        <w:t xml:space="preserve">נוקז אל תוך לשונו המופשטת של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אשר קובע כדלקמן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: </w:t>
      </w:r>
      <w:r>
        <w:rPr>
          <w:rtl w:val="true"/>
        </w:rPr>
        <w:t>פוצע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".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>סעיף זה היה בגדר הוראת עונשין עיקרית בכתב האישום המתוקן אשר הוגש נגד המערער במסגרת הסדר טיעון שנעשה בינו לבין התביעה ב</w:t>
      </w:r>
      <w:hyperlink r:id="rId14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11289-10-20</w:t>
        </w:r>
      </w:hyperlink>
      <w:r>
        <w:rPr>
          <w:color w:val="0000FF"/>
          <w:u w:val="single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 xml:space="preserve">עבירה נוספת בה הואשם המערער לפי אותו כתב אישום היא שינוי זהות של רכב </w:t>
      </w:r>
      <w:r>
        <w:rPr>
          <w:rtl w:val="true"/>
        </w:rPr>
        <w:t>–</w:t>
      </w:r>
      <w:r>
        <w:rPr>
          <w:rtl w:val="true"/>
        </w:rPr>
        <w:t xml:space="preserve"> מעשה שנאסר </w:t>
      </w:r>
      <w:hyperlink r:id="rId15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ט</w:t>
        </w:r>
      </w:hyperlink>
      <w:r>
        <w:rPr>
          <w:rtl w:val="true"/>
        </w:rPr>
        <w:t xml:space="preserve"> 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המערער הואשם בעבירה זו מאחר שמיד אחרי אירוע הירי כופף את לוחיות הזיהוי של קטנועו במטרה להקשות על זיהויו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בהתאם להסדר הטיעון</w:t>
      </w:r>
      <w:r>
        <w:rPr>
          <w:rtl w:val="true"/>
        </w:rPr>
        <w:t xml:space="preserve">, </w:t>
      </w:r>
      <w:r>
        <w:rPr>
          <w:rtl w:val="true"/>
        </w:rPr>
        <w:t>הודה המערער בביצוע העבירות שיוחסו לו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ובית המשפט המחוזי חיפה </w:t>
      </w:r>
      <w:r>
        <w:rPr>
          <w:rtl w:val="true"/>
        </w:rPr>
        <w:t>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ליפשיץ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ציגלר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מנדלבום</w:t>
      </w:r>
      <w:r>
        <w:rPr>
          <w:rtl w:val="true"/>
        </w:rPr>
        <w:t xml:space="preserve">) </w:t>
      </w:r>
      <w:r>
        <w:rPr>
          <w:rtl w:val="true"/>
        </w:rPr>
        <w:t>מצאוֹ אשם בביצוען</w:t>
      </w:r>
      <w:r>
        <w:rPr>
          <w:rtl w:val="true"/>
        </w:rPr>
        <w:t xml:space="preserve">. </w:t>
      </w:r>
      <w:r>
        <w:rPr>
          <w:rtl w:val="true"/>
        </w:rPr>
        <w:t>לאחר שמיעת ראיות לעניין העונש ועיון בתסקיר שירות המבחן ותסקיר נפגעי העבירה</w:t>
      </w:r>
      <w:r>
        <w:rPr>
          <w:rtl w:val="true"/>
        </w:rPr>
        <w:t xml:space="preserve">, </w:t>
      </w:r>
      <w:r>
        <w:rPr>
          <w:rtl w:val="true"/>
        </w:rPr>
        <w:t>הגיע בית משפט קמא לממצאים ולמסקנות כדלקמן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עמומים</w:t>
      </w:r>
      <w:r>
        <w:rPr>
          <w:rtl w:val="true"/>
        </w:rPr>
        <w:t xml:space="preserve">" </w:t>
      </w:r>
      <w:r>
        <w:rPr>
          <w:rtl w:val="true"/>
        </w:rPr>
        <w:t>ובתוכם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מיכאל</w:t>
      </w:r>
      <w:r>
        <w:rPr>
          <w:rtl w:val="true"/>
        </w:rPr>
        <w:t xml:space="preserve">, </w:t>
      </w:r>
      <w:r>
        <w:rPr>
          <w:rtl w:val="true"/>
        </w:rPr>
        <w:t>שניפץ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קובי</w:t>
      </w:r>
      <w:r>
        <w:rPr>
          <w:rtl w:val="true"/>
        </w:rPr>
        <w:t xml:space="preserve">. 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שמיטיבות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מאקדחו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ספונטאנית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והתגבשה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מדמיע</w:t>
      </w:r>
      <w:r>
        <w:rPr>
          <w:rtl w:val="true"/>
        </w:rPr>
        <w:t>.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.] </w:t>
      </w:r>
      <w:r>
        <w:rPr>
          <w:rtl w:val="true"/>
        </w:rPr>
        <w:t>הרכיב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מיכאל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קטנוע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מצויידים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וגרזן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מיכאל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מיכאל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מיכאל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עצרו</w:t>
      </w:r>
      <w:r>
        <w:rPr>
          <w:rtl w:val="true"/>
        </w:rPr>
        <w:t xml:space="preserve">, </w:t>
      </w:r>
      <w:r>
        <w:rPr>
          <w:rtl w:val="true"/>
        </w:rPr>
        <w:t>התקרבו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ומיכאל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קובי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</w:t>
      </w:r>
      <w:r>
        <w:rPr>
          <w:rtl w:val="true"/>
        </w:rPr>
        <w:t xml:space="preserve">, </w:t>
      </w:r>
      <w:r>
        <w:rPr>
          <w:rtl w:val="true"/>
        </w:rPr>
        <w:t>התיז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מדמיע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אקדחו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קובי</w:t>
      </w:r>
      <w:r>
        <w:rPr>
          <w:rtl w:val="true"/>
        </w:rPr>
        <w:t xml:space="preserve">, </w:t>
      </w:r>
      <w:r>
        <w:rPr>
          <w:rtl w:val="true"/>
        </w:rPr>
        <w:t>שישב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  <w:r>
        <w:rPr>
          <w:rtl w:val="true"/>
        </w:rPr>
        <w:t xml:space="preserve"> [...]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בכוונה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; 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.).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רקע ממצאים ומסקנות כאמור ובהתבסס על הפסיקה שסקר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המחוזי כי מתחם העונש שראוי להשית על המערער עומד על </w:t>
      </w:r>
      <w:r>
        <w:rPr/>
        <w:t>15-10</w:t>
      </w:r>
      <w:r>
        <w:rPr>
          <w:rtl w:val="true"/>
        </w:rPr>
        <w:t xml:space="preserve"> </w:t>
      </w:r>
      <w:r>
        <w:rPr>
          <w:rtl w:val="true"/>
        </w:rPr>
        <w:t>שנות מאסר מאחורי סורג ובריח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באשר לנסיבות שאינן קשורות לביצוע העבירה </w:t>
      </w:r>
      <w:r>
        <w:rPr>
          <w:rtl w:val="true"/>
        </w:rPr>
        <w:t>–</w:t>
      </w:r>
      <w:r>
        <w:rPr>
          <w:rtl w:val="true"/>
        </w:rPr>
        <w:t xml:space="preserve"> נקבע כי מרביתן עומדות לזכות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שכן </w:t>
      </w:r>
      <w:r>
        <w:rPr>
          <w:rtl w:val="true"/>
        </w:rPr>
        <w:t>"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בצעיר</w:t>
      </w:r>
      <w:r>
        <w:rPr>
          <w:rtl w:val="true"/>
        </w:rPr>
        <w:t xml:space="preserve"> </w:t>
      </w:r>
      <w:r>
        <w:rPr>
          <w:rtl w:val="true"/>
        </w:rPr>
        <w:t>כבן</w:t>
      </w:r>
      <w:r>
        <w:rPr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 </w:t>
      </w:r>
      <w:r>
        <w:rPr>
          <w:rtl w:val="true"/>
        </w:rPr>
        <w:t>שתפקודו</w:t>
      </w:r>
      <w:r>
        <w:rPr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 </w:t>
      </w:r>
      <w:r>
        <w:rPr>
          <w:rtl w:val="true"/>
        </w:rPr>
        <w:t>עובר</w:t>
      </w:r>
      <w:r>
        <w:rPr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שירת</w:t>
      </w:r>
      <w:r>
        <w:rPr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 </w:t>
      </w:r>
      <w:r>
        <w:rPr>
          <w:rtl w:val="true"/>
        </w:rPr>
        <w:t>כמפקד</w:t>
      </w:r>
      <w:r>
        <w:rPr>
          <w:rtl w:val="true"/>
        </w:rPr>
        <w:t xml:space="preserve"> </w:t>
      </w:r>
      <w:r>
        <w:rPr>
          <w:rtl w:val="true"/>
        </w:rPr>
        <w:t>וכלוחם</w:t>
      </w:r>
      <w:r>
        <w:rPr>
          <w:rtl w:val="true"/>
        </w:rPr>
        <w:t xml:space="preserve"> </w:t>
      </w:r>
      <w:r>
        <w:rPr>
          <w:rtl w:val="true"/>
        </w:rPr>
        <w:t>ועם</w:t>
      </w:r>
      <w:r>
        <w:rPr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 </w:t>
      </w:r>
      <w:r>
        <w:rPr>
          <w:rtl w:val="true"/>
        </w:rPr>
        <w:t>כמאבטח</w:t>
      </w:r>
      <w:r>
        <w:rPr>
          <w:rtl w:val="true"/>
        </w:rPr>
        <w:t xml:space="preserve"> </w:t>
      </w:r>
      <w:r>
        <w:rPr>
          <w:rtl w:val="true"/>
        </w:rPr>
        <w:t>ברכבת</w:t>
      </w:r>
      <w:r>
        <w:rPr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 xml:space="preserve">כמו כן הפנה בית המשפט המחוזי </w:t>
      </w:r>
      <w:r>
        <w:rPr>
          <w:rtl w:val="true"/>
        </w:rPr>
        <w:t>לרקע</w:t>
      </w:r>
      <w:r>
        <w:rPr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 </w:t>
      </w:r>
      <w:r>
        <w:rPr>
          <w:rtl w:val="true"/>
        </w:rPr>
        <w:t>והאישי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 ועל הקשיים שהלה חווה ועמם התמודד</w:t>
      </w:r>
      <w:r>
        <w:rPr>
          <w:rtl w:val="true"/>
        </w:rPr>
        <w:t xml:space="preserve">, </w:t>
      </w:r>
      <w:r>
        <w:rPr>
          <w:rtl w:val="true"/>
        </w:rPr>
        <w:t xml:space="preserve">ואף זקף לזכות המערער </w:t>
      </w:r>
      <w:r>
        <w:rPr>
          <w:rtl w:val="true"/>
        </w:rPr>
        <w:t>"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נטילת</w:t>
      </w:r>
      <w:r>
        <w:rPr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 </w:t>
      </w:r>
      <w:r>
        <w:rPr>
          <w:rtl w:val="true"/>
        </w:rPr>
        <w:t>המיידית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 </w:t>
      </w:r>
      <w:r>
        <w:rPr>
          <w:rtl w:val="true"/>
        </w:rPr>
        <w:t>בדיווחו</w:t>
      </w:r>
      <w:r>
        <w:rPr>
          <w:rtl w:val="true"/>
        </w:rPr>
        <w:t xml:space="preserve"> </w:t>
      </w:r>
      <w:r>
        <w:rPr>
          <w:rtl w:val="true"/>
        </w:rPr>
        <w:t>למוקד</w:t>
      </w:r>
      <w:r>
        <w:rPr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ובפני</w:t>
      </w:r>
      <w:r>
        <w:rPr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 </w:t>
      </w:r>
      <w:r>
        <w:rPr>
          <w:rtl w:val="true"/>
        </w:rPr>
        <w:t>..."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לגזר הדין קמא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התייחס בגזר דינו גם לטענת המערער לפיה מן הדין להקל בעונשו בשל כך שמיכאל כלל לא הועמד לדין</w:t>
      </w:r>
      <w:r>
        <w:rPr>
          <w:rtl w:val="true"/>
        </w:rPr>
        <w:t xml:space="preserve">. </w:t>
      </w:r>
      <w:r>
        <w:rPr>
          <w:rtl w:val="true"/>
        </w:rPr>
        <w:t xml:space="preserve">בעניינה של טענה זו נקבע כי </w:t>
      </w:r>
      <w:r>
        <w:rPr>
          <w:rtl w:val="true"/>
        </w:rPr>
        <w:t>"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בטענה</w:t>
      </w:r>
      <w:r>
        <w:rPr>
          <w:rtl w:val="true"/>
        </w:rPr>
        <w:t xml:space="preserve"> </w:t>
      </w:r>
      <w:r>
        <w:rPr>
          <w:rtl w:val="true"/>
        </w:rPr>
        <w:t>תמוהה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הטוב</w:t>
      </w:r>
      <w:r>
        <w:rPr>
          <w:rtl w:val="true"/>
        </w:rPr>
        <w:t xml:space="preserve"> </w:t>
      </w:r>
      <w:r>
        <w:rPr>
          <w:rtl w:val="true"/>
        </w:rPr>
        <w:t>ואף</w:t>
      </w:r>
      <w:r>
        <w:rPr>
          <w:rtl w:val="true"/>
        </w:rPr>
        <w:t xml:space="preserve"> </w:t>
      </w:r>
      <w:r>
        <w:rPr>
          <w:rtl w:val="true"/>
        </w:rPr>
        <w:t>חסרת</w:t>
      </w:r>
      <w:r>
        <w:rPr>
          <w:rtl w:val="true"/>
        </w:rPr>
        <w:t xml:space="preserve"> </w:t>
      </w:r>
      <w:r>
        <w:rPr>
          <w:rtl w:val="true"/>
        </w:rPr>
        <w:t>תום</w:t>
      </w:r>
      <w:r>
        <w:rPr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 </w:t>
      </w:r>
      <w:r>
        <w:rPr>
          <w:rtl w:val="true"/>
        </w:rPr>
        <w:t>שיכול</w:t>
      </w:r>
      <w:r>
        <w:rPr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מיכאל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בחר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למסור</w:t>
      </w:r>
      <w:r>
        <w:rPr>
          <w:rtl w:val="true"/>
        </w:rPr>
        <w:t xml:space="preserve"> </w:t>
      </w:r>
      <w:r>
        <w:rPr>
          <w:rtl w:val="true"/>
        </w:rPr>
        <w:t>אודות</w:t>
      </w:r>
      <w:r>
        <w:rPr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מיכאל</w:t>
      </w:r>
      <w:r>
        <w:rPr>
          <w:rtl w:val="true"/>
        </w:rPr>
        <w:t xml:space="preserve">, </w:t>
      </w:r>
      <w:r>
        <w:rPr>
          <w:rtl w:val="true"/>
        </w:rPr>
        <w:t>וכיום</w:t>
      </w:r>
      <w:r>
        <w:rPr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 </w:t>
      </w:r>
      <w:r>
        <w:rPr>
          <w:rtl w:val="true"/>
        </w:rPr>
        <w:t>להקל</w:t>
      </w:r>
      <w:r>
        <w:rPr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 </w:t>
      </w:r>
      <w:r>
        <w:rPr>
          <w:rtl w:val="true"/>
        </w:rPr>
        <w:t>משום</w:t>
      </w:r>
      <w:r>
        <w:rPr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 xml:space="preserve"> </w:t>
      </w:r>
      <w:r>
        <w:rPr>
          <w:rtl w:val="true"/>
        </w:rPr>
        <w:t>העמדתו</w:t>
      </w:r>
      <w:r>
        <w:rPr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מיכאל</w:t>
      </w:r>
      <w:r>
        <w:rPr>
          <w:rtl w:val="true"/>
        </w:rPr>
        <w:t>. [...]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 </w:t>
      </w:r>
      <w:r>
        <w:rPr>
          <w:rtl w:val="true"/>
        </w:rPr>
        <w:t>ובהמשך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נסתרה</w:t>
      </w:r>
      <w:r>
        <w:rPr>
          <w:rtl w:val="true"/>
        </w:rPr>
        <w:t xml:space="preserve"> </w:t>
      </w:r>
      <w:r>
        <w:rPr>
          <w:rtl w:val="true"/>
        </w:rPr>
        <w:t>טענת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 </w:t>
      </w:r>
      <w:r>
        <w:rPr>
          <w:rtl w:val="true"/>
        </w:rPr>
        <w:t>שרק</w:t>
      </w:r>
      <w:r>
        <w:rPr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 </w:t>
      </w:r>
      <w:r>
        <w:rPr>
          <w:rtl w:val="true"/>
        </w:rPr>
        <w:t>הובילו</w:t>
      </w:r>
      <w:r>
        <w:rPr>
          <w:rtl w:val="true"/>
        </w:rPr>
        <w:t xml:space="preserve"> </w:t>
      </w:r>
      <w:r>
        <w:rPr>
          <w:rtl w:val="true"/>
        </w:rPr>
        <w:t>לאי</w:t>
      </w:r>
      <w:r>
        <w:rPr>
          <w:rtl w:val="true"/>
        </w:rPr>
        <w:t xml:space="preserve"> </w:t>
      </w:r>
      <w:r>
        <w:rPr>
          <w:rtl w:val="true"/>
        </w:rPr>
        <w:t>העמדתו</w:t>
      </w:r>
      <w:r>
        <w:rPr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מיכאל</w:t>
      </w:r>
      <w:r>
        <w:rPr>
          <w:rtl w:val="true"/>
        </w:rPr>
        <w:t>.</w:t>
      </w:r>
      <w:r>
        <w:rPr>
          <w:rtl w:val="true"/>
        </w:rPr>
        <w:t>" (</w:t>
      </w:r>
      <w:r>
        <w:rPr>
          <w:rtl w:val="true"/>
        </w:rPr>
        <w:t>ראו שם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בהתבסס על מכלול הנתונים והשיקולים</w:t>
      </w:r>
      <w:r>
        <w:rPr>
          <w:rtl w:val="true"/>
        </w:rPr>
        <w:t xml:space="preserve">, </w:t>
      </w:r>
      <w:r>
        <w:rPr>
          <w:rtl w:val="true"/>
        </w:rPr>
        <w:t xml:space="preserve">גזר בית המשפט המחוזי על המערער מאסר לריצוי בפועל במשך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לצד העונשים הנלווים אשר כוללים מאסר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 xml:space="preserve">תנאי וחיוב לשלם לנפגעי העבירה פיצוי בסך של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ההדדיים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המדינה סבורה כי בית המשפט המחוזי הקל עם המערער באופן שחורג במידה ניכרת ממדיניות הענישה אשר נהוגה ביחס לעבירה של גרימת חבלה בכוונה מחמירה אשר מתבצעת בנסיבות כגון אלה שלפנינו</w:t>
      </w:r>
      <w:r>
        <w:rPr>
          <w:rtl w:val="true"/>
        </w:rPr>
        <w:t xml:space="preserve">. </w:t>
      </w:r>
      <w:r>
        <w:rPr>
          <w:rtl w:val="true"/>
        </w:rPr>
        <w:t>המדינה מפנה אותנו לתוצאות העבירה שבוצעה על ידי המערער</w:t>
      </w:r>
      <w:r>
        <w:rPr>
          <w:rtl w:val="true"/>
        </w:rPr>
        <w:t xml:space="preserve">: </w:t>
      </w:r>
      <w:r>
        <w:rPr>
          <w:rtl w:val="true"/>
        </w:rPr>
        <w:t>הפגיעה האנושה בקובי</w:t>
      </w:r>
      <w:r>
        <w:rPr>
          <w:rtl w:val="true"/>
        </w:rPr>
        <w:t xml:space="preserve">, </w:t>
      </w:r>
      <w:r>
        <w:rPr>
          <w:rtl w:val="true"/>
        </w:rPr>
        <w:t>קורבנה הישיר של העבירה</w:t>
      </w:r>
      <w:r>
        <w:rPr>
          <w:rtl w:val="true"/>
        </w:rPr>
        <w:t xml:space="preserve">, </w:t>
      </w:r>
      <w:r>
        <w:rPr>
          <w:rtl w:val="true"/>
        </w:rPr>
        <w:t>שהפך לצמח</w:t>
      </w:r>
      <w:r>
        <w:rPr>
          <w:rtl w:val="true"/>
        </w:rPr>
        <w:t xml:space="preserve">, </w:t>
      </w:r>
      <w:r>
        <w:rPr>
          <w:rtl w:val="true"/>
        </w:rPr>
        <w:t>והרס חייהם של ארוסתו ומשפחתו של קובי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סבור אחרת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כוחו של המערער</w:t>
      </w:r>
      <w:r>
        <w:rPr>
          <w:rtl w:val="true"/>
        </w:rPr>
        <w:t xml:space="preserve">, </w:t>
      </w:r>
      <w:r>
        <w:rPr>
          <w:rtl w:val="true"/>
        </w:rPr>
        <w:t>שטענה לטובתו את כל אשר ניתן לטעון</w:t>
      </w:r>
      <w:r>
        <w:rPr>
          <w:rtl w:val="true"/>
        </w:rPr>
        <w:t xml:space="preserve">, </w:t>
      </w:r>
      <w:r>
        <w:rPr>
          <w:rtl w:val="true"/>
        </w:rPr>
        <w:t>ביקשה לשכנענו כי מדובר באירוע טרגי שהיה תולדה של ירי ספונטאני אשר בא בתגובה להתזת גז מדמיע במערער</w:t>
      </w:r>
      <w:r>
        <w:rPr>
          <w:rtl w:val="true"/>
        </w:rPr>
        <w:t xml:space="preserve">. </w:t>
      </w:r>
      <w:r>
        <w:rPr>
          <w:rtl w:val="true"/>
        </w:rPr>
        <w:t>כמו כן חזרה באת</w:t>
      </w:r>
      <w:r>
        <w:rPr>
          <w:rtl w:val="true"/>
        </w:rPr>
        <w:t>-</w:t>
      </w:r>
      <w:r>
        <w:rPr>
          <w:rtl w:val="true"/>
        </w:rPr>
        <w:t>כוח המערער על טענתה בדבר אכיפה בררנית</w:t>
      </w:r>
      <w:r>
        <w:rPr>
          <w:rtl w:val="true"/>
        </w:rPr>
        <w:t xml:space="preserve">, </w:t>
      </w:r>
      <w:r>
        <w:rPr>
          <w:rtl w:val="true"/>
        </w:rPr>
        <w:t>אשר נוצרה בשל אי</w:t>
      </w:r>
      <w:r>
        <w:rPr>
          <w:rtl w:val="true"/>
        </w:rPr>
        <w:t>-</w:t>
      </w:r>
      <w:r>
        <w:rPr>
          <w:rtl w:val="true"/>
        </w:rPr>
        <w:t>מיצוי הדין עם מיכאל</w:t>
      </w:r>
      <w:r>
        <w:rPr>
          <w:rtl w:val="true"/>
        </w:rPr>
        <w:t xml:space="preserve">, </w:t>
      </w:r>
      <w:r>
        <w:rPr>
          <w:rtl w:val="true"/>
        </w:rPr>
        <w:t xml:space="preserve">והפנתה אותנו לנסיבותיו האישיות של המערער שבעטיין </w:t>
      </w:r>
      <w:r>
        <w:rPr>
          <w:rtl w:val="true"/>
        </w:rPr>
        <w:t>–</w:t>
      </w:r>
      <w:r>
        <w:rPr>
          <w:rtl w:val="true"/>
        </w:rPr>
        <w:t xml:space="preserve"> לדבריה </w:t>
      </w:r>
      <w:r>
        <w:rPr>
          <w:rtl w:val="true"/>
        </w:rPr>
        <w:t>–</w:t>
      </w:r>
      <w:r>
        <w:rPr>
          <w:rtl w:val="true"/>
        </w:rPr>
        <w:t xml:space="preserve"> מן הראוי להקל בעונשו ואין מקום להחמירו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הדין עם המדינה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סבורני כי בית המשפט המחוזי יצא מכלל הנחה שגויה בקביעתו של מתחם הענישה וקביעת עונש המאסר שראה להשית על המערער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העבירה שבה עסקינן </w:t>
      </w:r>
      <w:r>
        <w:rPr>
          <w:rtl w:val="true"/>
        </w:rPr>
        <w:t>–</w:t>
      </w:r>
      <w:r>
        <w:rPr>
          <w:rtl w:val="true"/>
        </w:rPr>
        <w:t xml:space="preserve"> גרימת חבלה בכוונה מחמירה </w:t>
      </w:r>
      <w:r>
        <w:rPr>
          <w:rtl w:val="true"/>
        </w:rPr>
        <w:t>–</w:t>
      </w:r>
      <w:r>
        <w:rPr>
          <w:rtl w:val="true"/>
        </w:rPr>
        <w:t xml:space="preserve"> גוררת אחריה עונש מירבי של עשרים שנות מאסר</w:t>
      </w:r>
      <w:r>
        <w:rPr>
          <w:rtl w:val="true"/>
        </w:rPr>
        <w:t xml:space="preserve">. </w:t>
      </w:r>
      <w:r>
        <w:rPr>
          <w:rtl w:val="true"/>
        </w:rPr>
        <w:t>כך קבע המחוקק ומילותיו אינן בגדר מילים ריקות</w:t>
      </w:r>
      <w:r>
        <w:rPr>
          <w:rtl w:val="true"/>
        </w:rPr>
        <w:t xml:space="preserve">. </w:t>
      </w:r>
      <w:r>
        <w:rPr>
          <w:rtl w:val="true"/>
        </w:rPr>
        <w:t>כפי שכבר הזדמן לי להעיר</w:t>
      </w:r>
      <w:r>
        <w:rPr>
          <w:rtl w:val="true"/>
        </w:rPr>
        <w:t xml:space="preserve">, </w:t>
      </w:r>
      <w:r>
        <w:rPr>
          <w:rtl w:val="true"/>
        </w:rPr>
        <w:t xml:space="preserve">עונש מירבי הקבוע בחוק </w:t>
      </w:r>
      <w:r>
        <w:rPr>
          <w:rtl w:val="true"/>
        </w:rPr>
        <w:t>"</w:t>
      </w:r>
      <w:r>
        <w:rPr>
          <w:rtl w:val="true"/>
        </w:rPr>
        <w:t>איננו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 xml:space="preserve"> </w:t>
      </w:r>
      <w:r>
        <w:rPr>
          <w:rtl w:val="true"/>
        </w:rPr>
        <w:t>לסמן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גבולה</w:t>
      </w:r>
      <w:r>
        <w:rPr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סמכות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הנתונה</w:t>
      </w:r>
      <w:r>
        <w:rPr>
          <w:rtl w:val="true"/>
        </w:rPr>
        <w:t xml:space="preserve"> </w:t>
      </w:r>
      <w:r>
        <w:rPr>
          <w:rtl w:val="true"/>
        </w:rPr>
        <w:t>בידי</w:t>
      </w:r>
      <w:r>
        <w:rPr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 xml:space="preserve"> </w:t>
      </w:r>
      <w:r>
        <w:rPr>
          <w:rtl w:val="true"/>
        </w:rPr>
        <w:t>הערכית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לחומרת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ועלינו</w:t>
      </w:r>
      <w:r>
        <w:rPr>
          <w:rtl w:val="true"/>
        </w:rPr>
        <w:t xml:space="preserve"> </w:t>
      </w:r>
      <w:r>
        <w:rPr>
          <w:rtl w:val="true"/>
        </w:rPr>
        <w:t>לקיים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דברו</w:t>
      </w:r>
      <w:r>
        <w:rPr>
          <w:rtl w:val="true"/>
        </w:rPr>
        <w:t xml:space="preserve">. </w:t>
      </w:r>
      <w:r>
        <w:rPr>
          <w:rtl w:val="true"/>
        </w:rPr>
        <w:t>בבואו</w:t>
      </w:r>
      <w:r>
        <w:rPr>
          <w:rtl w:val="true"/>
        </w:rPr>
        <w:t xml:space="preserve"> </w:t>
      </w:r>
      <w:r>
        <w:rPr>
          <w:rtl w:val="true"/>
        </w:rPr>
        <w:t>לגזור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בגדרו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סימן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'</w:t>
        </w:r>
        <w:r>
          <w:rPr>
            <w:rStyle w:val="Hyperlink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לצאת</w:t>
      </w:r>
      <w:r>
        <w:rPr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tl w:val="true"/>
        </w:rPr>
        <w:t xml:space="preserve"> </w:t>
      </w:r>
      <w:r>
        <w:rPr>
          <w:rtl w:val="true"/>
        </w:rPr>
        <w:t>הנחה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המירבי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 </w:t>
      </w:r>
      <w:r>
        <w:rPr>
          <w:rtl w:val="true"/>
        </w:rPr>
        <w:t>להטילו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בעלות</w:t>
      </w:r>
      <w:r>
        <w:rPr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מחצית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המירבי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מקלות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שעונשו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יוקל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3124/18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פלוני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 xml:space="preserve">והאסמכתאות שם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14.8.2019</w:t>
      </w:r>
      <w:r>
        <w:rPr>
          <w:rtl w:val="true"/>
        </w:rPr>
        <w:t xml:space="preserve">); 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20"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color w:val="0000FF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7"/>
            <w:szCs w:val="27"/>
            <w:u w:val="single"/>
          </w:rPr>
          <w:t>4344/18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גאבר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והאסמכתאות שם</w:t>
      </w:r>
      <w:r>
        <w:rPr>
          <w:color w:val="000000"/>
          <w:sz w:val="27"/>
          <w:sz w:val="27"/>
          <w:szCs w:val="27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sz w:val="27"/>
          <w:szCs w:val="27"/>
          <w:rtl w:val="true"/>
        </w:rPr>
        <w:t>(</w:t>
      </w:r>
      <w:r>
        <w:rPr>
          <w:color w:val="000000"/>
          <w:sz w:val="27"/>
          <w:szCs w:val="27"/>
        </w:rPr>
        <w:t>16.8.2019</w:t>
      </w:r>
      <w:r>
        <w:rPr>
          <w:color w:val="000000"/>
          <w:sz w:val="27"/>
          <w:szCs w:val="27"/>
          <w:rtl w:val="true"/>
        </w:rPr>
        <w:t>)</w:t>
      </w:r>
      <w:r>
        <w:rPr>
          <w:rtl w:val="true"/>
        </w:rPr>
        <w:t xml:space="preserve">; </w:t>
      </w:r>
      <w:hyperlink r:id="rId21"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color w:val="0000FF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7"/>
            <w:szCs w:val="27"/>
            <w:u w:val="single"/>
          </w:rPr>
          <w:t>147/21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ביטון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sz w:val="27"/>
          <w:szCs w:val="27"/>
          <w:rtl w:val="true"/>
        </w:rPr>
        <w:t>(</w:t>
      </w:r>
      <w:r>
        <w:rPr>
          <w:color w:val="000000"/>
          <w:sz w:val="27"/>
          <w:szCs w:val="27"/>
        </w:rPr>
        <w:t>14.2.2021</w:t>
      </w:r>
      <w:r>
        <w:rPr>
          <w:color w:val="000000"/>
          <w:sz w:val="27"/>
          <w:szCs w:val="27"/>
          <w:rtl w:val="true"/>
        </w:rPr>
        <w:t>)</w:t>
      </w:r>
      <w:r>
        <w:rPr>
          <w:rtl w:val="true"/>
        </w:rPr>
        <w:t xml:space="preserve">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3223/21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שפק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2.3.2022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אין חולק כי העבירה שבה עסקינן בוצעה בנסיבות חמורות ביותר</w:t>
      </w:r>
      <w:r>
        <w:rPr>
          <w:rtl w:val="true"/>
        </w:rPr>
        <w:t xml:space="preserve">, </w:t>
      </w:r>
      <w:r>
        <w:rPr>
          <w:rtl w:val="true"/>
        </w:rPr>
        <w:t>ותוצאותיה היו הרסניות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עונש המאסר שהושת על המערער לריצוי בפועל צריך להיות קרוב לעונש המרבי של עשרים שנות מאסר</w:t>
      </w:r>
      <w:r>
        <w:rPr>
          <w:rtl w:val="true"/>
        </w:rPr>
        <w:t xml:space="preserve">. </w:t>
      </w:r>
      <w:r>
        <w:rPr>
          <w:rtl w:val="true"/>
        </w:rPr>
        <w:t xml:space="preserve">מתחם הענישה שבין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לו טענה המדינה בפני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בתארה את הפרשה </w:t>
      </w:r>
      <w:r>
        <w:rPr>
          <w:rtl w:val="true"/>
        </w:rPr>
        <w:t>–</w:t>
      </w:r>
      <w:r>
        <w:rPr>
          <w:rtl w:val="true"/>
        </w:rPr>
        <w:t xml:space="preserve"> בצדק רב </w:t>
      </w:r>
      <w:r>
        <w:rPr>
          <w:rtl w:val="true"/>
        </w:rPr>
        <w:t>–</w:t>
      </w:r>
      <w:r>
        <w:rPr>
          <w:rtl w:val="true"/>
        </w:rPr>
        <w:t xml:space="preserve"> כ</w:t>
      </w:r>
      <w:r>
        <w:rPr>
          <w:rtl w:val="true"/>
        </w:rPr>
        <w:t>"</w:t>
      </w:r>
      <w:r>
        <w:rPr>
          <w:rtl w:val="true"/>
        </w:rPr>
        <w:t>מקרה קיצון</w:t>
      </w:r>
      <w:r>
        <w:rPr>
          <w:rtl w:val="true"/>
        </w:rPr>
        <w:t xml:space="preserve">", </w:t>
      </w:r>
      <w:r>
        <w:rPr>
          <w:rtl w:val="true"/>
        </w:rPr>
        <w:t>הוא המתחם הנכון</w:t>
      </w:r>
      <w:r>
        <w:rPr>
          <w:rtl w:val="true"/>
        </w:rPr>
        <w:t xml:space="preserve">. </w:t>
      </w:r>
      <w:r>
        <w:rPr>
          <w:rtl w:val="true"/>
        </w:rPr>
        <w:t>למתחם זה אמנם לא נמצאה אסמכתא בדמותו של פסק דין של בית המשפט העליון</w:t>
      </w:r>
      <w:r>
        <w:rPr>
          <w:rtl w:val="true"/>
        </w:rPr>
        <w:t xml:space="preserve">, </w:t>
      </w:r>
      <w:r>
        <w:rPr>
          <w:rtl w:val="true"/>
        </w:rPr>
        <w:t>אך לכך היה הסבר פשוט</w:t>
      </w:r>
      <w:r>
        <w:rPr>
          <w:rtl w:val="true"/>
        </w:rPr>
        <w:t xml:space="preserve">, </w:t>
      </w:r>
      <w:r>
        <w:rPr>
          <w:rtl w:val="true"/>
        </w:rPr>
        <w:t>שאף הוא סופק על ידי המדינה</w:t>
      </w:r>
      <w:r>
        <w:rPr>
          <w:rtl w:val="true"/>
        </w:rPr>
        <w:t xml:space="preserve">: </w:t>
      </w:r>
      <w:r>
        <w:rPr>
          <w:rtl w:val="true"/>
        </w:rPr>
        <w:t xml:space="preserve">המקרים בהם מוגש נגד נאשם כתב אישום המייחס לו גרימת חבלה בכוונה מחמירה </w:t>
      </w:r>
      <w:r>
        <w:rPr>
          <w:rtl w:val="true"/>
        </w:rPr>
        <w:t>–</w:t>
      </w:r>
      <w:r>
        <w:rPr>
          <w:rtl w:val="true"/>
        </w:rPr>
        <w:t xml:space="preserve"> רובם ככולם </w:t>
      </w:r>
      <w:r>
        <w:rPr>
          <w:rtl w:val="true"/>
        </w:rPr>
        <w:t>–</w:t>
      </w:r>
      <w:r>
        <w:rPr>
          <w:rtl w:val="true"/>
        </w:rPr>
        <w:t xml:space="preserve"> חומרתם נופלת בהרבה מחומרת מעשהו של המערער</w:t>
      </w:r>
      <w:r>
        <w:rPr>
          <w:rtl w:val="true"/>
        </w:rPr>
        <w:t xml:space="preserve">. </w:t>
      </w:r>
      <w:r>
        <w:rPr>
          <w:rtl w:val="true"/>
        </w:rPr>
        <w:t>כפי שכבר צויין על ידי</w:t>
      </w:r>
      <w:r>
        <w:rPr>
          <w:rtl w:val="true"/>
        </w:rPr>
        <w:t xml:space="preserve">, </w:t>
      </w:r>
      <w:r>
        <w:rPr>
          <w:rtl w:val="true"/>
        </w:rPr>
        <w:t>מדובר במעשה לא פחות ממזעזע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tl w:val="true"/>
        </w:rPr>
        <w:t>-</w:t>
      </w:r>
      <w:r>
        <w:rPr>
          <w:rtl w:val="true"/>
        </w:rPr>
        <w:t>כולו זלזול בוטה בחיי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לזאת אוסיף</w:t>
      </w:r>
      <w:r>
        <w:rPr>
          <w:rtl w:val="true"/>
        </w:rPr>
        <w:t xml:space="preserve">, </w:t>
      </w:r>
      <w:r>
        <w:rPr>
          <w:rtl w:val="true"/>
        </w:rPr>
        <w:t xml:space="preserve">כי הטלת עונש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 מאסר בגין גרימת חבלה בכוונה מחמירה איננו חסר תקדים</w:t>
      </w:r>
      <w:r>
        <w:rPr>
          <w:rtl w:val="true"/>
        </w:rPr>
        <w:t xml:space="preserve">. </w:t>
      </w:r>
      <w:r>
        <w:rPr>
          <w:rtl w:val="true"/>
        </w:rPr>
        <w:t>לעונש זה יש תקדים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4401/13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Style w:val="1"/>
          <w:rFonts w:ascii="Times New Roman" w:hAnsi="Times New Roman" w:cs="Times New Roman"/>
          <w:rtl w:val="true"/>
        </w:rPr>
        <w:t xml:space="preserve">    </w:t>
      </w:r>
      <w:r>
        <w:rPr>
          <w:rStyle w:val="1"/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Style w:val="1"/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Style w:val="1"/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1"/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Style w:val="1"/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Style w:val="1"/>
          <w:rFonts w:cs="Times New Roman" w:ascii="Times New Roman" w:hAnsi="Times New Roman"/>
          <w:rtl w:val="true"/>
        </w:rPr>
        <w:t>(‏</w:t>
      </w:r>
      <w:r>
        <w:rPr>
          <w:rStyle w:val="1"/>
          <w:rFonts w:cs="Times New Roman" w:ascii="Times New Roman" w:hAnsi="Times New Roman"/>
        </w:rPr>
        <w:t>9.12.2015</w:t>
      </w:r>
      <w:r>
        <w:rPr>
          <w:rStyle w:val="1"/>
          <w:rFonts w:cs="Times New Roman" w:ascii="Times New Roman" w:hAnsi="Times New Roman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פסק הדין שניתן בעקבות פסק דינו של בית המשפט המחוזי תל אביב</w:t>
      </w:r>
      <w:r>
        <w:rPr>
          <w:rtl w:val="true"/>
        </w:rPr>
        <w:t>-</w:t>
      </w:r>
      <w:r>
        <w:rPr>
          <w:rtl w:val="true"/>
        </w:rPr>
        <w:t xml:space="preserve">יפו </w:t>
      </w:r>
      <w:r>
        <w:rPr>
          <w:rtl w:val="true"/>
        </w:rPr>
        <w:t>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דותן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שוחט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אבניאלי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tl w:val="true"/>
        </w:rPr>
        <w:t xml:space="preserve">אשר נסוב על מקרה חמור מאד של דקירת אישה צעירה </w:t>
      </w:r>
      <w:r>
        <w:rPr>
          <w:rtl w:val="true"/>
        </w:rPr>
        <w:t>בפניה</w:t>
      </w:r>
      <w:r>
        <w:rPr>
          <w:rtl w:val="true"/>
        </w:rPr>
        <w:t xml:space="preserve">, </w:t>
      </w:r>
      <w:r>
        <w:rPr>
          <w:rtl w:val="true"/>
        </w:rPr>
        <w:t>בבטנה</w:t>
      </w:r>
      <w:r>
        <w:rPr>
          <w:rtl w:val="true"/>
        </w:rPr>
        <w:t xml:space="preserve"> </w:t>
      </w:r>
      <w:r>
        <w:rPr>
          <w:rtl w:val="true"/>
        </w:rPr>
        <w:t>ובגבה</w:t>
      </w:r>
      <w:r>
        <w:rPr>
          <w:rtl w:val="true"/>
        </w:rPr>
        <w:t xml:space="preserve"> אגב מעשה שוד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תקדים זה הוא הנכון ועלינו לפסק על</w:t>
      </w:r>
      <w:r>
        <w:rPr>
          <w:rtl w:val="true"/>
        </w:rPr>
        <w:t>-</w:t>
      </w:r>
      <w:r>
        <w:rPr>
          <w:rtl w:val="true"/>
        </w:rPr>
        <w:t>פיו</w:t>
      </w:r>
      <w:r>
        <w:rPr>
          <w:rtl w:val="true"/>
        </w:rPr>
        <w:t xml:space="preserve">. </w:t>
      </w:r>
      <w:r>
        <w:rPr>
          <w:rtl w:val="true"/>
        </w:rPr>
        <w:t>לא זו אף זו</w:t>
      </w:r>
      <w:r>
        <w:rPr>
          <w:rtl w:val="true"/>
        </w:rPr>
        <w:t xml:space="preserve">: </w:t>
      </w:r>
      <w:r>
        <w:rPr>
          <w:rtl w:val="true"/>
        </w:rPr>
        <w:t xml:space="preserve">בתי המשפט שלנו ידעו להטיל גם את העונש המרבי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בגין גרימת חבלה בכוונה מחמירה</w:t>
      </w:r>
      <w:r>
        <w:rPr>
          <w:rtl w:val="true"/>
        </w:rPr>
        <w:t xml:space="preserve">, </w:t>
      </w:r>
      <w:r>
        <w:rPr>
          <w:rtl w:val="true"/>
        </w:rPr>
        <w:t xml:space="preserve">אולם הדבר נעשה במקרה שנסיבותיו מזעזעות אף יותר מאלו שלפנינו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10049/08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23.8.2012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מטעמים אלה</w:t>
      </w:r>
      <w:r>
        <w:rPr>
          <w:rtl w:val="true"/>
        </w:rPr>
        <w:t xml:space="preserve">, </w:t>
      </w:r>
      <w:r>
        <w:rPr>
          <w:rtl w:val="true"/>
        </w:rPr>
        <w:t xml:space="preserve">מן הדין היה לגזור את עונשו של המערער במסגרת המתחם של </w:t>
      </w:r>
      <w:r>
        <w:rPr/>
        <w:t>16-20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לו טענה המדינה</w:t>
      </w:r>
      <w:r>
        <w:rPr>
          <w:rtl w:val="true"/>
        </w:rPr>
        <w:t xml:space="preserve">. </w:t>
      </w:r>
      <w:r>
        <w:rPr>
          <w:rtl w:val="true"/>
        </w:rPr>
        <w:t>נסיבותיו האישיות של המערער מושכות את העונש שראוי להטיל עליו</w:t>
      </w:r>
      <w:r>
        <w:rPr>
          <w:rtl w:val="true"/>
        </w:rPr>
        <w:t xml:space="preserve">, </w:t>
      </w:r>
      <w:r>
        <w:rPr>
          <w:rtl w:val="true"/>
        </w:rPr>
        <w:t>בסופו של יום</w:t>
      </w:r>
      <w:r>
        <w:rPr>
          <w:rtl w:val="true"/>
        </w:rPr>
        <w:t xml:space="preserve">, </w:t>
      </w:r>
      <w:r>
        <w:rPr>
          <w:rtl w:val="true"/>
        </w:rPr>
        <w:t>כלפי מטה</w:t>
      </w:r>
      <w:r>
        <w:rPr>
          <w:rtl w:val="true"/>
        </w:rPr>
        <w:t xml:space="preserve">, </w:t>
      </w:r>
      <w:r>
        <w:rPr>
          <w:rtl w:val="true"/>
        </w:rPr>
        <w:t>אך זאת רק במעט</w:t>
      </w:r>
      <w:r>
        <w:rPr>
          <w:rtl w:val="true"/>
        </w:rPr>
        <w:t xml:space="preserve">, </w:t>
      </w:r>
      <w:r>
        <w:rPr>
          <w:rtl w:val="true"/>
        </w:rPr>
        <w:t>אם בכלל</w:t>
      </w:r>
      <w:r>
        <w:rPr>
          <w:rtl w:val="true"/>
        </w:rPr>
        <w:t xml:space="preserve">. </w:t>
      </w:r>
      <w:r>
        <w:rPr>
          <w:rtl w:val="true"/>
        </w:rPr>
        <w:t xml:space="preserve">ברי הוא אפוא כי העונש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 אשר הושת על המערער מקל עמו במידה בלתי סבירה בעליל ואינו נאמן לדברו של המחוקק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ענישה מקלה מעין זו גם אינה נותנת ביטוי ראוי לערכם המוסרי של נפגעי העבירה </w:t>
      </w:r>
      <w:r>
        <w:rPr>
          <w:rtl w:val="true"/>
        </w:rPr>
        <w:t>–</w:t>
      </w:r>
      <w:r>
        <w:rPr>
          <w:rtl w:val="true"/>
        </w:rPr>
        <w:t xml:space="preserve"> הקורבן הישיר</w:t>
      </w:r>
      <w:r>
        <w:rPr>
          <w:rtl w:val="true"/>
        </w:rPr>
        <w:t xml:space="preserve">, </w:t>
      </w:r>
      <w:r>
        <w:rPr>
          <w:rtl w:val="true"/>
        </w:rPr>
        <w:t>קובי</w:t>
      </w:r>
      <w:r>
        <w:rPr>
          <w:rtl w:val="true"/>
        </w:rPr>
        <w:t xml:space="preserve">, </w:t>
      </w:r>
      <w:r>
        <w:rPr>
          <w:rtl w:val="true"/>
        </w:rPr>
        <w:t xml:space="preserve">והנפגעים העקיפים </w:t>
      </w:r>
      <w:r>
        <w:rPr>
          <w:rtl w:val="true"/>
        </w:rPr>
        <w:t>–</w:t>
      </w:r>
      <w:r>
        <w:rPr>
          <w:rtl w:val="true"/>
        </w:rPr>
        <w:t xml:space="preserve"> שאותו חובה עלינו לשקם באמצעות ענישה הולמת</w:t>
      </w:r>
      <w:r>
        <w:rPr>
          <w:rtl w:val="true"/>
        </w:rPr>
        <w:t xml:space="preserve">. </w:t>
      </w:r>
      <w:r>
        <w:rPr>
          <w:rtl w:val="true"/>
        </w:rPr>
        <w:t xml:space="preserve">פשיטא הוא כי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 אינן שקולות כנגד הריסת חיים שלמים של אדם על ידי ירי מכוון בראשו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בהקשר זה הדגשתי כי </w:t>
      </w:r>
      <w:r>
        <w:rPr>
          <w:rtl w:val="true"/>
        </w:rPr>
        <w:t>–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מעמיד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עבריין</w:t>
      </w:r>
      <w:r>
        <w:rPr>
          <w:rtl w:val="true"/>
        </w:rPr>
        <w:t xml:space="preserve">].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Fonts w:cs="Times New Roman" w:ascii="Times New Roman" w:hAnsi="Times New Roman"/>
          <w:sz w:val="24"/>
          <w:szCs w:val="24"/>
        </w:rPr>
        <w:t>lex talionis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כאדם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הפחיתו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פוגעני</w:t>
      </w:r>
      <w:r>
        <w:rPr>
          <w:rtl w:val="true"/>
        </w:rPr>
        <w:t xml:space="preserve">.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לקורבנו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 w:ascii="Times New Roman" w:hAnsi="Times New Roman"/>
          <w:sz w:val="24"/>
          <w:szCs w:val="24"/>
        </w:rPr>
        <w:t xml:space="preserve">Jean Hampton, </w:t>
      </w:r>
      <w:r>
        <w:rPr>
          <w:rFonts w:cs="Times New Roman" w:ascii="Times New Roman" w:hAnsi="Times New Roman"/>
          <w:i/>
          <w:iCs/>
          <w:sz w:val="24"/>
          <w:szCs w:val="24"/>
        </w:rPr>
        <w:t>The Retributive Idea</w:t>
      </w:r>
      <w:r>
        <w:rPr>
          <w:rFonts w:cs="Times New Roman" w:ascii="Times New Roman" w:hAnsi="Times New Roman"/>
          <w:sz w:val="24"/>
          <w:szCs w:val="24"/>
        </w:rPr>
        <w:t>, in Jeffrie G. Murphy &amp; Jean Hampton, Forgiveness and Mercy 111, 131 (1988)</w:t>
      </w:r>
      <w:r>
        <w:rPr>
          <w:rtl w:val="true"/>
        </w:rPr>
        <w:t xml:space="preserve">. [...]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שסבלה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ובנפש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.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וסרק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זעקתה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זעקתנו</w:t>
      </w:r>
      <w:r>
        <w:rPr>
          <w:rtl w:val="true"/>
        </w:rPr>
        <w:t xml:space="preserve">."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20-19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11.11.2018</w:t>
      </w:r>
      <w:r>
        <w:rPr>
          <w:rtl w:val="true"/>
        </w:rPr>
        <w:t>)‏</w:t>
      </w:r>
      <w:r>
        <w:rPr>
          <w:rtl w:val="true"/>
        </w:rPr>
        <w:t xml:space="preserve">; 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662/20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</w:t>
      </w:r>
      <w:r>
        <w:rPr/>
        <w:t>.</w:t>
      </w:r>
      <w:r>
        <w:rPr/>
        <w:t>4</w:t>
      </w:r>
      <w:r>
        <w:rPr/>
        <w:t>.2021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לאי</w:t>
      </w:r>
      <w:r>
        <w:rPr>
          <w:rtl w:val="true"/>
        </w:rPr>
        <w:t>-</w:t>
      </w:r>
      <w:r>
        <w:rPr>
          <w:rtl w:val="true"/>
        </w:rPr>
        <w:t xml:space="preserve">מיצוי הדין עם מיכאל </w:t>
      </w:r>
      <w:r>
        <w:rPr>
          <w:rtl w:val="true"/>
        </w:rPr>
        <w:t>–</w:t>
      </w:r>
      <w:r>
        <w:rPr>
          <w:rtl w:val="true"/>
        </w:rPr>
        <w:t xml:space="preserve"> אודה כי עניין זה הטרידני לא מעט</w:t>
      </w:r>
      <w:r>
        <w:rPr>
          <w:rtl w:val="true"/>
        </w:rPr>
        <w:t xml:space="preserve">. </w:t>
      </w:r>
      <w:r>
        <w:rPr>
          <w:rtl w:val="true"/>
        </w:rPr>
        <w:t>המדינה הצדיקה את הדבר בשני אלו</w:t>
      </w:r>
      <w:r>
        <w:rPr>
          <w:rtl w:val="true"/>
        </w:rPr>
        <w:t>: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קשיים ראייתיים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אי שיתוף פעולה מצד המערער</w:t>
      </w:r>
      <w:r>
        <w:rPr>
          <w:rtl w:val="true"/>
        </w:rPr>
        <w:t xml:space="preserve">. </w:t>
      </w: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>הודאת המערער במשפטו שלו מסבכת את מיכאל</w:t>
      </w:r>
      <w:r>
        <w:rPr>
          <w:rtl w:val="true"/>
        </w:rPr>
        <w:t xml:space="preserve">, </w:t>
      </w:r>
      <w:r>
        <w:rPr>
          <w:rtl w:val="true"/>
        </w:rPr>
        <w:t>לכל הפחות</w:t>
      </w:r>
      <w:r>
        <w:rPr>
          <w:rtl w:val="true"/>
        </w:rPr>
        <w:t xml:space="preserve">, </w:t>
      </w:r>
      <w:r>
        <w:rPr>
          <w:rtl w:val="true"/>
        </w:rPr>
        <w:t>בניסיון לגרימת חבלה חמורה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שעונשה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הודאה זו תהא קבילה כראיה לאמיתות תוכנה נגד מיכאל</w:t>
      </w:r>
      <w:r>
        <w:rPr>
          <w:rtl w:val="true"/>
        </w:rPr>
        <w:t xml:space="preserve">, </w:t>
      </w:r>
      <w:r>
        <w:rPr>
          <w:rtl w:val="true"/>
        </w:rPr>
        <w:t xml:space="preserve">כאמור </w:t>
      </w:r>
      <w:hyperlink r:id="rId3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, </w:t>
      </w:r>
      <w:r>
        <w:rPr>
          <w:rtl w:val="true"/>
        </w:rPr>
        <w:t xml:space="preserve">גם אם המערער יובא להעיד נגדו וינצור את פיו או ימסור גרסה שאינה תואמת את הודאתו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2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4390/91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יחיא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מז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661</w:t>
      </w:r>
      <w:r>
        <w:rPr>
          <w:rtl w:val="true"/>
        </w:rPr>
        <w:t xml:space="preserve"> (</w:t>
      </w:r>
      <w:r>
        <w:rPr/>
        <w:t>1993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להודאה כאמור יש חיזוקים שונים אשר כוללים את פרטיה של זירת העבירה</w:t>
      </w:r>
      <w:r>
        <w:rPr>
          <w:rtl w:val="true"/>
        </w:rPr>
        <w:t xml:space="preserve">, </w:t>
      </w:r>
      <w:r>
        <w:rPr>
          <w:rtl w:val="true"/>
        </w:rPr>
        <w:t>ובכללם האלה</w:t>
      </w:r>
      <w:r>
        <w:rPr>
          <w:rtl w:val="true"/>
        </w:rPr>
        <w:t xml:space="preserve">, </w:t>
      </w:r>
      <w:r>
        <w:rPr>
          <w:rtl w:val="true"/>
        </w:rPr>
        <w:t>הגרזן והשמשה המנופצת של מכוניתו של קובי</w:t>
      </w:r>
      <w:r>
        <w:rPr>
          <w:rtl w:val="true"/>
        </w:rPr>
        <w:t xml:space="preserve">. </w:t>
      </w:r>
      <w:r>
        <w:rPr>
          <w:rtl w:val="true"/>
        </w:rPr>
        <w:t>מטעמים אלה</w:t>
      </w:r>
      <w:r>
        <w:rPr>
          <w:rtl w:val="true"/>
        </w:rPr>
        <w:t xml:space="preserve">, </w:t>
      </w:r>
      <w:r>
        <w:rPr>
          <w:rtl w:val="true"/>
        </w:rPr>
        <w:t>אינני בטוח אם הקשיים הראייתיים עליהם מצביעה המדינה מצדיקים את אי העמדתו של מיכאל לדין פלילי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לנוכח האמור</w:t>
      </w:r>
      <w:r>
        <w:rPr>
          <w:rtl w:val="true"/>
        </w:rPr>
        <w:t xml:space="preserve">, </w:t>
      </w:r>
      <w:r>
        <w:rPr>
          <w:rtl w:val="true"/>
        </w:rPr>
        <w:t xml:space="preserve">ובשים לב לנסיבותיו האישיות של המערער ולכלל לפיו אין זו דרכה של ערכאת הערעור למצות עם המערער את הדין במלוא חומרתו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309/22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ביאדסה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8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10.5.2022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7269/21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גבריל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7.4.2022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4316/13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25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30.10.2014</w:t>
      </w:r>
      <w:r>
        <w:rPr>
          <w:rtl w:val="true"/>
        </w:rPr>
        <w:t xml:space="preserve">) 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סבורני כי חלף העונש שהייתי מוצא לנכון להטיל על המערער</w:t>
      </w:r>
      <w:r>
        <w:rPr>
          <w:rtl w:val="true"/>
        </w:rPr>
        <w:t xml:space="preserve">, </w:t>
      </w:r>
      <w:r>
        <w:rPr>
          <w:rtl w:val="true"/>
        </w:rPr>
        <w:t>ללא  היסוס</w:t>
      </w:r>
      <w:r>
        <w:rPr>
          <w:rtl w:val="true"/>
        </w:rPr>
        <w:t xml:space="preserve">, </w:t>
      </w:r>
      <w:r>
        <w:rPr>
          <w:rtl w:val="true"/>
        </w:rPr>
        <w:t xml:space="preserve">אילו גזרתי את עונשו מבראשית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 מאסר לפחות</w:t>
      </w:r>
      <w:r>
        <w:rPr>
          <w:rtl w:val="true"/>
        </w:rPr>
        <w:t xml:space="preserve">, </w:t>
      </w:r>
      <w:r>
        <w:rPr>
          <w:rtl w:val="true"/>
        </w:rPr>
        <w:t xml:space="preserve">כפי שטוענת המדינה בערעורה </w:t>
      </w:r>
      <w:r>
        <w:rPr>
          <w:rtl w:val="true"/>
        </w:rPr>
        <w:t>–</w:t>
      </w:r>
      <w:r>
        <w:rPr>
          <w:rtl w:val="true"/>
        </w:rPr>
        <w:t xml:space="preserve"> עלינו להסתפק בהחמרת עונש מתונה יותר</w:t>
      </w:r>
      <w:r>
        <w:rPr>
          <w:rtl w:val="true"/>
        </w:rPr>
        <w:t xml:space="preserve">, </w:t>
      </w:r>
      <w:r>
        <w:rPr>
          <w:rtl w:val="true"/>
        </w:rPr>
        <w:t>אך עדיין מוחשית</w:t>
      </w:r>
      <w:r>
        <w:rPr>
          <w:rtl w:val="true"/>
        </w:rPr>
        <w:t xml:space="preserve">. </w:t>
      </w:r>
      <w:r>
        <w:rPr>
          <w:rtl w:val="true"/>
        </w:rPr>
        <w:t>מכלול השיקולים מביאני למסקנה כי עלינו להגדיל את עונש המאסר אשר הושת על המערער לריצוי בכלא בשלוש שנים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הנני מציע אפוא לחבריי כי נדחה את ערעורו של המערער</w:t>
      </w:r>
      <w:r>
        <w:rPr>
          <w:rtl w:val="true"/>
        </w:rPr>
        <w:t xml:space="preserve">, </w:t>
      </w:r>
      <w:r>
        <w:rPr>
          <w:rtl w:val="true"/>
        </w:rPr>
        <w:t>נקבל את ערעור המדינה</w:t>
      </w:r>
      <w:r>
        <w:rPr>
          <w:rtl w:val="true"/>
        </w:rPr>
        <w:t xml:space="preserve">, </w:t>
      </w:r>
      <w:r>
        <w:rPr>
          <w:rtl w:val="true"/>
        </w:rPr>
        <w:t xml:space="preserve">ונעמיד את מאסרו של המערער על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 לריצוי בפועל</w:t>
      </w:r>
      <w:r>
        <w:rPr>
          <w:rtl w:val="true"/>
        </w:rPr>
        <w:t xml:space="preserve">. </w:t>
      </w:r>
      <w:r>
        <w:rPr>
          <w:rtl w:val="true"/>
        </w:rPr>
        <w:t>שאר חלקי גזר הדין יישארו בעינם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שוחט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ובכללן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שנגרמה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מביצועה</w:t>
      </w:r>
      <w:r>
        <w:rPr>
          <w:rtl w:val="true"/>
        </w:rPr>
        <w:t xml:space="preserve">; </w:t>
      </w:r>
      <w:r>
        <w:rPr>
          <w:rtl w:val="true"/>
        </w:rPr>
        <w:t>הקלות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שנמצא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התזת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), </w:t>
      </w:r>
      <w:r>
        <w:rPr>
          <w:rtl w:val="true"/>
        </w:rPr>
        <w:t>מאפילות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20-16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הביאה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להשתת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9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19.5.2022</w:t>
      </w:r>
      <w:r>
        <w:rPr>
          <w:rtl w:val="true"/>
        </w:rPr>
        <w:t xml:space="preserve">). </w:t>
      </w:r>
      <w:bookmarkEnd w:id="19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  <w:tr>
        <w:trPr/>
        <w:tc>
          <w:tcPr>
            <w:tcW w:w="2789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22006870</w:t>
      </w:r>
      <w:r>
        <w:rPr>
          <w:sz w:val="16"/>
          <w:rtl w:val="true"/>
        </w:rPr>
        <w:t>_</w:t>
      </w:r>
      <w:r>
        <w:rPr>
          <w:sz w:val="16"/>
        </w:rPr>
        <w:t>F03.docx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6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54678313-687/22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687/22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יריב טלוי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1">
    <w:name w:val="חזק1"/>
    <w:qFormat/>
    <w:rPr>
      <w:rFonts w:cs="FrankRuehl"/>
      <w:b w:val="false"/>
      <w:bCs w:val="false"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05017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29.a.1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413i" TargetMode="External"/><Relationship Id="rId7" Type="http://schemas.openxmlformats.org/officeDocument/2006/relationships/hyperlink" Target="http://www.nevo.co.il/law/70301/a1S" TargetMode="External"/><Relationship Id="rId8" Type="http://schemas.openxmlformats.org/officeDocument/2006/relationships/hyperlink" Target="http://www.nevo.co.il/law/98569" TargetMode="External"/><Relationship Id="rId9" Type="http://schemas.openxmlformats.org/officeDocument/2006/relationships/hyperlink" Target="http://www.nevo.co.il/law/98569/10a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29.a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7050179" TargetMode="External"/><Relationship Id="rId15" Type="http://schemas.openxmlformats.org/officeDocument/2006/relationships/hyperlink" Target="http://www.nevo.co.il/law/70301/413i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a1S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4140670" TargetMode="External"/><Relationship Id="rId20" Type="http://schemas.openxmlformats.org/officeDocument/2006/relationships/hyperlink" Target="http://www.nevo.co.il/case/24269594" TargetMode="External"/><Relationship Id="rId21" Type="http://schemas.openxmlformats.org/officeDocument/2006/relationships/hyperlink" Target="http://www.nevo.co.il/case/27309272" TargetMode="External"/><Relationship Id="rId22" Type="http://schemas.openxmlformats.org/officeDocument/2006/relationships/hyperlink" Target="http://www.nevo.co.il/case/27608320" TargetMode="External"/><Relationship Id="rId23" Type="http://schemas.openxmlformats.org/officeDocument/2006/relationships/hyperlink" Target="http://www.nevo.co.il/case/7712134" TargetMode="External"/><Relationship Id="rId24" Type="http://schemas.openxmlformats.org/officeDocument/2006/relationships/hyperlink" Target="http://www.nevo.co.il/case/5714675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4263089" TargetMode="External"/><Relationship Id="rId27" Type="http://schemas.openxmlformats.org/officeDocument/2006/relationships/hyperlink" Target="http://www.nevo.co.il/case/26396573" TargetMode="External"/><Relationship Id="rId28" Type="http://schemas.openxmlformats.org/officeDocument/2006/relationships/hyperlink" Target="http://www.nevo.co.il/law/70301/333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98569/10a.a" TargetMode="External"/><Relationship Id="rId31" Type="http://schemas.openxmlformats.org/officeDocument/2006/relationships/hyperlink" Target="http://www.nevo.co.il/law/98569" TargetMode="External"/><Relationship Id="rId32" Type="http://schemas.openxmlformats.org/officeDocument/2006/relationships/hyperlink" Target="http://www.nevo.co.il/case/17923105" TargetMode="External"/><Relationship Id="rId33" Type="http://schemas.openxmlformats.org/officeDocument/2006/relationships/hyperlink" Target="http://www.nevo.co.il/case/28243273" TargetMode="External"/><Relationship Id="rId34" Type="http://schemas.openxmlformats.org/officeDocument/2006/relationships/hyperlink" Target="http://www.nevo.co.il/case/28047975" TargetMode="External"/><Relationship Id="rId35" Type="http://schemas.openxmlformats.org/officeDocument/2006/relationships/hyperlink" Target="http://www.nevo.co.il/case/7680382" TargetMode="External"/><Relationship Id="rId36" Type="http://schemas.openxmlformats.org/officeDocument/2006/relationships/hyperlink" Target="https://supreme.court.gov.il/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2022-05-22T10:07:00Z</dcterms:created>
  <dc:creator>h4</dc:creator>
  <dc:description/>
  <cp:keywords/>
  <dc:language>en-IL</dc:language>
  <cp:lastModifiedBy>hofit</cp:lastModifiedBy>
  <cp:lastPrinted>2022-05-19T12:00:00Z</cp:lastPrinted>
  <dcterms:modified xsi:type="dcterms:W3CDTF">2022-05-22T10:07:00Z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יריב טלוי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27050179:2;24140670;24269594;27309272;27608320;7712134;5714675;24263089;26396573;17923105;28243273;28047975;7680382</vt:lpwstr>
  </property>
  <property fmtid="{D5CDD505-2E9C-101B-9397-08002B2CF9AE}" pid="9" name="CITY">
    <vt:lpwstr/>
  </property>
  <property fmtid="{D5CDD505-2E9C-101B-9397-08002B2CF9AE}" pid="10" name="DATE">
    <vt:lpwstr>20220519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אלרון;א' שטיין;ש' שוחט</vt:lpwstr>
  </property>
  <property fmtid="{D5CDD505-2E9C-101B-9397-08002B2CF9AE}" pid="14" name="LAWLISTTMP1">
    <vt:lpwstr>70301/329.a.1;413i;a1S;333</vt:lpwstr>
  </property>
  <property fmtid="{D5CDD505-2E9C-101B-9397-08002B2CF9AE}" pid="15" name="LAWLISTTMP2">
    <vt:lpwstr>98569/010a.a</vt:lpwstr>
  </property>
  <property fmtid="{D5CDD505-2E9C-101B-9397-08002B2CF9AE}" pid="16" name="LAWYER">
    <vt:lpwstr>יוסף קנפו;טליה גרידיש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</vt:lpwstr>
  </property>
  <property fmtid="{D5CDD505-2E9C-101B-9397-08002B2CF9AE}" pid="49" name="NOSE31">
    <vt:lpwstr>מדיניות ענישה: חבלה בכוונה מחמירה</vt:lpwstr>
  </property>
  <property fmtid="{D5CDD505-2E9C-101B-9397-08002B2CF9AE}" pid="50" name="NOSE310">
    <vt:lpwstr/>
  </property>
  <property fmtid="{D5CDD505-2E9C-101B-9397-08002B2CF9AE}" pid="51" name="NOSE32">
    <vt:lpwstr>עונשי מקסימום</vt:lpwstr>
  </property>
  <property fmtid="{D5CDD505-2E9C-101B-9397-08002B2CF9AE}" pid="52" name="NOSE33">
    <vt:lpwstr>עקרון ההלימה‏</vt:lpwstr>
  </property>
  <property fmtid="{D5CDD505-2E9C-101B-9397-08002B2CF9AE}" pid="53" name="NOSE34">
    <vt:lpwstr>הבניית שיקול הדעת השיפוטי בענישה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;18963;14799;15573</vt:lpwstr>
  </property>
  <property fmtid="{D5CDD505-2E9C-101B-9397-08002B2CF9AE}" pid="60" name="PADIDATE">
    <vt:lpwstr>20220522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687;713</vt:lpwstr>
  </property>
  <property fmtid="{D5CDD505-2E9C-101B-9397-08002B2CF9AE}" pid="66" name="PROCYEAR">
    <vt:lpwstr>22;22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410120220519</vt:lpwstr>
  </property>
  <property fmtid="{D5CDD505-2E9C-101B-9397-08002B2CF9AE}" pid="70" name="TYPE_N_DATE">
    <vt:lpwstr>41020220519</vt:lpwstr>
  </property>
  <property fmtid="{D5CDD505-2E9C-101B-9397-08002B2CF9AE}" pid="71" name="VOLUME">
    <vt:lpwstr/>
  </property>
  <property fmtid="{D5CDD505-2E9C-101B-9397-08002B2CF9AE}" pid="72" name="WORDNUMPAGES">
    <vt:lpwstr>10</vt:lpwstr>
  </property>
</Properties>
</file>