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6888/17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אריה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ריקו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שירזי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נויטל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חיימוביץ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גונטובניק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25105-07-15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18.7.2017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29.11.2018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טומי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נדשי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תומר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אשש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חמו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אדרי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פינקלשטיין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מיטב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דגן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auto" w:line="360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31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298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יג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499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500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להריגת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וקשירת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באחר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סכסוך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קבוצות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ומרתיעה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האיומים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קצהו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החמורים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סווגו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התייחסות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פורטו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מתוקן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הבניית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השיפוטי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להריגה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להריגה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וקשירת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לביצוע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פגיעה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באדם</w:t>
      </w:r>
      <w:r>
        <w:rPr>
          <w:rFonts w:cs="FrankRuehl"/>
          <w:sz w:val="24"/>
          <w:szCs w:val="26"/>
          <w:rtl w:val="true"/>
        </w:rPr>
        <w:t xml:space="preserve">),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שבוצעו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סכסוך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ארגוני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פשיעה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9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ראשית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החורגות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המתוקן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הוזכרו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ינהג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כמותו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בטווח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הוסכם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אירוע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אירועים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החלוקה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עורכים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ההדוק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טוען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לסווג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מסמרות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שקבלתה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תוביל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לשינוי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הסיווג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לתכלית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פונקציונלית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הגוזר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ממילא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במישור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המהותי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סווגו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מאירוע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החשיבות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פחותה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בניגוד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סוכם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במנותק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חפיפת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נושא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המתוקן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מהראוי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ממילא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שאורכו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ימשיך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בהתעלם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מההסדר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אחידות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("</w:t>
      </w:r>
      <w:r>
        <w:rPr>
          <w:rFonts w:cs="FrankRuehl"/>
          <w:sz w:val="24"/>
          <w:sz w:val="24"/>
          <w:szCs w:val="26"/>
          <w:rtl w:val="true"/>
        </w:rPr>
        <w:t>יריב</w:t>
      </w:r>
      <w:r>
        <w:rPr>
          <w:rFonts w:cs="FrankRuehl"/>
          <w:sz w:val="24"/>
          <w:szCs w:val="26"/>
          <w:rtl w:val="true"/>
        </w:rPr>
        <w:t xml:space="preserve">").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לחובת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מבחינת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מהות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יריב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נניח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האחרון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לקולה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ודאי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בשקלול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שצריכים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552" w:leader="none"/>
        </w:tabs>
        <w:spacing w:lineRule="exact" w:line="320" w:before="0" w:after="120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הגלומה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להריגת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באחר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סכסוך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קבוצות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ומרתיעה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תפקיד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בהתרחשויות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אומנם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חוזרים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שהתרחשו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סכסוך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קבוצות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קצהו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במלאכת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היטב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שהביאו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לבצעם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מאידך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העבר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המכביד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לשיתוף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רשויות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התביעה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באיזון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שערך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>.</w:t>
      </w:r>
      <w:bookmarkStart w:id="8" w:name="ABSTRACT_END"/>
      <w:bookmarkEnd w:id="8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9" w:name="PsakDin"/>
            <w:bookmarkStart w:id="10" w:name="BeginProtocol"/>
            <w:bookmarkStart w:id="11" w:name="secretary"/>
            <w:bookmarkEnd w:id="9"/>
            <w:bookmarkEnd w:id="10"/>
            <w:bookmarkEnd w:id="1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pacing w:val="0"/>
          <w:sz w:val="28"/>
          <w:szCs w:val="24"/>
        </w:rPr>
      </w:pPr>
      <w:bookmarkStart w:id="12" w:name="Writer_Name"/>
      <w:bookmarkEnd w:id="12"/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ע</w:t>
      </w:r>
      <w:r>
        <w:rPr>
          <w:rFonts w:cs="Miriam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8"/>
          <w:sz w:val="28"/>
          <w:szCs w:val="24"/>
          <w:u w:val="single"/>
          <w:rtl w:val="true"/>
        </w:rPr>
        <w:t>פוגלמן</w:t>
      </w:r>
      <w:r>
        <w:rPr>
          <w:rFonts w:cs="Miriam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start"/>
        <w:rPr>
          <w:rFonts w:ascii="Times New Roman" w:hAnsi="Times New Roman" w:cs="Times New Roman"/>
          <w:spacing w:val="0"/>
          <w:sz w:val="28"/>
          <w:szCs w:val="24"/>
        </w:rPr>
      </w:pPr>
      <w:r>
        <w:rPr>
          <w:rFonts w:cs="Times New Roman" w:ascii="Times New Roman" w:hAnsi="Times New Roman"/>
          <w:spacing w:val="0"/>
          <w:sz w:val="28"/>
          <w:szCs w:val="24"/>
          <w:rtl w:val="true"/>
        </w:rPr>
      </w:r>
      <w:bookmarkStart w:id="13" w:name="Start_Write"/>
      <w:bookmarkStart w:id="14" w:name="Start_Write"/>
      <w:bookmarkEnd w:id="14"/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על רקע סכסוך בין ארגוני פשיעה סייע המערער להרוג אדם וקשר עם אחרים לפגוע באחר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לפנינו ערעור על גזר הדין של בית המשפט המחוזי בתל אביב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Century" w:hAnsi="Century" w:cs="Century"/>
          <w:rtl w:val="true"/>
        </w:rPr>
        <w:t xml:space="preserve">יפו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סגן הנשיא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נויטל</w:t>
      </w:r>
      <w:r>
        <w:rPr>
          <w:rFonts w:ascii="Century" w:hAnsi="Century" w:cs="Century"/>
          <w:rtl w:val="true"/>
        </w:rPr>
        <w:t xml:space="preserve"> והשופטים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חיימוביץ</w:t>
      </w:r>
      <w:r>
        <w:rPr>
          <w:rFonts w:ascii="Century" w:hAnsi="Century" w:cs="Century"/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גונטובניק</w:t>
      </w:r>
      <w:r>
        <w:rPr>
          <w:rFonts w:cs="Century" w:ascii="Century" w:hAnsi="Century"/>
          <w:rtl w:val="true"/>
        </w:rPr>
        <w:t xml:space="preserve">), </w:t>
      </w:r>
      <w:r>
        <w:rPr>
          <w:rFonts w:ascii="Century" w:hAnsi="Century" w:cs="Century"/>
          <w:rtl w:val="true"/>
        </w:rPr>
        <w:t xml:space="preserve">שבו הושתו על המערער עונש של </w:t>
      </w:r>
      <w:r>
        <w:rPr>
          <w:rFonts w:cs="Century" w:ascii="Century" w:hAnsi="Century"/>
        </w:rPr>
        <w:t>9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שנות מאסר בפועל ושני עונשי מאסר על תנאי</w:t>
      </w:r>
      <w:r>
        <w:rPr>
          <w:rFonts w:cs="Century" w:ascii="Century" w:hAnsi="Century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בית המשפט המחוזי בתל אביב</w:t>
      </w:r>
      <w:r>
        <w:rPr>
          <w:rFonts w:ascii="Times New Roman" w:hAnsi="Times New Roman" w:cs="Times New Roman"/>
          <w:rtl w:val="true"/>
        </w:rPr>
        <w:t>–</w:t>
      </w:r>
      <w:r>
        <w:rPr>
          <w:rtl w:val="true"/>
        </w:rPr>
        <w:t>יפו</w:t>
      </w:r>
      <w:r>
        <w:rPr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סגן הנשיא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נויטל</w:t>
      </w:r>
      <w:r>
        <w:rPr>
          <w:rFonts w:ascii="Century" w:hAnsi="Century" w:cs="Century"/>
          <w:rtl w:val="true"/>
        </w:rPr>
        <w:t xml:space="preserve"> והשופטים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חיימוביץ</w:t>
      </w:r>
      <w:r>
        <w:rPr>
          <w:rFonts w:ascii="Century" w:hAnsi="Century" w:cs="Century"/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גונטובניק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הרשיע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19</w:t>
      </w:r>
      <w:r>
        <w:rPr/>
        <w:t>.</w:t>
      </w:r>
      <w:r>
        <w:rPr/>
        <w:t>6</w:t>
      </w:r>
      <w:r>
        <w:rPr/>
        <w:t>.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יסוד</w:t>
      </w:r>
      <w:r>
        <w:rPr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 </w:t>
      </w:r>
      <w:r>
        <w:rPr>
          <w:rtl w:val="true"/>
        </w:rPr>
        <w:t xml:space="preserve">בהסדר טיעון בעבירה של סיוע להריגה לפי </w:t>
      </w:r>
      <w:hyperlink r:id="rId10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298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1"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), </w:t>
      </w:r>
      <w:r>
        <w:rPr>
          <w:rtl w:val="true"/>
        </w:rPr>
        <w:t xml:space="preserve">ובעבירת קשירת קשר לביצוע פשע </w:t>
      </w:r>
      <w:r>
        <w:rPr>
          <w:rtl w:val="true"/>
        </w:rPr>
        <w:t>(</w:t>
      </w:r>
      <w:r>
        <w:rPr>
          <w:rtl w:val="true"/>
        </w:rPr>
        <w:t>פגיעה באדם</w:t>
      </w:r>
      <w:r>
        <w:rPr>
          <w:rtl w:val="true"/>
        </w:rPr>
        <w:t xml:space="preserve">) </w:t>
      </w:r>
      <w:r>
        <w:rPr>
          <w:rtl w:val="true"/>
        </w:rPr>
        <w:t xml:space="preserve">לפי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. </w:t>
      </w:r>
      <w:r>
        <w:rPr>
          <w:rtl w:val="true"/>
        </w:rPr>
        <w:t xml:space="preserve">כתב האישום הוגש נגד המערער ונאשם נוסף </w:t>
      </w:r>
      <w:r>
        <w:rPr>
          <w:rtl w:val="true"/>
        </w:rPr>
        <w:t>–</w:t>
      </w:r>
      <w:r>
        <w:rPr>
          <w:rtl w:val="true"/>
        </w:rPr>
        <w:t xml:space="preserve"> אסף יריב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יריב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חברו של המערער</w:t>
      </w:r>
      <w:r>
        <w:rPr>
          <w:rtl w:val="true"/>
        </w:rPr>
        <w:t xml:space="preserve">, </w:t>
      </w:r>
      <w:r>
        <w:rPr>
          <w:rtl w:val="true"/>
        </w:rPr>
        <w:t>איש סודו</w:t>
      </w:r>
      <w:r>
        <w:rPr>
          <w:rtl w:val="true"/>
        </w:rPr>
        <w:t xml:space="preserve">, </w:t>
      </w:r>
      <w:r>
        <w:rPr>
          <w:rtl w:val="true"/>
        </w:rPr>
        <w:t>יד ימינו ועוזרו</w:t>
      </w:r>
      <w:r>
        <w:rPr>
          <w:rtl w:val="true"/>
        </w:rPr>
        <w:t xml:space="preserve">. </w:t>
      </w:r>
      <w:r>
        <w:rPr>
          <w:rtl w:val="true"/>
        </w:rPr>
        <w:t xml:space="preserve">המערער הורשע בנפרד מיריב ובמועד שקדם להרשעת האחרון באישום אחר </w:t>
      </w:r>
      <w:r>
        <w:rPr>
          <w:rtl w:val="true"/>
        </w:rPr>
        <w:t>(</w:t>
      </w:r>
      <w:r>
        <w:rPr>
          <w:rtl w:val="true"/>
        </w:rPr>
        <w:t>כמפורט להלן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נסקור בקצרה את עובדות כתב האישום המתוקן שבו הודה המערער</w:t>
      </w:r>
      <w:r>
        <w:rPr>
          <w:rtl w:val="true"/>
        </w:rPr>
        <w:t xml:space="preserve">. </w:t>
      </w:r>
      <w:r>
        <w:rPr>
          <w:rtl w:val="true"/>
        </w:rPr>
        <w:t xml:space="preserve">בשנים </w:t>
      </w:r>
      <w:r>
        <w:rPr/>
        <w:t>2002</w:t>
      </w:r>
      <w:r>
        <w:rPr>
          <w:rFonts w:cs="Times New Roman" w:ascii="Times New Roman" w:hAnsi="Times New Roman"/>
          <w:rtl w:val="true"/>
        </w:rPr>
        <w:t>–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התחוללו מאבקי שליטה בין ארגוני פשיעה בישראל</w:t>
      </w:r>
      <w:r>
        <w:rPr>
          <w:rtl w:val="true"/>
        </w:rPr>
        <w:t xml:space="preserve">. </w:t>
      </w:r>
      <w:r>
        <w:rPr>
          <w:rtl w:val="true"/>
        </w:rPr>
        <w:t>המערער ועבריינים המקורבים אליו נאבקו במשפחת אבוטבול והעומד בראשה</w:t>
      </w:r>
      <w:r>
        <w:rPr>
          <w:rtl w:val="true"/>
        </w:rPr>
        <w:t xml:space="preserve">, </w:t>
      </w:r>
      <w:r>
        <w:rPr>
          <w:rtl w:val="true"/>
        </w:rPr>
        <w:t xml:space="preserve">אסי אבוטבול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אבוטבול</w:t>
      </w:r>
      <w:r>
        <w:rPr>
          <w:rFonts w:cs="Century" w:ascii="Century" w:hAnsi="Century"/>
          <w:sz w:val="22"/>
          <w:rtl w:val="true"/>
        </w:rPr>
        <w:t>),</w:t>
      </w:r>
      <w:r>
        <w:rPr>
          <w:rtl w:val="true"/>
        </w:rPr>
        <w:t xml:space="preserve"> </w:t>
      </w:r>
      <w:r>
        <w:rPr>
          <w:rtl w:val="true"/>
        </w:rPr>
        <w:t>על שליטה באזור השרון ובעסקי ההימורים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10.2.2003</w:t>
      </w:r>
      <w:r>
        <w:rPr>
          <w:rtl w:val="true"/>
        </w:rPr>
        <w:t xml:space="preserve"> </w:t>
      </w:r>
      <w:r>
        <w:rPr>
          <w:rtl w:val="true"/>
        </w:rPr>
        <w:t>או בסמוך לו נתפסו עבריינים חמושים ליד בית המערער</w:t>
      </w:r>
      <w:r>
        <w:rPr>
          <w:rtl w:val="true"/>
        </w:rPr>
        <w:t xml:space="preserve">. </w:t>
      </w:r>
      <w:r>
        <w:rPr>
          <w:rtl w:val="true"/>
        </w:rPr>
        <w:t>הם תכננו לרצוח אותו בירי</w:t>
      </w:r>
      <w:r>
        <w:rPr>
          <w:rtl w:val="true"/>
        </w:rPr>
        <w:t xml:space="preserve">. </w:t>
      </w:r>
      <w:r>
        <w:rPr>
          <w:rtl w:val="true"/>
        </w:rPr>
        <w:t>הם השתמשו ברכב ששכר גיא יחזקאל</w:t>
      </w:r>
      <w:r>
        <w:rPr>
          <w:rtl w:val="true"/>
        </w:rPr>
        <w:t xml:space="preserve">, </w:t>
      </w:r>
      <w:r>
        <w:rPr>
          <w:rtl w:val="true"/>
        </w:rPr>
        <w:t xml:space="preserve">איש אמונו של אבוטבול ומקורבו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המנוח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 xml:space="preserve">במהלך שנת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 xml:space="preserve">עזב המנוח את ישראל מחשש לחייו </w:t>
      </w:r>
      <w:r>
        <w:rPr>
          <w:rtl w:val="true"/>
        </w:rPr>
        <w:t>(</w:t>
      </w:r>
      <w:r>
        <w:rPr>
          <w:rtl w:val="true"/>
        </w:rPr>
        <w:t>עקב פעולות נגד ארגון פשיעה אחר</w:t>
      </w:r>
      <w:r>
        <w:rPr>
          <w:rtl w:val="true"/>
        </w:rPr>
        <w:t xml:space="preserve">) </w:t>
      </w:r>
      <w:r>
        <w:rPr>
          <w:rtl w:val="true"/>
        </w:rPr>
        <w:t>ושהה באירופה עם אבוטבול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לפי האישום הראשון</w:t>
      </w:r>
      <w:r>
        <w:rPr>
          <w:rtl w:val="true"/>
        </w:rPr>
        <w:t xml:space="preserve">, </w:t>
      </w:r>
      <w:r>
        <w:rPr>
          <w:rtl w:val="true"/>
        </w:rPr>
        <w:t xml:space="preserve">בסוף חודש ספטמבר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 xml:space="preserve">או בסמוך לכך שוחח מקורבו של אבוטבול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סאשה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 xml:space="preserve">עם המערער באמצעות אדם נוסף </w:t>
      </w:r>
      <w:r>
        <w:rPr>
          <w:rtl w:val="true"/>
        </w:rPr>
        <w:t>–</w:t>
      </w:r>
      <w:r>
        <w:rPr>
          <w:rtl w:val="true"/>
        </w:rPr>
        <w:t xml:space="preserve"> עד המדינה א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Fonts w:ascii="Century" w:hAnsi="Century" w:cs="Century"/>
          <w:sz w:val="22"/>
          <w:sz w:val="22"/>
          <w:rtl w:val="true"/>
        </w:rPr>
        <w:t>בשיחה ציין סאשה כי אבוטבול ו</w:t>
      </w:r>
      <w:r>
        <w:rPr>
          <w:rtl w:val="true"/>
        </w:rPr>
        <w:t>המנוח</w:t>
      </w:r>
      <w:r>
        <w:rPr>
          <w:rFonts w:ascii="Century" w:hAnsi="Century" w:cs="Century"/>
          <w:sz w:val="22"/>
          <w:sz w:val="22"/>
          <w:rtl w:val="true"/>
        </w:rPr>
        <w:t xml:space="preserve"> שכרו את שירותיו כדי שירצח את המערער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תוכנית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אבוטבול</w:t>
      </w:r>
      <w:r>
        <w:rPr>
          <w:rFonts w:cs="Century" w:ascii="Century" w:hAnsi="Century"/>
          <w:sz w:val="22"/>
          <w:rtl w:val="true"/>
        </w:rPr>
        <w:t xml:space="preserve">). </w:t>
      </w:r>
      <w:r>
        <w:rPr>
          <w:rtl w:val="true"/>
        </w:rPr>
        <w:t>המערער ויריב אישרו לסאשה לפגוע במנוח כדי לסכל את תוכנית אבוטבול</w:t>
      </w:r>
      <w:r>
        <w:rPr>
          <w:rtl w:val="true"/>
        </w:rPr>
        <w:t xml:space="preserve">. </w:t>
      </w:r>
      <w:r>
        <w:rPr>
          <w:rtl w:val="true"/>
        </w:rPr>
        <w:t>הם אף נענו לבקשתו של סאשה לקבל מימון לצורך זה</w:t>
      </w:r>
      <w:r>
        <w:rPr>
          <w:rtl w:val="true"/>
        </w:rPr>
        <w:t xml:space="preserve">. </w:t>
      </w:r>
      <w:r>
        <w:rPr>
          <w:rtl w:val="true"/>
        </w:rPr>
        <w:t>אלמלא אישורם של המערער ויריב לא היה סאשה מוציא לפועל את רצונו לפגוע במנוח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7.10.2003</w:t>
      </w:r>
      <w:r>
        <w:rPr>
          <w:rtl w:val="true"/>
        </w:rPr>
        <w:t xml:space="preserve"> </w:t>
      </w:r>
      <w:r>
        <w:rPr>
          <w:rtl w:val="true"/>
        </w:rPr>
        <w:t>נפגשו סאשה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, </w:t>
      </w:r>
      <w:r>
        <w:rPr>
          <w:rtl w:val="true"/>
        </w:rPr>
        <w:t>המנוח</w:t>
      </w:r>
      <w:r>
        <w:rPr>
          <w:rtl w:val="true"/>
        </w:rPr>
        <w:t xml:space="preserve">, </w:t>
      </w:r>
      <w:r>
        <w:rPr>
          <w:rtl w:val="true"/>
        </w:rPr>
        <w:t>אבוטבול והנהג שלו בבית קפה בעיר דרזדן שבגרמניה כדי לבצע עסקת סמים גדולה</w:t>
      </w:r>
      <w:r>
        <w:rPr>
          <w:rtl w:val="true"/>
        </w:rPr>
        <w:t xml:space="preserve">. </w:t>
      </w:r>
      <w:r>
        <w:rPr>
          <w:rtl w:val="true"/>
        </w:rPr>
        <w:t>לאחר שיחה קצרה עזבו אבוטבול ונהגו את המקום</w:t>
      </w:r>
      <w:r>
        <w:rPr>
          <w:rtl w:val="true"/>
        </w:rPr>
        <w:t xml:space="preserve">. </w:t>
      </w:r>
      <w:r>
        <w:rPr>
          <w:rtl w:val="true"/>
        </w:rPr>
        <w:t>סאשה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פ והמנוח יצאו מהמקום</w:t>
      </w:r>
      <w:r>
        <w:rPr>
          <w:rtl w:val="true"/>
        </w:rPr>
        <w:t xml:space="preserve">. </w:t>
      </w:r>
      <w:r>
        <w:rPr>
          <w:rtl w:val="true"/>
        </w:rPr>
        <w:t>השלושה המשיכו בנסיעה לכיוון העיר פוטסדם כדי לקדם את עסקת הסמים</w:t>
      </w:r>
      <w:r>
        <w:rPr>
          <w:rtl w:val="true"/>
        </w:rPr>
        <w:t xml:space="preserve">. </w:t>
      </w:r>
      <w:r>
        <w:rPr>
          <w:rtl w:val="true"/>
        </w:rPr>
        <w:t>במהלך הנסיעה עצרו בסמוך לדרך צדדית שמתפתלת מהכביש הראשי</w:t>
      </w:r>
      <w:r>
        <w:rPr>
          <w:rtl w:val="true"/>
        </w:rPr>
        <w:t xml:space="preserve">. </w:t>
      </w:r>
      <w:r>
        <w:rPr>
          <w:rtl w:val="true"/>
        </w:rPr>
        <w:t>סאשה והמנוח התרחקו מהרכב כדי לבצע את עסקת הסמים</w:t>
      </w:r>
      <w:r>
        <w:rPr>
          <w:rtl w:val="true"/>
        </w:rPr>
        <w:t xml:space="preserve">. </w:t>
      </w:r>
      <w:r>
        <w:rPr>
          <w:rtl w:val="true"/>
        </w:rPr>
        <w:t>סאשה ירה לעבר המנוח כמה יריות כדי לפגוע בו ובאדישות לתוצאה הקטלנית שהייתה עלולה לנבוע ממעשהו</w:t>
      </w:r>
      <w:r>
        <w:rPr>
          <w:rtl w:val="true"/>
        </w:rPr>
        <w:t xml:space="preserve">. </w:t>
      </w:r>
      <w:r>
        <w:rPr>
          <w:rtl w:val="true"/>
        </w:rPr>
        <w:t>המנוח מת במקום</w:t>
      </w:r>
      <w:r>
        <w:rPr>
          <w:rtl w:val="true"/>
        </w:rPr>
        <w:t xml:space="preserve">. </w:t>
      </w:r>
      <w:r>
        <w:rPr>
          <w:rtl w:val="true"/>
        </w:rPr>
        <w:t>סאשה נטל לעצמו כספים שהמנוח הצטייד בהם לביצוע העסקה</w:t>
      </w:r>
      <w:r>
        <w:rPr>
          <w:rtl w:val="true"/>
        </w:rPr>
        <w:t xml:space="preserve">. </w:t>
      </w:r>
      <w:r>
        <w:rPr>
          <w:rtl w:val="true"/>
        </w:rPr>
        <w:t xml:space="preserve">במהלך חודש נובמבר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או בסמוך לכך נפגש א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>
          <w:rtl w:val="true"/>
        </w:rPr>
        <w:t>–</w:t>
      </w:r>
      <w:r>
        <w:rPr>
          <w:rtl w:val="true"/>
        </w:rPr>
        <w:t xml:space="preserve"> בשליחותו של סאשה </w:t>
      </w:r>
      <w:r>
        <w:rPr>
          <w:rtl w:val="true"/>
        </w:rPr>
        <w:t>–</w:t>
      </w:r>
      <w:r>
        <w:rPr>
          <w:rtl w:val="true"/>
        </w:rPr>
        <w:t xml:space="preserve"> עם המערער ויריב בישראל</w:t>
      </w:r>
      <w:r>
        <w:rPr>
          <w:rtl w:val="true"/>
        </w:rPr>
        <w:t xml:space="preserve">. </w:t>
      </w:r>
      <w:r>
        <w:rPr>
          <w:rtl w:val="true"/>
        </w:rPr>
        <w:t>הוא עדכן אותם על מות המנוח</w:t>
      </w:r>
      <w:r>
        <w:rPr>
          <w:rtl w:val="true"/>
        </w:rPr>
        <w:t xml:space="preserve">. </w:t>
      </w:r>
      <w:r>
        <w:rPr>
          <w:rtl w:val="true"/>
        </w:rPr>
        <w:t>בתום הפגישה נתנו המערער ויריב לא</w:t>
      </w:r>
      <w:r>
        <w:rPr>
          <w:rtl w:val="true"/>
        </w:rPr>
        <w:t>"</w:t>
      </w:r>
      <w:r>
        <w:rPr>
          <w:rtl w:val="true"/>
        </w:rPr>
        <w:t>פ אלפי דולרים במזומן</w:t>
      </w:r>
      <w:r>
        <w:rPr>
          <w:rtl w:val="true"/>
        </w:rPr>
        <w:t xml:space="preserve">, </w:t>
      </w:r>
      <w:r>
        <w:rPr>
          <w:rtl w:val="true"/>
        </w:rPr>
        <w:t>בהתאם להסכמתם עם סאשה</w:t>
      </w:r>
      <w:r>
        <w:rPr>
          <w:rtl w:val="true"/>
        </w:rPr>
        <w:t xml:space="preserve">. </w:t>
      </w:r>
      <w:r>
        <w:rPr>
          <w:rtl w:val="true"/>
        </w:rPr>
        <w:t xml:space="preserve">במעשיו המתוארים סייע המערער להריגתו של המנוח באישור למעשה ובמימון כספי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הראשון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לפי האישום השני</w:t>
      </w:r>
      <w:r>
        <w:rPr>
          <w:rtl w:val="true"/>
        </w:rPr>
        <w:t xml:space="preserve">, </w:t>
      </w:r>
      <w:r>
        <w:rPr>
          <w:rtl w:val="true"/>
        </w:rPr>
        <w:t xml:space="preserve">בראשית שנת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קשרו המערער</w:t>
      </w:r>
      <w:r>
        <w:rPr>
          <w:rtl w:val="true"/>
        </w:rPr>
        <w:t xml:space="preserve">, </w:t>
      </w:r>
      <w:r>
        <w:rPr>
          <w:rtl w:val="true"/>
        </w:rPr>
        <w:t>יריב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פ וסאשה קשר לפגוע באבוטבול על רקע נחישותו של האחרון להמית את המערער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פ וסאשה היו אמורים לעשות את המעשה בתמורה לתשלום עם ההוצאה לפועל של הקשר</w:t>
      </w:r>
      <w:r>
        <w:rPr>
          <w:rtl w:val="true"/>
        </w:rPr>
        <w:t xml:space="preserve">. </w:t>
      </w:r>
      <w:r>
        <w:rPr>
          <w:rtl w:val="true"/>
        </w:rPr>
        <w:t>סאשה וא</w:t>
      </w:r>
      <w:r>
        <w:rPr>
          <w:rtl w:val="true"/>
        </w:rPr>
        <w:t>"</w:t>
      </w:r>
      <w:r>
        <w:rPr>
          <w:rtl w:val="true"/>
        </w:rPr>
        <w:t xml:space="preserve">פ בחרו במקורבם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מושאילוב</w:t>
      </w:r>
      <w:r>
        <w:rPr>
          <w:rtl w:val="true"/>
        </w:rPr>
        <w:t xml:space="preserve">) </w:t>
      </w:r>
      <w:r>
        <w:rPr>
          <w:rtl w:val="true"/>
        </w:rPr>
        <w:t>לפגוע באבוטבול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1.8.2004</w:t>
      </w:r>
      <w:r>
        <w:rPr>
          <w:rtl w:val="true"/>
        </w:rPr>
        <w:t xml:space="preserve"> </w:t>
      </w:r>
      <w:r>
        <w:rPr>
          <w:rtl w:val="true"/>
        </w:rPr>
        <w:t xml:space="preserve">הגיעו אבוטבול ומאבטחיו ברכב ממוגן למלון </w:t>
      </w:r>
      <w:r>
        <w:rPr>
          <w:rtl w:val="true"/>
        </w:rPr>
        <w:t>"</w:t>
      </w:r>
      <w:r>
        <w:rPr>
          <w:rtl w:val="true"/>
        </w:rPr>
        <w:t>קזינו רויאל</w:t>
      </w:r>
      <w:r>
        <w:rPr>
          <w:rtl w:val="true"/>
        </w:rPr>
        <w:t xml:space="preserve">" </w:t>
      </w:r>
      <w:r>
        <w:rPr>
          <w:rtl w:val="true"/>
        </w:rPr>
        <w:t>בעיר פראג</w:t>
      </w:r>
      <w:r>
        <w:rPr>
          <w:rtl w:val="true"/>
        </w:rPr>
        <w:t xml:space="preserve">. </w:t>
      </w:r>
      <w:r>
        <w:rPr>
          <w:rtl w:val="true"/>
        </w:rPr>
        <w:t>מושאילוב זרק רימון יד לעבר הרכב</w:t>
      </w:r>
      <w:r>
        <w:rPr>
          <w:rtl w:val="true"/>
        </w:rPr>
        <w:t xml:space="preserve">. </w:t>
      </w:r>
      <w:r>
        <w:rPr>
          <w:rtl w:val="true"/>
        </w:rPr>
        <w:t>פיצוץ הרימון גרם לפציעת עוברי אורח ולנזק לרכבו של אבוטבול</w:t>
      </w:r>
      <w:r>
        <w:rPr>
          <w:rtl w:val="true"/>
        </w:rPr>
        <w:t xml:space="preserve">. </w:t>
      </w:r>
      <w:r>
        <w:rPr>
          <w:rtl w:val="true"/>
        </w:rPr>
        <w:t xml:space="preserve">במעשיו המתוארים קשר המערער קשר לביצוע עבירה מסוג פשע </w:t>
      </w:r>
      <w:r>
        <w:rPr>
          <w:rtl w:val="true"/>
        </w:rPr>
        <w:t>(</w:t>
      </w:r>
      <w:r>
        <w:rPr>
          <w:rtl w:val="true"/>
        </w:rPr>
        <w:t>פגיעה באדם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האישום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Cs w:val="24"/>
          <w:rtl w:val="true"/>
        </w:rPr>
        <w:t>השני</w:t>
      </w:r>
      <w:r>
        <w:rPr>
          <w:rtl w:val="true"/>
        </w:rPr>
        <w:t>).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ביום </w:t>
      </w:r>
      <w:r>
        <w:rPr/>
        <w:t>18.7.2017</w:t>
      </w:r>
      <w:r>
        <w:rPr>
          <w:rtl w:val="true"/>
        </w:rPr>
        <w:t xml:space="preserve"> </w:t>
      </w:r>
      <w:r>
        <w:rPr>
          <w:rtl w:val="true"/>
        </w:rPr>
        <w:t xml:space="preserve">גזר </w:t>
      </w:r>
      <w:r>
        <w:rPr>
          <w:rFonts w:ascii="Century" w:hAnsi="Century" w:cs="Century"/>
          <w:rtl w:val="true"/>
        </w:rPr>
        <w:t xml:space="preserve">בית המשפט המחוזי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כב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 xml:space="preserve">סגן הנשיא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נויטל</w:t>
      </w:r>
      <w:r>
        <w:rPr>
          <w:rFonts w:ascii="Century" w:hAnsi="Century" w:cs="Century"/>
          <w:rtl w:val="true"/>
        </w:rPr>
        <w:t xml:space="preserve"> והשופטים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חיימוביץ</w:t>
      </w:r>
      <w:r>
        <w:rPr>
          <w:rFonts w:ascii="Century" w:hAnsi="Century" w:cs="Century"/>
          <w:rtl w:val="true"/>
        </w:rPr>
        <w:t xml:space="preserve"> ו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גונטובניק</w:t>
      </w:r>
      <w:r>
        <w:rPr>
          <w:rFonts w:cs="Century" w:ascii="Century" w:hAnsi="Century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את דינו של המערער</w:t>
      </w:r>
      <w:r>
        <w:rPr>
          <w:rtl w:val="true"/>
        </w:rPr>
        <w:t xml:space="preserve">. </w:t>
      </w:r>
      <w:r>
        <w:rPr>
          <w:rtl w:val="true"/>
        </w:rPr>
        <w:t xml:space="preserve">צוין כי הצדדים נקשרו בהסדר טיעון שלפיו תטען התביעה לעונש ראוי שלא יעלה על </w:t>
      </w:r>
      <w:r>
        <w:rPr/>
        <w:t>12.5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; </w:t>
      </w:r>
      <w:r>
        <w:rPr>
          <w:rtl w:val="true"/>
        </w:rPr>
        <w:t>ההגנה לא תהיה מוגבלת בטיעונה לעונש מזערי</w:t>
      </w:r>
      <w:r>
        <w:rPr>
          <w:rtl w:val="true"/>
        </w:rPr>
        <w:t xml:space="preserve">; </w:t>
      </w:r>
      <w:r>
        <w:rPr>
          <w:rtl w:val="true"/>
        </w:rPr>
        <w:t xml:space="preserve">הטיעון לעונש יהיה במנותק מעונש המאסר בן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השנים שהמערער נושא בימים אלה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האחר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 xml:space="preserve">ותקופת המאסר בפועל שתושת על המערער תחפוף את המאסר שהושת עליו בעונש האחר ותחל החל מיום </w:t>
      </w:r>
      <w:r>
        <w:rPr/>
        <w:t>21.5.2015</w:t>
      </w:r>
      <w:r>
        <w:rPr>
          <w:rtl w:val="true"/>
        </w:rPr>
        <w:t xml:space="preserve">. </w:t>
      </w:r>
      <w:r>
        <w:rPr>
          <w:rtl w:val="true"/>
        </w:rPr>
        <w:t>בית המשפט מצא כי המעשים המתוארים בכתב האישום נוגעים לשני אירועים נפרדים</w:t>
      </w:r>
      <w:r>
        <w:rPr>
          <w:rtl w:val="true"/>
        </w:rPr>
        <w:t xml:space="preserve">, </w:t>
      </w:r>
      <w:r>
        <w:rPr>
          <w:rtl w:val="true"/>
        </w:rPr>
        <w:t>שהתרחשו במועדים שונים בעניינם של נפגעים שונים</w:t>
      </w:r>
      <w:r>
        <w:rPr>
          <w:rtl w:val="true"/>
        </w:rPr>
        <w:t xml:space="preserve">. </w:t>
      </w:r>
      <w:r>
        <w:rPr>
          <w:rtl w:val="true"/>
        </w:rPr>
        <w:t>משכך נקבעו מתחמי עונש נפרדים לכל אחד מהאישומים שבהם הורשע המערער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בית המשפט עמד על הפגיעה החמורה בערכים החברתיים שביסוד עבירת ההריגה ועבירת קשירת הקשר לביצוע פשע</w:t>
      </w:r>
      <w:r>
        <w:rPr>
          <w:rtl w:val="true"/>
        </w:rPr>
        <w:t xml:space="preserve">. </w:t>
      </w:r>
      <w:r>
        <w:rPr>
          <w:rtl w:val="true"/>
        </w:rPr>
        <w:t>הוא שקל את התכנון שהקדים המערער לעבירות העיקריות שבוצעו</w:t>
      </w:r>
      <w:r>
        <w:rPr>
          <w:rtl w:val="true"/>
        </w:rPr>
        <w:t xml:space="preserve">, </w:t>
      </w:r>
      <w:r>
        <w:rPr>
          <w:rtl w:val="true"/>
        </w:rPr>
        <w:t>את חלקו היחסי בביצוען</w:t>
      </w:r>
      <w:r>
        <w:rPr>
          <w:rtl w:val="true"/>
        </w:rPr>
        <w:t xml:space="preserve">, </w:t>
      </w:r>
      <w:r>
        <w:rPr>
          <w:rtl w:val="true"/>
        </w:rPr>
        <w:t>את השפעתו על סאשה שביצע את העבירות</w:t>
      </w:r>
      <w:r>
        <w:rPr>
          <w:rtl w:val="true"/>
        </w:rPr>
        <w:t xml:space="preserve">, </w:t>
      </w:r>
      <w:r>
        <w:rPr>
          <w:rtl w:val="true"/>
        </w:rPr>
        <w:t>את הנזקים שנגרמו מביצוע העבירות ושהיו צפויים להיגרם ממנו</w:t>
      </w:r>
      <w:r>
        <w:rPr>
          <w:rtl w:val="true"/>
        </w:rPr>
        <w:t xml:space="preserve">, </w:t>
      </w:r>
      <w:r>
        <w:rPr>
          <w:rtl w:val="true"/>
        </w:rPr>
        <w:t>ואת הסיבות שהביאו את המערער לבצע את העבירות על רקע המאבק בארגון הפשיעה של אבוטבול</w:t>
      </w:r>
      <w:r>
        <w:rPr>
          <w:rtl w:val="true"/>
        </w:rPr>
        <w:t xml:space="preserve">. </w:t>
      </w:r>
      <w:r>
        <w:rPr>
          <w:rtl w:val="true"/>
        </w:rPr>
        <w:t>בית המשפט עמד על מדיניות הענישה הנהוגה במקרים דומים שעניינם בעבירות שבהן הורשע המערער</w:t>
      </w:r>
      <w:r>
        <w:rPr>
          <w:rtl w:val="true"/>
        </w:rPr>
        <w:t xml:space="preserve">. </w:t>
      </w:r>
      <w:r>
        <w:rPr>
          <w:rtl w:val="true"/>
        </w:rPr>
        <w:t xml:space="preserve">נוכח כל האמור קבע בית המשפט כי מתחם העונש ההולם בגין האישום הראשון נע בין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ומתחם העונש ההולם בגין האישום השני נע בין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לצורך קביעת העונש בתוך המתחם שקל בית המשפט לקולה את מצבו הבריאותי הקשה של המערער</w:t>
      </w:r>
      <w:r>
        <w:rPr>
          <w:rtl w:val="true"/>
        </w:rPr>
        <w:t xml:space="preserve">; </w:t>
      </w:r>
      <w:r>
        <w:rPr>
          <w:rtl w:val="true"/>
        </w:rPr>
        <w:t>את תנאיו של המערער בבית הסוהר כמי שמצוי בהפרדה ארצית</w:t>
      </w:r>
      <w:r>
        <w:rPr>
          <w:rtl w:val="true"/>
        </w:rPr>
        <w:t xml:space="preserve">; </w:t>
      </w:r>
      <w:r>
        <w:rPr>
          <w:rtl w:val="true"/>
        </w:rPr>
        <w:t>את הודאתו של המערער בעובדות כתב האישום המתוקן לפני שמיעת הראיות</w:t>
      </w:r>
      <w:r>
        <w:rPr>
          <w:rtl w:val="true"/>
        </w:rPr>
        <w:t xml:space="preserve">; </w:t>
      </w:r>
      <w:r>
        <w:rPr>
          <w:rtl w:val="true"/>
        </w:rPr>
        <w:t>את התנהגותו החיובית של המערער ותרומתו לחברה</w:t>
      </w:r>
      <w:r>
        <w:rPr>
          <w:rtl w:val="true"/>
        </w:rPr>
        <w:t xml:space="preserve">, </w:t>
      </w:r>
      <w:r>
        <w:rPr>
          <w:rtl w:val="true"/>
        </w:rPr>
        <w:t>כפי שעלו ממכתבים של שלושה עדי אופי מטעם ההגנה ומדברי המערער</w:t>
      </w:r>
      <w:r>
        <w:rPr>
          <w:rtl w:val="true"/>
        </w:rPr>
        <w:t xml:space="preserve">; </w:t>
      </w:r>
      <w:r>
        <w:rPr>
          <w:rtl w:val="true"/>
        </w:rPr>
        <w:t>את הזמן הרב שחלף מעת ביצוע העבירות</w:t>
      </w:r>
      <w:r>
        <w:rPr>
          <w:rtl w:val="true"/>
        </w:rPr>
        <w:t xml:space="preserve">; </w:t>
      </w:r>
      <w:r>
        <w:rPr>
          <w:rtl w:val="true"/>
        </w:rPr>
        <w:t xml:space="preserve">את מצבו האישי של המערער לאחר רצח בנו בשנת </w:t>
      </w:r>
      <w:r>
        <w:rPr/>
        <w:t>2016</w:t>
      </w:r>
      <w:r>
        <w:rPr>
          <w:rtl w:val="true"/>
        </w:rPr>
        <w:t xml:space="preserve">. </w:t>
      </w:r>
      <w:r>
        <w:rPr>
          <w:rtl w:val="true"/>
        </w:rPr>
        <w:t>בית המשפט שקל גם את עברו הפלילי של המערער בעבירות שונות</w:t>
      </w:r>
      <w:r>
        <w:rPr>
          <w:rtl w:val="true"/>
        </w:rPr>
        <w:t xml:space="preserve">, </w:t>
      </w:r>
      <w:r>
        <w:rPr>
          <w:rtl w:val="true"/>
        </w:rPr>
        <w:t>ובהן עבירת סיוע להריגה</w:t>
      </w:r>
      <w:r>
        <w:rPr>
          <w:rtl w:val="true"/>
        </w:rPr>
        <w:t xml:space="preserve">, </w:t>
      </w:r>
      <w:r>
        <w:rPr>
          <w:rtl w:val="true"/>
        </w:rPr>
        <w:t>ואת התיקון המשמעותי שנערך בכתב האישום לאחר הסדר הטיעון</w:t>
      </w:r>
      <w:r>
        <w:rPr>
          <w:rtl w:val="true"/>
        </w:rPr>
        <w:t xml:space="preserve">. </w:t>
      </w:r>
      <w:r>
        <w:rPr>
          <w:rtl w:val="true"/>
        </w:rPr>
        <w:t>בגזר הדין ניתן משקל אף לצורך להרתיע את המערער ואת הציבור כולו מביצוע עבירות כמו אלו שעבר 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נוכח כל האמור</w:t>
      </w:r>
      <w:r>
        <w:rPr>
          <w:rtl w:val="true"/>
        </w:rPr>
        <w:t xml:space="preserve">, </w:t>
      </w:r>
      <w:r>
        <w:rPr>
          <w:rtl w:val="true"/>
        </w:rPr>
        <w:t xml:space="preserve">הושתו על המערער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;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שלא יעבור עבירת אלימות פיזית מסוג פשע </w:t>
      </w:r>
      <w:r>
        <w:rPr>
          <w:rtl w:val="true"/>
        </w:rPr>
        <w:t>(</w:t>
      </w:r>
      <w:r>
        <w:rPr>
          <w:rtl w:val="true"/>
        </w:rPr>
        <w:t>לרבות ניסיון לעבור אותה</w:t>
      </w:r>
      <w:r>
        <w:rPr>
          <w:rtl w:val="true"/>
        </w:rPr>
        <w:t xml:space="preserve">) </w:t>
      </w:r>
      <w:r>
        <w:rPr>
          <w:rtl w:val="true"/>
        </w:rPr>
        <w:t>למשך שלוש שנים מיום שחרורו</w:t>
      </w:r>
      <w:r>
        <w:rPr>
          <w:rtl w:val="true"/>
        </w:rPr>
        <w:t xml:space="preserve">;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שלא יעבור עבירה לפי </w:t>
      </w:r>
      <w:hyperlink r:id="rId14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–</w:t>
        </w:r>
        <w:r>
          <w:rPr>
            <w:rStyle w:val="Hyperlink"/>
          </w:rPr>
          <w:t>500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או עבירת אלימות פיזית מסוג עוון נגד הגוף </w:t>
      </w:r>
      <w:r>
        <w:rPr>
          <w:rtl w:val="true"/>
        </w:rPr>
        <w:t>(</w:t>
      </w:r>
      <w:r>
        <w:rPr>
          <w:rtl w:val="true"/>
        </w:rPr>
        <w:t>לרבות ניסיון לעבור אותן</w:t>
      </w:r>
      <w:r>
        <w:rPr>
          <w:rtl w:val="true"/>
        </w:rPr>
        <w:t xml:space="preserve">) </w:t>
      </w:r>
      <w:r>
        <w:rPr>
          <w:rtl w:val="true"/>
        </w:rPr>
        <w:t>למשך שלוש שנים מיום שחרורו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בהתאם להסכמת הצדדים</w:t>
      </w:r>
      <w:r>
        <w:rPr>
          <w:rtl w:val="true"/>
        </w:rPr>
        <w:t xml:space="preserve">, </w:t>
      </w:r>
      <w:r>
        <w:rPr>
          <w:rtl w:val="true"/>
        </w:rPr>
        <w:t xml:space="preserve">כי חפיפת המאסר בפועל שהושת על המערער ומאסרו בעונש האחר תחל מיום מעצרו בגין העבירות נושא כתב האישום המתוקן </w:t>
      </w:r>
      <w:r>
        <w:rPr>
          <w:rtl w:val="true"/>
        </w:rPr>
        <w:t>(</w:t>
      </w:r>
      <w:r>
        <w:rPr/>
        <w:t>21.5.2015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  <w:t xml:space="preserve">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המערער טוען כי הושת עליו עונש כבד ובלתי הולם</w:t>
      </w:r>
      <w:r>
        <w:rPr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נטען כי קיים קשר הדוק בין האישום הראשון לאישום השני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ומשכך היה מקום לקבוע מתחם עונש הולם אחד לשניהם</w:t>
      </w:r>
      <w:r>
        <w:rPr>
          <w:rFonts w:cs="Century" w:ascii="Century" w:hAnsi="Century"/>
          <w:sz w:val="22"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צוין כי בין האישומים במקרה דנא חלפו חודשיים</w:t>
      </w:r>
      <w:r>
        <w:rPr>
          <w:rtl w:val="true"/>
        </w:rPr>
        <w:t xml:space="preserve">, </w:t>
      </w:r>
      <w:r>
        <w:rPr>
          <w:rtl w:val="true"/>
        </w:rPr>
        <w:t>שבמהלכן חווה המערער איומים חוזרים ונשנים על חייו מצד אבוטבול</w:t>
      </w:r>
      <w:r>
        <w:rPr>
          <w:rtl w:val="true"/>
        </w:rPr>
        <w:t>.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המערער טוען כי גזר הדין חרג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בניגוד לאמור בו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מתנאי הסדר הטיעון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נטען כי בית המשפט לא התעלם מהעונש האחר כפי שנקבע בהסדר הטיעון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ולכן השית על המערער מאסר בפועל לתקופה ארוכה ובלתי מידתית כדי שהמערער לא ישתחרר ממאסרו לפני תום העונש האחר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שלישית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טוען כי מתחם העונש שנקבע בעבירת הסיוע להריגה חורג ממדיניות הענישה הנוהגת במקרים דומים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לשיטת המערער במקרים דומים נע מתחם העונש ההולם בין </w:t>
      </w:r>
      <w:r>
        <w:rPr>
          <w:rFonts w:cs="Century" w:ascii="Century" w:hAnsi="Century"/>
          <w:sz w:val="22"/>
        </w:rPr>
        <w:t>3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cs="Century" w:ascii="Century" w:hAnsi="Century"/>
          <w:sz w:val="22"/>
        </w:rPr>
        <w:t>5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שנות מאסר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עוד נטען כי בית המשפט המחוזי השווה את מתחם העונש ההולם למדיניות הענישה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רביעית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טוען כי בית משפט קמא התעלם משיקולים לקולה שהיו עשויים להשפיע על קביעת מתחם העונש ההולם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 xml:space="preserve">המערער מציין כי כתב האישום המקורי שהוגש נגדו תוקן תיקון משמעותי שממנו עולה כי הוא לא התכוון להמית את המנוח או את אבוטבול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>אלא אך לפגוע בהם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>וכי חלקו בביצוע העבירות היה קטן באופן יחסי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כן צוין כי בית המשפט נתן משקל מופחת לכך שהאיומים על חיי המערער בתקופת ביצוע העבירות הם הסיבה לביצוע מעשיו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חמישית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המערער טוען כי בית המשפט נתן משקל מופחת לנסיבות עניינו של המערער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שהיו עשויות להשפיע על גזירת עונשו בתוך מתחם העונש ההולם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בין היתר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צוינו תרומתו של המערער לחברה כפי שעלתה מעדויות האופי מטעם ההגנה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נכונותו של המערער לשתף פעולה עם התביעה בהסכמה על הסדר טיעון שחסך זמן שיפוטי רב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תנאי מעצרו בבידוד ופרק הזמן הארוך שחלף מביצוע העבירות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נוסף על כך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ציין המערער את הנסיבות המצערות של רצח בנו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שעליו גילה בעת ששהה במעצר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שישית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נטען כי בית המשפט המחוזי לא נימק די הצורך את גזר דינו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11.6.2018</w:t>
      </w:r>
      <w:r>
        <w:rPr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יריב</w:t>
      </w:r>
      <w:r>
        <w:rPr>
          <w:rtl w:val="true"/>
        </w:rPr>
        <w:t xml:space="preserve">. </w:t>
      </w:r>
      <w:r>
        <w:rPr>
          <w:rtl w:val="true"/>
        </w:rPr>
        <w:t>יריב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החיה</w:t>
      </w:r>
      <w:r>
        <w:rPr>
          <w:rtl w:val="true"/>
        </w:rPr>
        <w:t xml:space="preserve">" </w:t>
      </w:r>
      <w:r>
        <w:rPr>
          <w:rtl w:val="true"/>
        </w:rPr>
        <w:t>מאחורי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לשניים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דומיננטיות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היחסי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יריב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בדיון שלפנינו סמכה המשיבה את ידיה על פסק הדין של בית המשפט המחוזי</w:t>
      </w:r>
      <w:r>
        <w:rPr>
          <w:rtl w:val="true"/>
        </w:rPr>
        <w:t xml:space="preserve">. </w:t>
      </w:r>
      <w:r>
        <w:rPr>
          <w:rtl w:val="true"/>
        </w:rPr>
        <w:t xml:space="preserve">היא הדגישה כי ביסוד ההחלטה להגיע להסדר טיעון מקל עם המערער עמדו שיקולים רבים לקולה </w:t>
      </w:r>
      <w:r>
        <w:rPr>
          <w:rtl w:val="true"/>
        </w:rPr>
        <w:t>–</w:t>
      </w:r>
      <w:r>
        <w:rPr>
          <w:rtl w:val="true"/>
        </w:rPr>
        <w:t xml:space="preserve"> אותם שיקולים שלטענתו לא נשקלו כלל בגזר הדין</w:t>
      </w:r>
      <w:r>
        <w:rPr>
          <w:rtl w:val="true"/>
        </w:rPr>
        <w:t xml:space="preserve">. </w:t>
      </w:r>
      <w:r>
        <w:rPr>
          <w:rtl w:val="true"/>
        </w:rPr>
        <w:t>עוד טענה המשיבה כי טענות המבקש בכל הנוגע למתן משקל מופחת לשיקולים לקולה בקביעת מתחם העונש ההולם אינן עולות בקנה אחד עם כתב האישום המתוקן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נטען כי בשים לב לתפקידו של יריב כעוזרו של המערער</w:t>
      </w:r>
      <w:r>
        <w:rPr>
          <w:rtl w:val="true"/>
        </w:rPr>
        <w:t xml:space="preserve">, </w:t>
      </w:r>
      <w:r>
        <w:rPr>
          <w:rtl w:val="true"/>
        </w:rPr>
        <w:t>ברי כי האחרון הוא שנתן באופן אפקטיבי את האישור לפעולותיו של סאשה</w:t>
      </w:r>
      <w:r>
        <w:rPr>
          <w:rtl w:val="true"/>
        </w:rPr>
        <w:t xml:space="preserve">, </w:t>
      </w:r>
      <w:r>
        <w:rPr>
          <w:rtl w:val="true"/>
        </w:rPr>
        <w:t xml:space="preserve">והוא שהיה </w:t>
      </w:r>
      <w:r>
        <w:rPr>
          <w:rtl w:val="true"/>
        </w:rPr>
        <w:t>"</w:t>
      </w:r>
      <w:r>
        <w:rPr>
          <w:rtl w:val="true"/>
        </w:rPr>
        <w:t>הרוח החיה</w:t>
      </w:r>
      <w:r>
        <w:rPr>
          <w:rtl w:val="true"/>
        </w:rPr>
        <w:t xml:space="preserve">" </w:t>
      </w:r>
      <w:r>
        <w:rPr>
          <w:rtl w:val="true"/>
        </w:rPr>
        <w:t>מאחורי המעשים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 xml:space="preserve">צוין כי המערער סייע להריגת </w:t>
      </w:r>
      <w:r>
        <w:rPr>
          <w:rFonts w:ascii="Century" w:hAnsi="Century" w:cs="Century"/>
          <w:sz w:val="22"/>
          <w:sz w:val="22"/>
          <w:rtl w:val="true"/>
        </w:rPr>
        <w:t>המנוח</w:t>
      </w:r>
      <w:r>
        <w:rPr>
          <w:rtl w:val="true"/>
        </w:rPr>
        <w:t xml:space="preserve"> בכך שאישר לסאשה לפגוע בו</w:t>
      </w:r>
      <w:r>
        <w:rPr>
          <w:rtl w:val="true"/>
        </w:rPr>
        <w:t xml:space="preserve">, </w:t>
      </w:r>
      <w:r>
        <w:rPr>
          <w:rtl w:val="true"/>
        </w:rPr>
        <w:t>ולכן אין מקום לראות בתיקון כתב האישום בעניין זה שיקול לקולה</w:t>
      </w:r>
      <w:r>
        <w:rPr>
          <w:rtl w:val="true"/>
        </w:rPr>
        <w:t xml:space="preserve">.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נטען כי בית המשפט נתן את המשקל המתאים לכך שאיומים על חיי המערער הניעו אותו לעשות את העבירות</w:t>
      </w:r>
      <w:r>
        <w:rPr>
          <w:rtl w:val="true"/>
        </w:rPr>
        <w:t xml:space="preserve">, </w:t>
      </w:r>
      <w:r>
        <w:rPr>
          <w:rtl w:val="true"/>
        </w:rPr>
        <w:t>בין היתר בשים לב לכך שהאיומים באו על רקע מאבקי שליטה בין ארגוני פשיעה</w:t>
      </w:r>
      <w:r>
        <w:rPr>
          <w:rtl w:val="true"/>
        </w:rPr>
        <w:t xml:space="preserve">, </w:t>
      </w:r>
      <w:r>
        <w:rPr>
          <w:rtl w:val="true"/>
        </w:rPr>
        <w:t>ונוכח בחירתו של המערער באלימות חלף פנייה לרשויות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טרם הכרעה בערעור יוער כי המערער העלה טענות שונות החורגות מכתב האישום המתוקן</w:t>
      </w:r>
      <w:r>
        <w:rPr>
          <w:rtl w:val="true"/>
        </w:rPr>
        <w:t xml:space="preserve">. </w:t>
      </w:r>
      <w:r>
        <w:rPr>
          <w:rtl w:val="true"/>
        </w:rPr>
        <w:t>כך למשל הוא טען כי סאשה לא נדרש לאישורו לפגוע במנוח</w:t>
      </w:r>
      <w:r>
        <w:rPr>
          <w:rtl w:val="true"/>
        </w:rPr>
        <w:t xml:space="preserve">; </w:t>
      </w:r>
      <w:r>
        <w:rPr>
          <w:rtl w:val="true"/>
        </w:rPr>
        <w:t>כי סאשה פעל על בסיס כוונותיו העצמאיות וללא קשר למערער</w:t>
      </w:r>
      <w:r>
        <w:rPr>
          <w:rtl w:val="true"/>
        </w:rPr>
        <w:t xml:space="preserve">; </w:t>
      </w:r>
      <w:r>
        <w:rPr>
          <w:rtl w:val="true"/>
        </w:rPr>
        <w:t>כי סאשה התכוון ממילא לשדוד את המנוח בעסקת הסמים</w:t>
      </w:r>
      <w:r>
        <w:rPr>
          <w:rtl w:val="true"/>
        </w:rPr>
        <w:t xml:space="preserve">. </w:t>
      </w:r>
      <w:r>
        <w:rPr>
          <w:rtl w:val="true"/>
        </w:rPr>
        <w:t xml:space="preserve">בית משפט זה קבע לא פעם כי בגזירת הדין אין להביא בחשבון עובדות שלא הוזכרו בכתב האישום שבו הודה הנאשם </w:t>
      </w:r>
      <w:r>
        <w:rPr>
          <w:rtl w:val="true"/>
        </w:rPr>
        <w:t>(</w:t>
      </w:r>
      <w:r>
        <w:rPr>
          <w:rtl w:val="true"/>
        </w:rPr>
        <w:t xml:space="preserve">ראו למשל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4289/14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חנונה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48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הדין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דנציגר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21.1.2015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ברבי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בדין לא נדרש בית המשפט המחוזי לטענות אלו</w:t>
      </w:r>
      <w:r>
        <w:rPr>
          <w:rtl w:val="true"/>
        </w:rPr>
        <w:t xml:space="preserve">. </w:t>
      </w:r>
      <w:r>
        <w:rPr>
          <w:rtl w:val="true"/>
        </w:rPr>
        <w:t>ננהג אף אנו כמותו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לאחר ששקלנו את נימוקי המערער ואת טיעוני הצדדים בדיון שהתקיים לפנינו</w:t>
      </w:r>
      <w:r>
        <w:rPr>
          <w:rtl w:val="true"/>
        </w:rPr>
        <w:t xml:space="preserve">, </w:t>
      </w:r>
      <w:r>
        <w:rPr>
          <w:rtl w:val="true"/>
        </w:rPr>
        <w:t>הגענו לכלל מסקנה כי דין הערעור להידחות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תחילה נידרש לשלוש מטענותיו העקרוניות של המערער</w:t>
      </w:r>
      <w:r>
        <w:rPr>
          <w:rtl w:val="true"/>
        </w:rPr>
        <w:t xml:space="preserve">, </w:t>
      </w:r>
      <w:r>
        <w:rPr>
          <w:rtl w:val="true"/>
        </w:rPr>
        <w:t>ולאחר מכן נבחן אם בנסיבות המקרה דנא מוצדק להקל את העונש שבית המשפט המחוזי השית על 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 xml:space="preserve">הלכה היא שערכאת הערעור תתערב בחומרת העונש שהושת על ידי הערכאה הדיונית רק במקרים חריגים שבהם ישנה סטייה ברורה ממדיניות הענישה הראויה או שנסיבות מיוחדות מצדיקות זאת </w:t>
      </w:r>
      <w:r>
        <w:rPr>
          <w:rtl w:val="true"/>
        </w:rPr>
        <w:t>(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1630/14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שנדי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 (</w:t>
      </w:r>
      <w:r>
        <w:rPr/>
        <w:t>4.12.2014</w:t>
      </w:r>
      <w:r>
        <w:rPr>
          <w:rtl w:val="true"/>
        </w:rPr>
        <w:t xml:space="preserve">)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שנדי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 xml:space="preserve">לא כל שכן מקום שבו העונש שהושת על המערער מצוי בטווח שעליו הוסכם בהסדר הטיעון </w:t>
      </w:r>
      <w:r>
        <w:rPr>
          <w:rtl w:val="true"/>
        </w:rPr>
        <w:t>(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6449/10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4</w:t>
      </w:r>
      <w:r>
        <w:rPr>
          <w:rtl w:val="true"/>
        </w:rPr>
        <w:t xml:space="preserve"> (</w:t>
      </w:r>
      <w:r>
        <w:rPr/>
        <w:t>29.5.2011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סיווג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האירועים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לצורך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קביעת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מתחמי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הענישה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: </w:t>
      </w:r>
      <w:r>
        <w:rPr>
          <w:rtl w:val="true"/>
        </w:rPr>
        <w:t>מקום שנאשם הורשע בכמה עבירות</w:t>
      </w:r>
      <w:r>
        <w:rPr>
          <w:rtl w:val="true"/>
        </w:rPr>
        <w:t xml:space="preserve">, </w:t>
      </w:r>
      <w:r>
        <w:rPr>
          <w:rtl w:val="true"/>
        </w:rPr>
        <w:t xml:space="preserve">יש לבחון תחילה אם הן 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tl w:val="true"/>
        </w:rPr>
        <w:t xml:space="preserve">" </w:t>
      </w:r>
      <w:r>
        <w:rPr>
          <w:rtl w:val="true"/>
        </w:rPr>
        <w:t xml:space="preserve">אחד או כמה </w:t>
      </w:r>
      <w:r>
        <w:rPr>
          <w:rtl w:val="true"/>
        </w:rPr>
        <w:t>"</w:t>
      </w:r>
      <w:r>
        <w:rPr>
          <w:rtl w:val="true"/>
        </w:rPr>
        <w:t>אירועים</w:t>
      </w:r>
      <w:r>
        <w:rPr>
          <w:rtl w:val="true"/>
        </w:rPr>
        <w:t xml:space="preserve">". </w:t>
      </w:r>
      <w:r>
        <w:rPr>
          <w:rtl w:val="true"/>
        </w:rPr>
        <w:t xml:space="preserve">את החלוקה לאירועים עורכים לפי מבחן </w:t>
      </w:r>
      <w:r>
        <w:rPr>
          <w:rtl w:val="true"/>
        </w:rPr>
        <w:t>"</w:t>
      </w:r>
      <w:r>
        <w:rPr>
          <w:rtl w:val="true"/>
        </w:rPr>
        <w:t>הקשר ההדוק</w:t>
      </w:r>
      <w:r>
        <w:rPr>
          <w:rtl w:val="true"/>
        </w:rPr>
        <w:t xml:space="preserve">" </w:t>
      </w:r>
      <w:r>
        <w:rPr>
          <w:rtl w:val="true"/>
        </w:rPr>
        <w:t xml:space="preserve">בין המעשים </w:t>
      </w:r>
      <w:r>
        <w:rPr>
          <w:rtl w:val="true"/>
        </w:rPr>
        <w:t>(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</w:hyperlink>
      <w:r>
        <w:rPr>
          <w:rtl w:val="true"/>
        </w:rPr>
        <w:t xml:space="preserve"> לחוק</w:t>
      </w:r>
      <w:r>
        <w:rPr>
          <w:rtl w:val="true"/>
        </w:rPr>
        <w:t xml:space="preserve">; </w:t>
      </w:r>
      <w:hyperlink r:id="rId19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4910/13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29.10.2014</w:t>
      </w:r>
      <w:r>
        <w:rPr>
          <w:rFonts w:cs="Century" w:ascii="Century" w:hAnsi="Century"/>
          <w:sz w:val="22"/>
          <w:rtl w:val="true"/>
        </w:rPr>
        <w:t>) (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אבר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המערער טוען כי היה על בית המשפט המחוזי לסווג את העבירות במקרה דנא כאירוע אחד</w:t>
      </w:r>
      <w:r>
        <w:rPr>
          <w:rtl w:val="true"/>
        </w:rPr>
        <w:t xml:space="preserve">, </w:t>
      </w:r>
      <w:r>
        <w:rPr>
          <w:rtl w:val="true"/>
        </w:rPr>
        <w:t>ולקבוע בעניינו מתחם עונש אחד</w:t>
      </w:r>
      <w:r>
        <w:rPr>
          <w:rtl w:val="true"/>
        </w:rPr>
        <w:t xml:space="preserve">. </w:t>
      </w:r>
      <w:r>
        <w:rPr>
          <w:rtl w:val="true"/>
        </w:rPr>
        <w:t>לא ראינו לקבוע מסמרות בהתייחס לטענה זו משום שאין לה משמעות מעשית בענייננו</w:t>
      </w:r>
      <w:r>
        <w:rPr>
          <w:rtl w:val="true"/>
        </w:rPr>
        <w:t xml:space="preserve">: </w:t>
      </w:r>
      <w:r>
        <w:rPr>
          <w:rtl w:val="true"/>
        </w:rPr>
        <w:t>קבלתה לא תוביל לשינוי בעונש שהוטל על המערער</w:t>
      </w:r>
      <w:r>
        <w:rPr>
          <w:rtl w:val="true"/>
        </w:rPr>
        <w:t xml:space="preserve">. </w:t>
      </w:r>
      <w:r>
        <w:rPr>
          <w:rtl w:val="true"/>
        </w:rPr>
        <w:t>יש לזכור כי הסיווג לאירועים נועד לתכלית פונקציונלית</w:t>
      </w:r>
      <w:r>
        <w:rPr>
          <w:rtl w:val="true"/>
        </w:rPr>
        <w:t xml:space="preserve">, </w:t>
      </w:r>
      <w:r>
        <w:rPr>
          <w:rtl w:val="true"/>
        </w:rPr>
        <w:t xml:space="preserve">ככלי עזר בידי בית המשפט הגוזר את הדין </w:t>
      </w:r>
      <w:r>
        <w:rPr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ראו 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אבר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>לפסק דיני</w:t>
      </w:r>
      <w:r>
        <w:rPr>
          <w:rtl w:val="true"/>
        </w:rPr>
        <w:t xml:space="preserve">). </w:t>
      </w:r>
      <w:r>
        <w:rPr>
          <w:rtl w:val="true"/>
        </w:rPr>
        <w:t>ממילא במישור המהותי מוטל על בית משפט הקובע מתחם עונש לשקול את מספר המעשים ואת חומרתם</w:t>
      </w:r>
      <w:r>
        <w:rPr>
          <w:rtl w:val="true"/>
        </w:rPr>
        <w:t xml:space="preserve">, </w:t>
      </w:r>
      <w:r>
        <w:rPr>
          <w:rtl w:val="true"/>
        </w:rPr>
        <w:t>אף אם הם סווגו כחלק מאירוע עברייני אחד</w:t>
      </w:r>
      <w:r>
        <w:rPr>
          <w:rtl w:val="true"/>
        </w:rPr>
        <w:t xml:space="preserve">. </w:t>
      </w:r>
      <w:r>
        <w:rPr>
          <w:rtl w:val="true"/>
        </w:rPr>
        <w:t>בית המשפט המחוזי גזר למערער עונש כולל</w:t>
      </w:r>
      <w:r>
        <w:rPr>
          <w:rtl w:val="true"/>
        </w:rPr>
        <w:t xml:space="preserve">, </w:t>
      </w:r>
      <w:r>
        <w:rPr>
          <w:rtl w:val="true"/>
        </w:rPr>
        <w:t>ולא עונש נפרד לכל אירוע</w:t>
      </w:r>
      <w:r>
        <w:rPr>
          <w:rtl w:val="true"/>
        </w:rPr>
        <w:t xml:space="preserve">. </w:t>
      </w:r>
      <w:r>
        <w:rPr>
          <w:rtl w:val="true"/>
        </w:rPr>
        <w:t xml:space="preserve">החשיבות של מספר האירועים לגזירת העונש </w:t>
      </w:r>
      <w:r>
        <w:rPr>
          <w:rtl w:val="true"/>
        </w:rPr>
        <w:t>–</w:t>
      </w:r>
      <w:r>
        <w:rPr>
          <w:rtl w:val="true"/>
        </w:rPr>
        <w:t xml:space="preserve"> פחותה בנסיבות העניין </w:t>
      </w:r>
      <w:r>
        <w:rPr>
          <w:rtl w:val="true"/>
        </w:rPr>
        <w:t>(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2454/18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שיינברג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 xml:space="preserve">לפסק דיני </w:t>
      </w:r>
      <w:r>
        <w:rPr>
          <w:rtl w:val="true"/>
        </w:rPr>
        <w:t>(</w:t>
      </w:r>
      <w:r>
        <w:rPr/>
        <w:t>5.12.2018</w:t>
      </w:r>
      <w:r>
        <w:rPr>
          <w:rtl w:val="true"/>
        </w:rPr>
        <w:t xml:space="preserve">)).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חריגה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מהסדר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הטיעון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:</w:t>
      </w:r>
      <w:r>
        <w:rPr>
          <w:rtl w:val="true"/>
        </w:rPr>
        <w:t xml:space="preserve"> </w:t>
      </w:r>
      <w:r>
        <w:rPr>
          <w:rtl w:val="true"/>
        </w:rPr>
        <w:t>המערער סבור כי בית המשפט גזר את עונשו בהתחשב בעונש האחר</w:t>
      </w:r>
      <w:r>
        <w:rPr>
          <w:rtl w:val="true"/>
        </w:rPr>
        <w:t xml:space="preserve">, </w:t>
      </w:r>
      <w:r>
        <w:rPr>
          <w:rtl w:val="true"/>
        </w:rPr>
        <w:t>בניגוד להסדר הטיעון</w:t>
      </w:r>
      <w:r>
        <w:rPr>
          <w:rtl w:val="true"/>
        </w:rPr>
        <w:t xml:space="preserve">. </w:t>
      </w:r>
      <w:r>
        <w:rPr>
          <w:rtl w:val="true"/>
        </w:rPr>
        <w:t>לא ראינו לקבל טענה זו</w:t>
      </w:r>
      <w:r>
        <w:rPr>
          <w:rtl w:val="true"/>
        </w:rPr>
        <w:t xml:space="preserve">. </w:t>
      </w:r>
      <w:r>
        <w:rPr>
          <w:rtl w:val="true"/>
        </w:rPr>
        <w:t>בהסדר הטיעון סוכם כי הטיעון לעונש יהיה במנותק מהעונש האחר</w:t>
      </w:r>
      <w:r>
        <w:rPr>
          <w:rtl w:val="true"/>
        </w:rPr>
        <w:t xml:space="preserve">, </w:t>
      </w:r>
      <w:r>
        <w:rPr>
          <w:rtl w:val="true"/>
        </w:rPr>
        <w:t>וכי חפיפת המאסרים תחל מיום מעצרו של המערער בגין העבירות נושא כתב האישום המתוקן</w:t>
      </w:r>
      <w:r>
        <w:rPr>
          <w:rtl w:val="true"/>
        </w:rPr>
        <w:t xml:space="preserve">. </w:t>
      </w:r>
      <w:r>
        <w:rPr>
          <w:rtl w:val="true"/>
        </w:rPr>
        <w:t>בית משפט קמא פעל לפי ההסדר האמור</w:t>
      </w:r>
      <w:r>
        <w:rPr>
          <w:rtl w:val="true"/>
        </w:rPr>
        <w:t xml:space="preserve">. </w:t>
      </w:r>
      <w:r>
        <w:rPr>
          <w:rtl w:val="true"/>
        </w:rPr>
        <w:t>לא מצאנו כי העונש שהוטל חמור מהראוי</w:t>
      </w:r>
      <w:r>
        <w:rPr>
          <w:rtl w:val="true"/>
        </w:rPr>
        <w:t xml:space="preserve">. </w:t>
      </w:r>
      <w:r>
        <w:rPr>
          <w:rtl w:val="true"/>
        </w:rPr>
        <w:t>ממילא אין ממש בטענה שאורכו נועד לכך שהמערער ימשיך לשאת עונש מאסר לאחר תום העונש האחר</w:t>
      </w:r>
      <w:r>
        <w:rPr>
          <w:rtl w:val="true"/>
        </w:rPr>
        <w:t xml:space="preserve">, </w:t>
      </w:r>
      <w:r>
        <w:rPr>
          <w:rtl w:val="true"/>
        </w:rPr>
        <w:t>בהתעלם מההסדר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השוואת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עונשו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לעונשו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יריב</w:t>
      </w:r>
      <w:r>
        <w:rPr>
          <w:rFonts w:cs="Miriam"/>
          <w:b/>
          <w:spacing w:val="0"/>
          <w:sz w:val="22"/>
          <w:szCs w:val="24"/>
          <w:rtl w:val="true"/>
        </w:rPr>
        <w:t xml:space="preserve">: </w:t>
      </w:r>
      <w:r>
        <w:rPr>
          <w:rtl w:val="true"/>
        </w:rPr>
        <w:t>המערער טען שהעונש שנגזר עליו פוגע בעקרון אחידות הענישה</w:t>
      </w:r>
      <w:r>
        <w:rPr>
          <w:rtl w:val="true"/>
        </w:rPr>
        <w:t xml:space="preserve">, </w:t>
      </w:r>
      <w:r>
        <w:rPr>
          <w:rtl w:val="true"/>
        </w:rPr>
        <w:t>בהתחשב בעונש שהושת על יריב</w:t>
      </w:r>
      <w:r>
        <w:rPr>
          <w:rtl w:val="true"/>
        </w:rPr>
        <w:t xml:space="preserve">. </w:t>
      </w:r>
      <w:r>
        <w:rPr>
          <w:rtl w:val="true"/>
        </w:rPr>
        <w:t>לא מצאנו ממש בטענה זו</w:t>
      </w:r>
      <w:r>
        <w:rPr>
          <w:rtl w:val="true"/>
        </w:rPr>
        <w:t xml:space="preserve">. </w:t>
      </w:r>
      <w:r>
        <w:rPr>
          <w:rtl w:val="true"/>
        </w:rPr>
        <w:t>לחובת המערער עומדים שיקולים שונים שאינם עומדים לחובת יריב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סעיף העבירה</w:t>
      </w:r>
      <w:r>
        <w:rPr>
          <w:rtl w:val="true"/>
        </w:rPr>
        <w:t xml:space="preserve">: </w:t>
      </w:r>
      <w:r>
        <w:rPr>
          <w:rtl w:val="true"/>
        </w:rPr>
        <w:t>על פרט האישום הראשון הורשע המערער בסיוע להריגה</w:t>
      </w:r>
      <w:r>
        <w:rPr>
          <w:rtl w:val="true"/>
        </w:rPr>
        <w:t xml:space="preserve">, </w:t>
      </w:r>
      <w:r>
        <w:rPr>
          <w:rtl w:val="true"/>
        </w:rPr>
        <w:t>ויריב הורשע בקשירת קשר לביצוע פשע</w:t>
      </w:r>
      <w:r>
        <w:rPr>
          <w:rtl w:val="true"/>
        </w:rPr>
        <w:t xml:space="preserve">. </w:t>
      </w:r>
      <w:r>
        <w:rPr>
          <w:rtl w:val="true"/>
        </w:rPr>
        <w:t>אין צורך להכביר מילים על השוני בחומרת העבירות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מהות המעשים</w:t>
      </w:r>
      <w:r>
        <w:rPr>
          <w:rtl w:val="true"/>
        </w:rPr>
        <w:t xml:space="preserve">: </w:t>
      </w:r>
      <w:r>
        <w:rPr>
          <w:rtl w:val="true"/>
        </w:rPr>
        <w:t>יריב הודה בכתב אישום מתוקן שייחס לו נוכחות בלבד במעמד שבו אישר המערער לסאשה לפגוע במנוח</w:t>
      </w:r>
      <w:r>
        <w:rPr>
          <w:rtl w:val="true"/>
        </w:rPr>
        <w:t xml:space="preserve">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 xml:space="preserve">המערער הודה בכתב אישום מתוקן שייחס לו את האישור </w:t>
      </w:r>
      <w:r>
        <w:rPr>
          <w:rtl w:val="true"/>
        </w:rPr>
        <w:t>(</w:t>
      </w:r>
      <w:r>
        <w:rPr>
          <w:rtl w:val="true"/>
        </w:rPr>
        <w:t>עם יריב</w:t>
      </w:r>
      <w:r>
        <w:rPr>
          <w:rtl w:val="true"/>
        </w:rPr>
        <w:t xml:space="preserve">). </w:t>
      </w:r>
      <w:r>
        <w:rPr>
          <w:rtl w:val="true"/>
        </w:rPr>
        <w:t>המערער נדון לפי מה שהודה בו</w:t>
      </w:r>
      <w:r>
        <w:rPr>
          <w:rtl w:val="true"/>
        </w:rPr>
        <w:t xml:space="preserve">: </w:t>
      </w:r>
      <w:r>
        <w:rPr>
          <w:rtl w:val="true"/>
        </w:rPr>
        <w:t>אישור בצוותא</w:t>
      </w:r>
      <w:r>
        <w:rPr>
          <w:rtl w:val="true"/>
        </w:rPr>
        <w:t xml:space="preserve">, </w:t>
      </w:r>
      <w:r>
        <w:rPr>
          <w:rtl w:val="true"/>
        </w:rPr>
        <w:t>ולא אישור יחיד</w:t>
      </w:r>
      <w:r>
        <w:rPr>
          <w:rtl w:val="true"/>
        </w:rPr>
        <w:t xml:space="preserve">, </w:t>
      </w:r>
      <w:r>
        <w:rPr>
          <w:rtl w:val="true"/>
        </w:rPr>
        <w:t>אולם אף כאן ברור ההבדל בחומרה בין מעשה המערער לנוכחות במעמד האישור</w:t>
      </w:r>
      <w:r>
        <w:rPr>
          <w:rtl w:val="true"/>
        </w:rPr>
        <w:t xml:space="preserve">. </w:t>
      </w:r>
      <w:r>
        <w:rPr>
          <w:rtl w:val="true"/>
        </w:rPr>
        <w:t>בעניין זה מקובלת עלינו טענת המשיבה כי אף אם המערער ויריב אישרו יחדיו לסאשה לפגוע במנוח</w:t>
      </w:r>
      <w:r>
        <w:rPr>
          <w:rtl w:val="true"/>
        </w:rPr>
        <w:t xml:space="preserve">, </w:t>
      </w:r>
      <w:r>
        <w:rPr>
          <w:rtl w:val="true"/>
        </w:rPr>
        <w:t>חלקו של המערער באישור רב יותר משום שהמערער היה בכיר מיריב</w:t>
      </w:r>
      <w:r>
        <w:rPr>
          <w:rtl w:val="true"/>
        </w:rPr>
        <w:t xml:space="preserve">.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למערער עבר פלילי מכביד יותר מליריב</w:t>
      </w:r>
      <w:r>
        <w:rPr>
          <w:rtl w:val="true"/>
        </w:rPr>
        <w:t xml:space="preserve">. </w:t>
      </w:r>
      <w:r>
        <w:rPr>
          <w:rtl w:val="true"/>
        </w:rPr>
        <w:t xml:space="preserve">קיימים הבדלים הן במהות העבירות </w:t>
      </w:r>
      <w:r>
        <w:rPr>
          <w:rtl w:val="true"/>
        </w:rPr>
        <w:t>–</w:t>
      </w:r>
      <w:r>
        <w:rPr>
          <w:rtl w:val="true"/>
        </w:rPr>
        <w:t xml:space="preserve"> ונזכיר כי המערער הורשע בעבר בעבירה דומה</w:t>
      </w:r>
      <w:r>
        <w:rPr>
          <w:rtl w:val="true"/>
        </w:rPr>
        <w:t xml:space="preserve">, </w:t>
      </w:r>
      <w:r>
        <w:rPr>
          <w:rtl w:val="true"/>
        </w:rPr>
        <w:t>של סיוע להריגה</w:t>
      </w:r>
      <w:r>
        <w:rPr>
          <w:rtl w:val="true"/>
        </w:rPr>
        <w:t xml:space="preserve">, </w:t>
      </w:r>
      <w:r>
        <w:rPr>
          <w:rtl w:val="true"/>
        </w:rPr>
        <w:t xml:space="preserve">בניגוד ליריב </w:t>
      </w:r>
      <w:r>
        <w:rPr>
          <w:rtl w:val="true"/>
        </w:rPr>
        <w:t>–</w:t>
      </w:r>
      <w:r>
        <w:rPr>
          <w:rtl w:val="true"/>
        </w:rPr>
        <w:t xml:space="preserve"> הן במספרן</w:t>
      </w:r>
      <w:r>
        <w:rPr>
          <w:rtl w:val="true"/>
        </w:rPr>
        <w:t xml:space="preserve">. </w:t>
      </w:r>
      <w:r>
        <w:rPr>
          <w:rtl w:val="true"/>
        </w:rPr>
        <w:t>אף זה שיקול שמצדיק להחמיר בעונש של המערער יותר מהעונש של יריב</w:t>
      </w:r>
      <w:r>
        <w:rPr>
          <w:rtl w:val="true"/>
        </w:rPr>
        <w:t xml:space="preserve">. </w:t>
      </w:r>
      <w:r>
        <w:rPr>
          <w:rtl w:val="true"/>
        </w:rPr>
        <w:t>בשל כל אלה לא מצאנו כי עונשו של המערער חמור מדי בהתחשב בעונש של יריב</w:t>
      </w:r>
      <w:r>
        <w:rPr>
          <w:rtl w:val="true"/>
        </w:rPr>
        <w:t xml:space="preserve">, </w:t>
      </w:r>
      <w:r>
        <w:rPr>
          <w:rtl w:val="true"/>
        </w:rPr>
        <w:t>גם אם נניח כי זה האחרון נוטה לקולה</w:t>
      </w:r>
      <w:r>
        <w:rPr>
          <w:rtl w:val="true"/>
        </w:rPr>
        <w:t xml:space="preserve">, </w:t>
      </w:r>
      <w:r>
        <w:rPr>
          <w:rtl w:val="true"/>
        </w:rPr>
        <w:t>ודאי בשקלול של יתר שיקולי הענישה שצריכים לעניין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end="0"/>
        <w:jc w:val="both"/>
        <w:rPr/>
      </w:pPr>
      <w:r>
        <w:rPr>
          <w:rtl w:val="true"/>
        </w:rPr>
        <w:t>אף בהתחשב בטענותיו הקונקרטיות של המערער</w:t>
      </w:r>
      <w:r>
        <w:rPr>
          <w:rtl w:val="true"/>
        </w:rPr>
        <w:t xml:space="preserve">, </w:t>
      </w:r>
      <w:r>
        <w:rPr>
          <w:rtl w:val="true"/>
        </w:rPr>
        <w:t>לא ראינו להתערב בעונש שגזר עליו בית המשפט המחוזי</w:t>
      </w:r>
      <w:r>
        <w:rPr>
          <w:rtl w:val="true"/>
        </w:rPr>
        <w:t xml:space="preserve">. </w:t>
      </w:r>
      <w:r>
        <w:rPr>
          <w:rtl w:val="true"/>
        </w:rPr>
        <w:t>אין חולק על החומרה הגלומה במעשים שבהם הודה המערער</w:t>
      </w:r>
      <w:r>
        <w:rPr>
          <w:rtl w:val="true"/>
        </w:rPr>
        <w:t xml:space="preserve">. </w:t>
      </w:r>
      <w:r>
        <w:rPr>
          <w:rtl w:val="true"/>
        </w:rPr>
        <w:t>הוא סייע להריגתו של אדם אחד וקשר קשר לפגוע באחר</w:t>
      </w:r>
      <w:r>
        <w:rPr>
          <w:rtl w:val="true"/>
        </w:rPr>
        <w:t xml:space="preserve">, </w:t>
      </w:r>
      <w:r>
        <w:rPr>
          <w:rtl w:val="true"/>
        </w:rPr>
        <w:t>הכול על רקע סכסוך בין קבוצות עבריינים</w:t>
      </w:r>
      <w:r>
        <w:rPr>
          <w:rtl w:val="true"/>
        </w:rPr>
        <w:t xml:space="preserve">. </w:t>
      </w:r>
      <w:r>
        <w:rPr>
          <w:rtl w:val="true"/>
        </w:rPr>
        <w:t xml:space="preserve">מעשים אלו מצדיקים ענישה הולמת ומרתיעה </w:t>
      </w:r>
      <w:r>
        <w:rPr>
          <w:rtl w:val="true"/>
        </w:rPr>
        <w:t>(</w:t>
      </w:r>
      <w:r>
        <w:rPr>
          <w:rtl w:val="true"/>
        </w:rPr>
        <w:t>ראו והשוו</w:t>
      </w:r>
      <w:r>
        <w:rPr>
          <w:rFonts w:ascii="FrankRuehl" w:hAnsi="FrankRuehl" w:cs="FrankRuehl"/>
          <w:color w:val="000000"/>
          <w:sz w:val="28"/>
          <w:sz w:val="28"/>
          <w:rtl w:val="true"/>
        </w:rPr>
        <w:t xml:space="preserve"> 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שנדי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20</w:t>
      </w:r>
      <w:r>
        <w:rPr>
          <w:rtl w:val="true"/>
        </w:rPr>
        <w:t xml:space="preserve">;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5649/05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רווח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3.7.2007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המערער לא מילא תפקיד שולי בהתרחשויות</w:t>
      </w:r>
      <w:r>
        <w:rPr>
          <w:rtl w:val="true"/>
        </w:rPr>
        <w:t xml:space="preserve">. </w:t>
      </w:r>
      <w:r>
        <w:rPr>
          <w:rtl w:val="true"/>
        </w:rPr>
        <w:t>הוא אישר לסאשה להרוג את המנוח כדי לסכל את תוכנית אבוטבול</w:t>
      </w:r>
      <w:r>
        <w:rPr>
          <w:rtl w:val="true"/>
        </w:rPr>
        <w:t xml:space="preserve">. </w:t>
      </w:r>
      <w:r>
        <w:rPr>
          <w:rtl w:val="true"/>
        </w:rPr>
        <w:t xml:space="preserve">אלמלא האישור </w:t>
      </w:r>
      <w:r>
        <w:rPr>
          <w:rtl w:val="true"/>
        </w:rPr>
        <w:t>–</w:t>
      </w:r>
      <w:r>
        <w:rPr>
          <w:rtl w:val="true"/>
        </w:rPr>
        <w:t xml:space="preserve"> סאשה לא היה הורג את המנוח על רקע זה</w:t>
      </w:r>
      <w:r>
        <w:rPr>
          <w:rtl w:val="true"/>
        </w:rPr>
        <w:t xml:space="preserve">. </w:t>
      </w:r>
      <w:r>
        <w:rPr>
          <w:rtl w:val="true"/>
        </w:rPr>
        <w:t>המערער אף נטל חלק בקשירת הקשר לפגוע באבוטבול</w:t>
      </w:r>
      <w:r>
        <w:rPr>
          <w:rtl w:val="true"/>
        </w:rPr>
        <w:t xml:space="preserve">, </w:t>
      </w:r>
      <w:r>
        <w:rPr>
          <w:rtl w:val="true"/>
        </w:rPr>
        <w:t>מעשה שנעשה ברחובה של עיר הומה אדם ושסיכן עוברי אורח חפים מפשע</w:t>
      </w:r>
      <w:r>
        <w:rPr>
          <w:rtl w:val="true"/>
        </w:rPr>
        <w:t xml:space="preserve">. </w:t>
      </w:r>
      <w:r>
        <w:rPr>
          <w:rtl w:val="true"/>
        </w:rPr>
        <w:t>אומנם באותה תקופה חווה המערער איומים חוזרים ונשנים על חייו מצד אבוטבול ומקרוביו</w:t>
      </w:r>
      <w:r>
        <w:rPr>
          <w:rtl w:val="true"/>
        </w:rPr>
        <w:t xml:space="preserve">. </w:t>
      </w:r>
      <w:r>
        <w:rPr>
          <w:rtl w:val="true"/>
        </w:rPr>
        <w:t xml:space="preserve">אולם אין באיומים אלה </w:t>
      </w:r>
      <w:r>
        <w:rPr>
          <w:rtl w:val="true"/>
        </w:rPr>
        <w:t>–</w:t>
      </w:r>
      <w:r>
        <w:rPr>
          <w:rtl w:val="true"/>
        </w:rPr>
        <w:t xml:space="preserve"> שהתרחשו על רקע סכסוך בין קבוצות עבריינים </w:t>
      </w:r>
      <w:r>
        <w:rPr>
          <w:rtl w:val="true"/>
        </w:rPr>
        <w:t>–</w:t>
      </w:r>
      <w:r>
        <w:rPr>
          <w:rtl w:val="true"/>
        </w:rPr>
        <w:t xml:space="preserve"> קצה קצהו של טעם המצדיק את מעשיו החמורים של המערער</w:t>
      </w:r>
      <w:r>
        <w:rPr>
          <w:rtl w:val="true"/>
        </w:rPr>
        <w:t xml:space="preserve">. </w:t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גם האיומים הללו נשקלו במלאכת גזירת הדין</w:t>
      </w:r>
      <w:r>
        <w:rPr>
          <w:rtl w:val="true"/>
        </w:rPr>
        <w:t xml:space="preserve">. </w:t>
      </w:r>
      <w:r>
        <w:rPr>
          <w:rtl w:val="true"/>
        </w:rPr>
        <w:t>בית המשפט המחוזי שקל היטב את כל נסיבות העניין</w:t>
      </w:r>
      <w:r>
        <w:rPr>
          <w:rtl w:val="true"/>
        </w:rPr>
        <w:t xml:space="preserve">: </w:t>
      </w:r>
      <w:r>
        <w:rPr>
          <w:rtl w:val="true"/>
        </w:rPr>
        <w:t>חומרת המעשים מחד גיסא והסיבות שהביאו את המערער לבצעם מאידך גיסא</w:t>
      </w:r>
      <w:r>
        <w:rPr>
          <w:rtl w:val="true"/>
        </w:rPr>
        <w:t xml:space="preserve">; </w:t>
      </w:r>
      <w:r>
        <w:rPr>
          <w:rtl w:val="true"/>
        </w:rPr>
        <w:t xml:space="preserve">העבר הפלילי המכביד של המערער למול נסיבות חייו הקשות </w:t>
      </w:r>
      <w:r>
        <w:rPr>
          <w:rtl w:val="true"/>
        </w:rPr>
        <w:t>–</w:t>
      </w:r>
      <w:r>
        <w:rPr>
          <w:rtl w:val="true"/>
        </w:rPr>
        <w:t xml:space="preserve"> הבריאותיות והאישיות</w:t>
      </w:r>
      <w:r>
        <w:rPr>
          <w:rtl w:val="true"/>
        </w:rPr>
        <w:t xml:space="preserve">. </w:t>
      </w:r>
      <w:r>
        <w:rPr>
          <w:rtl w:val="true"/>
        </w:rPr>
        <w:t>בית המשפט אף נתן משקל נכבד לשיתוף הפעולה של המערער עם רשויות התביעה</w:t>
      </w:r>
      <w:r>
        <w:rPr>
          <w:rtl w:val="true"/>
        </w:rPr>
        <w:t xml:space="preserve">. </w:t>
      </w:r>
      <w:r>
        <w:rPr>
          <w:rtl w:val="true"/>
        </w:rPr>
        <w:t>לא מצאנו עילה להתערב באיזון שערך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גם בראי מדיניות הענישה הנוהגת בעבירות שבהן הורשע המערער </w:t>
      </w:r>
      <w:r>
        <w:rPr>
          <w:rtl w:val="true"/>
        </w:rPr>
        <w:t>(</w:t>
      </w:r>
      <w:r>
        <w:rPr>
          <w:rtl w:val="true"/>
        </w:rPr>
        <w:t xml:space="preserve">ראו למשל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2453/15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חיימוב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11.12.2016</w:t>
      </w:r>
      <w:r>
        <w:rPr>
          <w:rFonts w:cs="Century" w:ascii="Century" w:hAnsi="Century"/>
          <w:sz w:val="22"/>
          <w:rtl w:val="true"/>
        </w:rPr>
        <w:t xml:space="preserve">); </w:t>
      </w:r>
      <w:r>
        <w:rPr>
          <w:rFonts w:ascii="Century" w:hAnsi="Century" w:cs="Century"/>
          <w:sz w:val="22"/>
          <w:sz w:val="22"/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שנדי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6575/97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ברכאת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29.5.2000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>.</w:t>
      </w:r>
    </w:p>
    <w:p>
      <w:pPr>
        <w:pStyle w:val="Ruller4"/>
        <w:ind w:end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ניתן היום</w:t>
      </w:r>
      <w:r>
        <w:rPr>
          <w:rFonts w:cs="Times New Roman" w:ascii="Times New Roman" w:hAnsi="Times New Roman"/>
          <w:rtl w:val="true"/>
        </w:rPr>
        <w:t>, ‏</w:t>
      </w:r>
      <w:r>
        <w:rPr>
          <w:rFonts w:ascii="Times New Roman" w:hAnsi="Times New Roman" w:cs="Times New Roman"/>
          <w:rtl w:val="true"/>
        </w:rPr>
        <w:t>ב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בטבת התשע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ט </w:t>
      </w:r>
      <w:r>
        <w:rPr>
          <w:rFonts w:cs="Times New Roman" w:ascii="Times New Roman" w:hAnsi="Times New Roman"/>
          <w:rtl w:val="true"/>
        </w:rPr>
        <w:t>(‏</w:t>
      </w:r>
      <w:r>
        <w:rPr>
          <w:rFonts w:cs="Times New Roman" w:ascii="Times New Roman" w:hAnsi="Times New Roman"/>
        </w:rPr>
        <w:t>10.12.2018</w:t>
      </w:r>
      <w:r>
        <w:rPr>
          <w:rFonts w:cs="Times New Roman" w:ascii="Times New Roman" w:hAnsi="Times New Roman"/>
          <w:rtl w:val="true"/>
        </w:rPr>
        <w:t xml:space="preserve">). </w:t>
      </w:r>
    </w:p>
    <w:p>
      <w:pPr>
        <w:pStyle w:val="Ruller4"/>
        <w:ind w:end="0"/>
        <w:jc w:val="start"/>
        <w:rPr>
          <w:rFonts w:ascii="Times New Roman" w:hAnsi="Times New Roman" w:cs="Times New Roman"/>
          <w:color w:val="FFFFFF"/>
          <w:sz w:val="2"/>
          <w:szCs w:val="2"/>
        </w:rPr>
      </w:pPr>
      <w:r>
        <w:rPr>
          <w:rFonts w:cs="Times New Roman" w:ascii="Times New Roman" w:hAnsi="Times New Roman"/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17068880</w:t>
      </w:r>
      <w:r>
        <w:rPr>
          <w:sz w:val="16"/>
          <w:rtl w:val="true"/>
        </w:rPr>
        <w:t>_</w:t>
      </w:r>
      <w:r>
        <w:rPr>
          <w:sz w:val="16"/>
        </w:rPr>
        <w:t>M05.doc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4">
        <w:r>
          <w:rPr>
            <w:rStyle w:val="Hyperlink"/>
            <w:color w:val="548DD4"/>
            <w:sz w:val="16"/>
            <w:u w:val="single"/>
          </w:rPr>
          <w:t>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Times New Roman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ע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פוגלמן </w:t>
      </w:r>
      <w:r>
        <w:rPr>
          <w:rFonts w:cs="David" w:ascii="David" w:hAnsi="David"/>
          <w:color w:val="000000"/>
          <w:szCs w:val="22"/>
        </w:rPr>
        <w:t>54678313-6888/17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6"/>
      <w:footerReference w:type="default" r:id="rId2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altName w:val="Arial Narrow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11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6888/17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אריה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ריקו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ascii="David" w:hAnsi="David"/>
        <w:color w:val="000000"/>
        <w:sz w:val="22"/>
        <w:sz w:val="22"/>
        <w:szCs w:val="22"/>
        <w:rtl w:val="true"/>
      </w:rPr>
      <w:t>שירזי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;Arial Narrow" w:hAnsi="Tahoma;Arial Narrow" w:cs="Tahoma;Arial Narrow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;Arial Narrow" w:hAnsi="Tahoma;Arial Narrow" w:cs="Tahoma;Arial Narrow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435962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31" TargetMode="External"/><Relationship Id="rId5" Type="http://schemas.openxmlformats.org/officeDocument/2006/relationships/hyperlink" Target="http://www.nevo.co.il/law/70301/298" TargetMode="External"/><Relationship Id="rId6" Type="http://schemas.openxmlformats.org/officeDocument/2006/relationships/hyperlink" Target="http://www.nevo.co.il/law/70301/40jc" TargetMode="External"/><Relationship Id="rId7" Type="http://schemas.openxmlformats.org/officeDocument/2006/relationships/hyperlink" Target="http://www.nevo.co.il/law/70301/499" TargetMode="External"/><Relationship Id="rId8" Type="http://schemas.openxmlformats.org/officeDocument/2006/relationships/hyperlink" Target="http://www.nevo.co.il/law/70301/499.a.1" TargetMode="External"/><Relationship Id="rId9" Type="http://schemas.openxmlformats.org/officeDocument/2006/relationships/hyperlink" Target="http://www.nevo.co.il/law/70301/500" TargetMode="External"/><Relationship Id="rId10" Type="http://schemas.openxmlformats.org/officeDocument/2006/relationships/hyperlink" Target="http://www.nevo.co.il/law/70301/298" TargetMode="External"/><Relationship Id="rId11" Type="http://schemas.openxmlformats.org/officeDocument/2006/relationships/hyperlink" Target="http://www.nevo.co.il/law/70301/3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law/70301/499;500" TargetMode="External"/><Relationship Id="rId15" Type="http://schemas.openxmlformats.org/officeDocument/2006/relationships/hyperlink" Target="http://www.nevo.co.il/case/17009738" TargetMode="External"/><Relationship Id="rId16" Type="http://schemas.openxmlformats.org/officeDocument/2006/relationships/hyperlink" Target="http://www.nevo.co.il/case/13022252" TargetMode="External"/><Relationship Id="rId17" Type="http://schemas.openxmlformats.org/officeDocument/2006/relationships/hyperlink" Target="http://www.nevo.co.il/case/6066356" TargetMode="External"/><Relationship Id="rId18" Type="http://schemas.openxmlformats.org/officeDocument/2006/relationships/hyperlink" Target="http://www.nevo.co.il/law/70301/40jc" TargetMode="External"/><Relationship Id="rId19" Type="http://schemas.openxmlformats.org/officeDocument/2006/relationships/hyperlink" Target="http://www.nevo.co.il/case/13093721" TargetMode="External"/><Relationship Id="rId20" Type="http://schemas.openxmlformats.org/officeDocument/2006/relationships/hyperlink" Target="http://www.nevo.co.il/case/23825973" TargetMode="External"/><Relationship Id="rId21" Type="http://schemas.openxmlformats.org/officeDocument/2006/relationships/hyperlink" Target="http://www.nevo.co.il/case/5811445" TargetMode="External"/><Relationship Id="rId22" Type="http://schemas.openxmlformats.org/officeDocument/2006/relationships/hyperlink" Target="http://www.nevo.co.il/case/20178061" TargetMode="External"/><Relationship Id="rId23" Type="http://schemas.openxmlformats.org/officeDocument/2006/relationships/hyperlink" Target="http://www.nevo.co.il/case/6072748" TargetMode="External"/><Relationship Id="rId24" Type="http://schemas.openxmlformats.org/officeDocument/2006/relationships/hyperlink" Target="https://supreme.court.gov.il/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2018-12-15T15:19:00Z</dcterms:created>
  <dc:creator> </dc:creator>
  <dc:description/>
  <cp:keywords/>
  <dc:language>en-IL</dc:language>
  <cp:lastModifiedBy>orly</cp:lastModifiedBy>
  <cp:lastPrinted>2018-12-10T17:31:00Z</cp:lastPrinted>
  <dcterms:modified xsi:type="dcterms:W3CDTF">2018-12-15T15:19:00Z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אריה (ריקו) שירזי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20435962;17009738;13022252;6066356;13093721;23825973;5811445;20178061;6072748</vt:lpwstr>
  </property>
  <property fmtid="{D5CDD505-2E9C-101B-9397-08002B2CF9AE}" pid="9" name="CITY">
    <vt:lpwstr/>
  </property>
  <property fmtid="{D5CDD505-2E9C-101B-9397-08002B2CF9AE}" pid="10" name="DATE">
    <vt:lpwstr>20181210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פוגלמן;ע' ברון;ע' גרוסקופף</vt:lpwstr>
  </property>
  <property fmtid="{D5CDD505-2E9C-101B-9397-08002B2CF9AE}" pid="14" name="LAWLISTTMP1">
    <vt:lpwstr>70301/298;031;499.a.1;499;500;40jc</vt:lpwstr>
  </property>
  <property fmtid="{D5CDD505-2E9C-101B-9397-08002B2CF9AE}" pid="15" name="LAWYER">
    <vt:lpwstr>נילי פינקלשטיין;מיטב דגן;טומי נדשי;תומר אשש;שלי חמו אדרי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>דיון פלילי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18;18;77;77;77</vt:lpwstr>
  </property>
  <property fmtid="{D5CDD505-2E9C-101B-9397-08002B2CF9AE}" pid="37" name="NOSE21">
    <vt:lpwstr>ערעור</vt:lpwstr>
  </property>
  <property fmtid="{D5CDD505-2E9C-101B-9397-08002B2CF9AE}" pid="38" name="NOSE210">
    <vt:lpwstr/>
  </property>
  <property fmtid="{D5CDD505-2E9C-101B-9397-08002B2CF9AE}" pid="39" name="NOSE22">
    <vt:lpwstr>גזר-דין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>ענישה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504;452;1446;1446;1446</vt:lpwstr>
  </property>
  <property fmtid="{D5CDD505-2E9C-101B-9397-08002B2CF9AE}" pid="48" name="NOSE31">
    <vt:lpwstr>אי-התערבות במידת העונש</vt:lpwstr>
  </property>
  <property fmtid="{D5CDD505-2E9C-101B-9397-08002B2CF9AE}" pid="49" name="NOSE310">
    <vt:lpwstr/>
  </property>
  <property fmtid="{D5CDD505-2E9C-101B-9397-08002B2CF9AE}" pid="50" name="NOSE32">
    <vt:lpwstr>התייחסות לנסיבות שלא פורטו בכתב אישום מתוקן</vt:lpwstr>
  </property>
  <property fmtid="{D5CDD505-2E9C-101B-9397-08002B2CF9AE}" pid="51" name="NOSE33">
    <vt:lpwstr>מתחם הענישה</vt:lpwstr>
  </property>
  <property fmtid="{D5CDD505-2E9C-101B-9397-08002B2CF9AE}" pid="52" name="NOSE34">
    <vt:lpwstr>הבניית שיקול הדעת השיפוטי בענישה</vt:lpwstr>
  </property>
  <property fmtid="{D5CDD505-2E9C-101B-9397-08002B2CF9AE}" pid="53" name="NOSE35">
    <vt:lpwstr>מדיניות ענישה: סיוע להריגה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17039;15663;14985;15573;</vt:lpwstr>
  </property>
  <property fmtid="{D5CDD505-2E9C-101B-9397-08002B2CF9AE}" pid="59" name="PADIDATE">
    <vt:lpwstr>20181212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6888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410120181210</vt:lpwstr>
  </property>
  <property fmtid="{D5CDD505-2E9C-101B-9397-08002B2CF9AE}" pid="69" name="TYPE_N_DATE">
    <vt:lpwstr>41020181210</vt:lpwstr>
  </property>
  <property fmtid="{D5CDD505-2E9C-101B-9397-08002B2CF9AE}" pid="70" name="VOLUME">
    <vt:lpwstr/>
  </property>
  <property fmtid="{D5CDD505-2E9C-101B-9397-08002B2CF9AE}" pid="71" name="WORDNUMPAGES">
    <vt:lpwstr>10</vt:lpwstr>
  </property>
</Properties>
</file>