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6893/17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42987-06-16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27.6</w:t>
            </w:r>
            <w:r>
              <w:rPr>
                <w:sz w:val="24"/>
                <w:szCs w:val="24"/>
              </w:rPr>
              <w:t>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 w:val="24"/>
                <w:szCs w:val="24"/>
                <w:rtl w:val="true"/>
              </w:rPr>
              <w:t>גית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מאק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קלמנוביץ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7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278" w:type="dxa"/>
            <w:tcBorders/>
          </w:tcPr>
          <w:p>
            <w:pPr>
              <w:pStyle w:val="BodyRuller1"/>
              <w:ind w:end="0"/>
              <w:jc w:val="start"/>
              <w:rPr>
                <w:szCs w:val="22"/>
              </w:rPr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16.7.2018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אריאל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הרמן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המשיב</w:t>
            </w:r>
            <w:r>
              <w:rPr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שרית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רייך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אבניאל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שירות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המבחן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למבוגרים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הגב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ברכה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לבקשתו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גניבה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שכזו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נלקחה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והיוותה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ובגילו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במגמת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לרכוש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הצטיידות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שחרורו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במיקומו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למיקומו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החפיפה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בחופף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שבנדון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לשחרור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ההוראה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מאגף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משתלבים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והולמת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קלמנוביץ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42987-06-16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19.1.2017</w:t>
      </w:r>
      <w:r>
        <w:rPr>
          <w:rtl w:val="true"/>
        </w:rPr>
        <w:t xml:space="preserve"> </w:t>
      </w:r>
      <w:r>
        <w:rPr>
          <w:rtl w:val="true"/>
        </w:rPr>
        <w:t>הורשע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הודאתו שניתנה במסגרת הסדר טיעון שלא כלל התייחסות לעונש</w:t>
      </w:r>
      <w:r>
        <w:rPr>
          <w:rtl w:val="true"/>
        </w:rPr>
        <w:t xml:space="preserve">, </w:t>
      </w:r>
      <w:r>
        <w:rPr>
          <w:rtl w:val="true"/>
        </w:rPr>
        <w:t xml:space="preserve">בכתב אישום המייחס לו עבירות של נשיאת נשק </w:t>
      </w:r>
      <w:r>
        <w:rPr>
          <w:rtl w:val="true"/>
        </w:rPr>
        <w:t>(</w:t>
      </w:r>
      <w:r>
        <w:rPr>
          <w:rtl w:val="true"/>
        </w:rPr>
        <w:t xml:space="preserve">עבירה 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 xml:space="preserve">איומים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 xml:space="preserve">ניסיון לחבלה בכוונה מחמירה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 xml:space="preserve">וניסיון תקיפה סתם בנסיבות מחמירות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הנשק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האישום הראשון</w:t>
      </w:r>
      <w:r>
        <w:rPr>
          <w:rtl w:val="true"/>
        </w:rPr>
        <w:t xml:space="preserve">, </w:t>
      </w:r>
      <w:r>
        <w:rPr>
          <w:rtl w:val="true"/>
        </w:rPr>
        <w:t>המערער השליך לעבר חצר בית בירושלים רימון הלם במטרה להטיל אימה על תושבי הבית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האישום השני</w:t>
      </w:r>
      <w:r>
        <w:rPr>
          <w:rtl w:val="true"/>
        </w:rPr>
        <w:t xml:space="preserve">, </w:t>
      </w:r>
      <w:r>
        <w:rPr>
          <w:rtl w:val="true"/>
        </w:rPr>
        <w:t>על רקע סכסוך בין המערער וחבריו לבין אחרים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הצטייד המערער </w:t>
      </w:r>
      <w:r>
        <w:rPr>
          <w:rFonts w:ascii="Century" w:hAnsi="Century" w:cs="Century"/>
          <w:sz w:val="22"/>
          <w:sz w:val="22"/>
          <w:rtl w:val="true"/>
        </w:rPr>
        <w:t xml:space="preserve">בכלי נשק מאולתר שבו כדור קליבר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מ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הנשק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ואחד מבין חבריו הצטייד ברימון גז ובשני רימוני הלם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וחבריו הגיעו למקום בו נמצאו האחרים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המערער ניסה לירות לעבר רגליו של אחד מבין האחרים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באמצעות כלי הנשק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שלא פעל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או אז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השליך המערער לעבר האחר רימון גז שקיבל מאחד מחבריו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לבקשת המערער</w:t>
      </w:r>
      <w:r>
        <w:rPr>
          <w:rtl w:val="true"/>
        </w:rPr>
        <w:t xml:space="preserve">, </w:t>
      </w:r>
      <w:r>
        <w:rPr>
          <w:rtl w:val="true"/>
        </w:rPr>
        <w:t>צורפו שני כתבי אישום נוספים להליך</w:t>
      </w:r>
      <w:r>
        <w:rPr>
          <w:rtl w:val="true"/>
        </w:rPr>
        <w:t xml:space="preserve">.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 xml:space="preserve">עניינו בחמש עבירות סחר בסמים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</w:t>
      </w:r>
      <w:hyperlink r:id="rId2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 </w:t>
      </w:r>
      <w:r>
        <w:rPr>
          <w:rtl w:val="true"/>
        </w:rPr>
        <w:t xml:space="preserve">ובעבירה אחת של החזקת סם שלא לצריכה עצמית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9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לפקודה</w:t>
      </w:r>
      <w:r>
        <w:rPr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הסמים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המערער הורשע בכך שבהזדמנויות שונות מכר סמים מסוג חשיש וקנבוס לקונים שונים</w:t>
      </w:r>
      <w:r>
        <w:rPr>
          <w:rtl w:val="true"/>
        </w:rPr>
        <w:t xml:space="preserve">, </w:t>
      </w:r>
      <w:r>
        <w:rPr>
          <w:rtl w:val="true"/>
        </w:rPr>
        <w:t>ביניהם שני שוטרים</w:t>
      </w:r>
      <w:r>
        <w:rPr>
          <w:rtl w:val="true"/>
        </w:rPr>
        <w:t xml:space="preserve">, </w:t>
      </w:r>
      <w:r>
        <w:rPr>
          <w:rtl w:val="true"/>
        </w:rPr>
        <w:t xml:space="preserve">תמורת סכומים שנעו בין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כן נמצאו בחזקת המערער סמים מסוג חשיש וקנבוס</w:t>
      </w:r>
      <w:r>
        <w:rPr>
          <w:rtl w:val="true"/>
        </w:rPr>
        <w:t xml:space="preserve">, </w:t>
      </w:r>
      <w:r>
        <w:rPr>
          <w:rtl w:val="true"/>
        </w:rPr>
        <w:t>שלא לצריכה עצמית</w:t>
      </w:r>
      <w:r>
        <w:rPr>
          <w:rtl w:val="true"/>
        </w:rPr>
        <w:t xml:space="preserve">, </w:t>
      </w:r>
      <w:r>
        <w:rPr>
          <w:rtl w:val="true"/>
        </w:rPr>
        <w:t>חלקם במנות</w:t>
      </w:r>
      <w:r>
        <w:rPr>
          <w:rtl w:val="true"/>
        </w:rPr>
        <w:t xml:space="preserve">, </w:t>
      </w:r>
      <w:r>
        <w:rPr>
          <w:rtl w:val="true"/>
        </w:rPr>
        <w:t>וכן חומר החשוד כקריסטל במשקל לא ידוע המחולק לחמש מנות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עניינו בעבירת גניבה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הגניבה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 xml:space="preserve">המערער הורשע בגניבת אופניים חשמליים בשווי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מכניסה לחנות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2"/>
        <w:ind w:end="0"/>
        <w:jc w:val="both"/>
        <w:rPr>
          <w:rFonts w:ascii="Garamond" w:hAnsi="Garamond" w:cs="Garamond"/>
          <w:b/>
          <w:spacing w:val="0"/>
          <w:sz w:val="24"/>
          <w:szCs w:val="24"/>
        </w:rPr>
      </w:pPr>
      <w:r>
        <w:rPr>
          <w:rFonts w:cs="Garamond" w:ascii="Garamond" w:hAnsi="Garamond"/>
          <w:b/>
          <w:spacing w:val="0"/>
          <w:sz w:val="24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הדין עמד בית המשפט לחומרה על מגוון העבירות שבוצעו על</w:t>
      </w:r>
      <w:r>
        <w:rPr>
          <w:rtl w:val="true"/>
        </w:rPr>
        <w:t>-</w:t>
      </w:r>
      <w:r>
        <w:rPr>
          <w:rtl w:val="true"/>
        </w:rPr>
        <w:t xml:space="preserve">ידי המערער </w:t>
      </w:r>
      <w:r>
        <w:rPr>
          <w:rtl w:val="true"/>
        </w:rPr>
        <w:t>–</w:t>
      </w:r>
      <w:r>
        <w:rPr>
          <w:rtl w:val="true"/>
        </w:rPr>
        <w:t xml:space="preserve"> סחר בסמים ועבירות בנשק</w:t>
      </w:r>
      <w:r>
        <w:rPr>
          <w:rtl w:val="true"/>
        </w:rPr>
        <w:t xml:space="preserve">, </w:t>
      </w:r>
      <w:r>
        <w:rPr>
          <w:rtl w:val="true"/>
        </w:rPr>
        <w:t>כנסיבה המצביעה על מעורבות עמוקה בעולם העברייני</w:t>
      </w:r>
      <w:r>
        <w:rPr>
          <w:rtl w:val="true"/>
        </w:rPr>
        <w:t xml:space="preserve">, </w:t>
      </w:r>
      <w:r>
        <w:rPr>
          <w:rtl w:val="true"/>
        </w:rPr>
        <w:t>כאשר עבירות הנשק מתבצעות לאורך תקופת זמן לא קצרה כשהמערער משתמש בסוגים שונים של כלי נשק בשני אירועים שונים ובאחד מהם בצוותא עם אחרים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למכירתם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קבע לעבירות הנשק מתחם שנע בין שנתיים לארבע שנות מאסר</w:t>
      </w:r>
      <w:r>
        <w:rPr>
          <w:rtl w:val="true"/>
        </w:rPr>
        <w:t xml:space="preserve">; </w:t>
      </w:r>
      <w:r>
        <w:rPr>
          <w:rtl w:val="true"/>
        </w:rPr>
        <w:t>לעבירות הסמים מתחם שנע בין שנה לשנתיים</w:t>
      </w:r>
      <w:r>
        <w:rPr>
          <w:rtl w:val="true"/>
        </w:rPr>
        <w:t xml:space="preserve">; </w:t>
      </w:r>
      <w:r>
        <w:rPr>
          <w:rtl w:val="true"/>
        </w:rPr>
        <w:t>ולעבירת הגניבה עונש שאינו כולל מאסר עד לעונש מאסר קצר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עמד על האמור בתסקיר המבחן</w:t>
      </w:r>
      <w:r>
        <w:rPr>
          <w:rtl w:val="true"/>
        </w:rPr>
        <w:t xml:space="preserve">, </w:t>
      </w:r>
      <w:r>
        <w:rPr>
          <w:rtl w:val="true"/>
        </w:rPr>
        <w:t>לרבות הנסיבות המשפחתיות המורכבות של המערער</w:t>
      </w:r>
      <w:r>
        <w:rPr>
          <w:rtl w:val="true"/>
        </w:rPr>
        <w:t xml:space="preserve">, </w:t>
      </w:r>
      <w:r>
        <w:rPr>
          <w:rtl w:val="true"/>
        </w:rPr>
        <w:t>וגורמי הסיכון והסיכוי כשבסופו בא בהמלצה על שילובו של המערער לטיפול במסגרת מאסרו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והודאתו</w:t>
      </w:r>
      <w:r>
        <w:rPr>
          <w:rtl w:val="true"/>
        </w:rPr>
        <w:t xml:space="preserve">,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טענתו המרכזית של המערער היא שבית המשפט המחוזי לא העניק משקל ראוי לנסיבות חייו הקשות כנסיבה שמשפיעה הן על מתחמי הענישה</w:t>
      </w:r>
      <w:r>
        <w:rPr>
          <w:rtl w:val="true"/>
        </w:rPr>
        <w:t xml:space="preserve">, </w:t>
      </w:r>
      <w:r>
        <w:rPr>
          <w:rtl w:val="true"/>
        </w:rPr>
        <w:t>הן על קביעת העונשים בתוך המתחמים</w:t>
      </w:r>
      <w:r>
        <w:rPr>
          <w:rtl w:val="true"/>
        </w:rPr>
        <w:t xml:space="preserve">, </w:t>
      </w:r>
      <w:r>
        <w:rPr>
          <w:rtl w:val="true"/>
        </w:rPr>
        <w:t>והן על האופן בו ראוי לצבור או לחפוף בין העונשים</w:t>
      </w:r>
      <w:r>
        <w:rPr>
          <w:rtl w:val="true"/>
        </w:rPr>
        <w:t xml:space="preserve">. </w:t>
      </w:r>
      <w:r>
        <w:rPr>
          <w:rtl w:val="true"/>
        </w:rPr>
        <w:t>בעניין הנסיבות הקשורות לביצוע העבירות</w:t>
      </w:r>
      <w:r>
        <w:rPr>
          <w:rtl w:val="true"/>
        </w:rPr>
        <w:t xml:space="preserve">, </w:t>
      </w:r>
      <w:r>
        <w:rPr>
          <w:rtl w:val="true"/>
        </w:rPr>
        <w:t>טען המערער כי נסיבות חייו הקשות גרמו לכך שהוא נעדר כלים להימנעות מביצוע עבירות</w:t>
      </w:r>
      <w:r>
        <w:rPr>
          <w:rtl w:val="true"/>
        </w:rPr>
        <w:t xml:space="preserve">, </w:t>
      </w:r>
      <w:r>
        <w:rPr>
          <w:rtl w:val="true"/>
        </w:rPr>
        <w:t xml:space="preserve">דבר שמשפיע על </w:t>
      </w:r>
      <w:r>
        <w:rPr>
          <w:rtl w:val="true"/>
        </w:rPr>
        <w:t>"</w:t>
      </w:r>
      <w:r>
        <w:rPr>
          <w:rtl w:val="true"/>
        </w:rPr>
        <w:t>מידת אשמתו</w:t>
      </w:r>
      <w:r>
        <w:rPr>
          <w:rtl w:val="true"/>
        </w:rPr>
        <w:t xml:space="preserve">", </w:t>
      </w:r>
      <w:r>
        <w:rPr>
          <w:rtl w:val="true"/>
        </w:rPr>
        <w:t xml:space="preserve">כפי שזו באה לידי ביטוי במסגרת 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2330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113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ובפרשנות מרחיבה</w:t>
      </w:r>
      <w:r>
        <w:rPr>
          <w:rtl w:val="true"/>
        </w:rPr>
        <w:t xml:space="preserve">, </w:t>
      </w:r>
      <w:r>
        <w:rPr>
          <w:rtl w:val="true"/>
        </w:rPr>
        <w:t>עולה לכדי נסיבה שקשורה בביצוע העבירה</w:t>
      </w:r>
      <w:r>
        <w:rPr>
          <w:rtl w:val="true"/>
        </w:rPr>
        <w:t xml:space="preserve">, </w:t>
      </w:r>
      <w:r>
        <w:rPr>
          <w:rtl w:val="true"/>
        </w:rPr>
        <w:t>אשר התעלמות ממנה גורמת לעיוות דין</w:t>
      </w:r>
      <w:r>
        <w:rPr>
          <w:rtl w:val="true"/>
        </w:rPr>
        <w:t xml:space="preserve">. </w:t>
      </w:r>
      <w:r>
        <w:rPr>
          <w:rtl w:val="true"/>
        </w:rPr>
        <w:t>עוד נטען שלא הייתה התחשבות מספקת בגילו הצעיר</w:t>
      </w:r>
      <w:r>
        <w:rPr>
          <w:rtl w:val="true"/>
        </w:rPr>
        <w:t xml:space="preserve">, </w:t>
      </w:r>
      <w:r>
        <w:rPr>
          <w:rtl w:val="true"/>
        </w:rPr>
        <w:t>וכי ניתן משקל רב מידי לעברו הפלילי</w:t>
      </w:r>
      <w:r>
        <w:rPr>
          <w:rtl w:val="true"/>
        </w:rPr>
        <w:t xml:space="preserve">, </w:t>
      </w:r>
      <w:r>
        <w:rPr>
          <w:rtl w:val="true"/>
        </w:rPr>
        <w:t>דבר שגרם לסטייה קיצונית לחומרה מהעונש הראוי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היה ראוי למקם את עונשיו בסמוך לרף התחתון של כל מתחם שהיה נקבע</w:t>
      </w:r>
      <w:r>
        <w:rPr>
          <w:rtl w:val="true"/>
        </w:rPr>
        <w:t xml:space="preserve">, </w:t>
      </w:r>
      <w:r>
        <w:rPr>
          <w:rtl w:val="true"/>
        </w:rPr>
        <w:t>אם לא ממש בתחתיתו</w:t>
      </w:r>
      <w:r>
        <w:rPr>
          <w:rtl w:val="true"/>
        </w:rPr>
        <w:t xml:space="preserve">. </w:t>
      </w:r>
      <w:r>
        <w:rPr>
          <w:rtl w:val="true"/>
        </w:rPr>
        <w:t>לנוכח כל אלה</w:t>
      </w:r>
      <w:r>
        <w:rPr>
          <w:rtl w:val="true"/>
        </w:rPr>
        <w:t xml:space="preserve">, </w:t>
      </w:r>
      <w:r>
        <w:rPr>
          <w:rtl w:val="true"/>
        </w:rPr>
        <w:t>המערער עותר להקלה משמעותית בעונשו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לקראת הדיון בערעור הוגש לעיוננו תסקיר עדכני של שירות המבחן</w:t>
      </w:r>
      <w:r>
        <w:rPr>
          <w:rtl w:val="true"/>
        </w:rPr>
        <w:t xml:space="preserve">, </w:t>
      </w:r>
      <w:r>
        <w:rPr>
          <w:rtl w:val="true"/>
        </w:rPr>
        <w:t>בו צוין כי המערער נפלט מאגף משתלבים בבית הסוהר לאור מעורבות שולית ומידע מודיעיני שלילי</w:t>
      </w:r>
      <w:r>
        <w:rPr>
          <w:rtl w:val="true"/>
        </w:rPr>
        <w:t xml:space="preserve">. </w:t>
      </w:r>
      <w:r>
        <w:rPr>
          <w:rtl w:val="true"/>
        </w:rPr>
        <w:t>כעת המערער שוהה באגף משתלבים בבית סוהר אחר</w:t>
      </w:r>
      <w:r>
        <w:rPr>
          <w:rtl w:val="true"/>
        </w:rPr>
        <w:t xml:space="preserve">, </w:t>
      </w:r>
      <w:r>
        <w:rPr>
          <w:rtl w:val="true"/>
        </w:rPr>
        <w:t>ושולב לאחרונה בקבוצה טיפולית בנושא שינוי דפוסים</w:t>
      </w:r>
      <w:r>
        <w:rPr>
          <w:rtl w:val="true"/>
        </w:rPr>
        <w:t xml:space="preserve">. </w:t>
      </w:r>
      <w:r>
        <w:rPr>
          <w:rtl w:val="true"/>
        </w:rPr>
        <w:t>שירות המבחן מוסיף כי המערער מודה במיוחס לו</w:t>
      </w:r>
      <w:r>
        <w:rPr>
          <w:rtl w:val="true"/>
        </w:rPr>
        <w:t xml:space="preserve">, </w:t>
      </w:r>
      <w:r>
        <w:rPr>
          <w:rtl w:val="true"/>
        </w:rPr>
        <w:t>מביע חרטה ומוטיבציה מילולית לטיפול בתחום האלימות</w:t>
      </w:r>
      <w:r>
        <w:rPr>
          <w:rtl w:val="true"/>
        </w:rPr>
        <w:t xml:space="preserve">, </w:t>
      </w:r>
      <w:r>
        <w:rPr>
          <w:rtl w:val="true"/>
        </w:rPr>
        <w:t>אך חרף מודעותו להתמכרותו לסמים</w:t>
      </w:r>
      <w:r>
        <w:rPr>
          <w:rtl w:val="true"/>
        </w:rPr>
        <w:t xml:space="preserve">, </w:t>
      </w:r>
      <w:r>
        <w:rPr>
          <w:rtl w:val="true"/>
        </w:rPr>
        <w:t>מתקשה להתחייב לטיפול בתחום זה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המשיבה ביקשה לדחות את הערעור</w:t>
      </w:r>
      <w:r>
        <w:rPr>
          <w:rtl w:val="true"/>
        </w:rPr>
        <w:t xml:space="preserve">, </w:t>
      </w:r>
      <w:r>
        <w:rPr>
          <w:rtl w:val="true"/>
        </w:rPr>
        <w:t>בנמקה עמדתה באלה</w:t>
      </w:r>
      <w:r>
        <w:rPr>
          <w:rtl w:val="true"/>
        </w:rPr>
        <w:t xml:space="preserve">: </w:t>
      </w:r>
      <w:r>
        <w:rPr>
          <w:rtl w:val="true"/>
        </w:rPr>
        <w:t>חרף גילו הצעיר של המערער</w:t>
      </w:r>
      <w:r>
        <w:rPr>
          <w:rtl w:val="true"/>
        </w:rPr>
        <w:t xml:space="preserve">, </w:t>
      </w:r>
      <w:r>
        <w:rPr>
          <w:rtl w:val="true"/>
        </w:rPr>
        <w:t>עברו הפלילי מכביד</w:t>
      </w:r>
      <w:r>
        <w:rPr>
          <w:rtl w:val="true"/>
        </w:rPr>
        <w:t xml:space="preserve">; </w:t>
      </w:r>
      <w:r>
        <w:rPr>
          <w:rtl w:val="true"/>
        </w:rPr>
        <w:t>ניכרת עליית מדרגה והסלמה במעורבותו הפלילית</w:t>
      </w:r>
      <w:r>
        <w:rPr>
          <w:rtl w:val="true"/>
        </w:rPr>
        <w:t xml:space="preserve">, </w:t>
      </w:r>
      <w:r>
        <w:rPr>
          <w:rtl w:val="true"/>
        </w:rPr>
        <w:t>וזו מצויה בלב העשייה העבריינית</w:t>
      </w:r>
      <w:r>
        <w:rPr>
          <w:rtl w:val="true"/>
        </w:rPr>
        <w:t xml:space="preserve">; </w:t>
      </w:r>
      <w:r>
        <w:rPr>
          <w:rtl w:val="true"/>
        </w:rPr>
        <w:t>ביצוע שורה של מגוון עבירות בפרק זמן קצר</w:t>
      </w:r>
      <w:r>
        <w:rPr>
          <w:rtl w:val="true"/>
        </w:rPr>
        <w:t xml:space="preserve">; </w:t>
      </w:r>
      <w:r>
        <w:rPr>
          <w:rtl w:val="true"/>
        </w:rPr>
        <w:t xml:space="preserve">התמונה העולה מהתסקיר העדכני מדאיגה </w:t>
      </w:r>
      <w:r>
        <w:rPr>
          <w:rtl w:val="true"/>
        </w:rPr>
        <w:t>–</w:t>
      </w:r>
      <w:r>
        <w:rPr>
          <w:rtl w:val="true"/>
        </w:rPr>
        <w:t xml:space="preserve"> המערער מסרב להשתלב בטיפול בתחום ההתמכרויות</w:t>
      </w:r>
      <w:r>
        <w:rPr>
          <w:rtl w:val="true"/>
        </w:rPr>
        <w:t xml:space="preserve">, </w:t>
      </w:r>
      <w:r>
        <w:rPr>
          <w:rtl w:val="true"/>
        </w:rPr>
        <w:t>נפלט מאגף המשתלבים ולא ניכר שהוא עבר הליך שיקומי ברמה המצופה בשלב זה</w:t>
      </w:r>
      <w:r>
        <w:rPr>
          <w:rtl w:val="true"/>
        </w:rPr>
        <w:t xml:space="preserve">, </w:t>
      </w:r>
      <w:r>
        <w:rPr>
          <w:rtl w:val="true"/>
        </w:rPr>
        <w:t>וזאת בחלוף שנה ממתן 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העונש שהוטל שיקף את נסיבותיו האישיות</w:t>
      </w:r>
      <w:r>
        <w:rPr>
          <w:rtl w:val="true"/>
        </w:rPr>
        <w:t xml:space="preserve">, </w:t>
      </w:r>
      <w:r>
        <w:rPr>
          <w:rtl w:val="true"/>
        </w:rPr>
        <w:t>מה גם שאינו חורג ממדיניות הענישה הנוהגת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הלכה ידועה היא ש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תתערב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אלעוקבי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10</w:t>
      </w:r>
      <w:r>
        <w:rPr>
          <w:rtl w:val="true"/>
        </w:rPr>
        <w:t xml:space="preserve"> (</w:t>
      </w:r>
      <w:r>
        <w:rPr/>
        <w:t>1.1.2014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2358/14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13</w:t>
      </w:r>
      <w:r>
        <w:rPr>
          <w:rtl w:val="true"/>
        </w:rPr>
        <w:t xml:space="preserve"> (‏</w:t>
      </w:r>
      <w:r>
        <w:rPr/>
        <w:t>21.5.2014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נאמר כבר עתה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סברנו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משום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ראינו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טוען שנסיבות חייו הקשות השפיעו על מידת אשמתו מכיוון שאלו מנעו ממנו את היכולת להימנע מביצוע עבירות פליליות </w:t>
      </w:r>
      <w:r>
        <w:rPr>
          <w:rtl w:val="true"/>
        </w:rPr>
        <w:t>(</w:t>
      </w:r>
      <w:r>
        <w:rPr>
          <w:rtl w:val="true"/>
        </w:rPr>
        <w:t>גם כנסיבה הקשורה בביצוע העבירות</w:t>
      </w:r>
      <w:r>
        <w:rPr>
          <w:rtl w:val="true"/>
        </w:rPr>
        <w:t xml:space="preserve">). </w:t>
      </w:r>
      <w:r>
        <w:rPr>
          <w:rtl w:val="true"/>
        </w:rPr>
        <w:t>לא מצאנו לקבל הטענה</w:t>
      </w:r>
      <w:r>
        <w:rPr>
          <w:rtl w:val="true"/>
        </w:rPr>
        <w:t xml:space="preserve">. </w:t>
      </w:r>
      <w:r>
        <w:rPr>
          <w:rtl w:val="true"/>
        </w:rPr>
        <w:t xml:space="preserve">מתחם הענישה נקבע בהתאם לעיקרון ההלימה </w:t>
      </w:r>
      <w:r>
        <w:rPr>
          <w:rtl w:val="true"/>
        </w:rPr>
        <w:t>(</w:t>
      </w:r>
      <w:r>
        <w:rPr>
          <w:rtl w:val="true"/>
        </w:rPr>
        <w:t xml:space="preserve">שמביא בחשבון את </w:t>
      </w:r>
      <w:r>
        <w:rPr>
          <w:rFonts w:ascii="Century" w:hAnsi="Century" w:cs="Century"/>
          <w:sz w:val="22"/>
          <w:sz w:val="22"/>
          <w:rtl w:val="true"/>
        </w:rPr>
        <w:t>חומרת העבירה בנסיבותיה ואת מידת האשמה</w:t>
      </w:r>
      <w:r>
        <w:rPr>
          <w:rtl w:val="true"/>
        </w:rPr>
        <w:t xml:space="preserve">), </w:t>
      </w:r>
      <w:r>
        <w:rPr>
          <w:rtl w:val="true"/>
        </w:rPr>
        <w:t>תוך התחשבות בערך החברתי שנפגע מביצוע העבירה ובמידת הפגיעה בו</w:t>
      </w:r>
      <w:r>
        <w:rPr>
          <w:rtl w:val="true"/>
        </w:rPr>
        <w:t xml:space="preserve">; </w:t>
      </w:r>
      <w:r>
        <w:rPr>
          <w:rtl w:val="true"/>
        </w:rPr>
        <w:t>במדיניות הענישה הנהוגה</w:t>
      </w:r>
      <w:r>
        <w:rPr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tl w:val="true"/>
        </w:rPr>
        <w:t xml:space="preserve">בנסיבות </w:t>
      </w:r>
      <w:r>
        <w:rPr>
          <w:rFonts w:ascii="Century" w:hAnsi="Century" w:cs="Century"/>
          <w:b/>
          <w:b/>
          <w:sz w:val="22"/>
          <w:sz w:val="22"/>
          <w:rtl w:val="true"/>
        </w:rPr>
        <w:t>הקשורות</w:t>
      </w:r>
      <w:r>
        <w:rPr>
          <w:rtl w:val="true"/>
        </w:rPr>
        <w:t xml:space="preserve"> בביצוע העבירה </w:t>
      </w:r>
      <w:r>
        <w:rPr>
          <w:rFonts w:cs="Century" w:ascii="Century" w:hAnsi="Century"/>
          <w:sz w:val="22"/>
          <w:rtl w:val="true"/>
        </w:rPr>
        <w:t>(</w:t>
      </w:r>
      <w:hyperlink r:id="rId3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40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>נסיבותיו האישיות של הנאשם אינן מובאות בחשבון בשלב</w:t>
      </w:r>
      <w:r>
        <w:rPr>
          <w:rFonts w:ascii="Century" w:hAnsi="Century" w:cs="Century"/>
          <w:sz w:val="22"/>
          <w:sz w:val="22"/>
          <w:rtl w:val="true"/>
        </w:rPr>
        <w:t xml:space="preserve">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אלא יובאו במניין השיקולים בקביעת העונש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(</w:t>
      </w:r>
      <w:hyperlink r:id="rId35">
        <w:r>
          <w:rPr>
            <w:rStyle w:val="Hyperlink"/>
            <w:rFonts w:ascii="Times New Roman" w:hAnsi="Times New Roman" w:cs="Times New Roman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z w:val="22"/>
            <w:u w:val="single"/>
          </w:rPr>
          <w:t>8641/12</w:t>
        </w:r>
      </w:hyperlink>
      <w:r>
        <w:rPr>
          <w:rFonts w:cs="Times New Roman" w:ascii="Times New Roman" w:hAnsi="Times New Roman"/>
          <w:sz w:val="22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בפסקאות  </w:t>
      </w:r>
      <w:r>
        <w:rPr>
          <w:rFonts w:cs="Times New Roman" w:ascii="Times New Roman" w:hAnsi="Times New Roman"/>
          <w:sz w:val="22"/>
        </w:rPr>
        <w:t>24-23</w:t>
      </w:r>
      <w:r>
        <w:rPr>
          <w:rFonts w:cs="Times New Roman" w:ascii="Times New Roman" w:hAnsi="Times New Roman"/>
          <w:sz w:val="22"/>
          <w:rtl w:val="true"/>
        </w:rPr>
        <w:t xml:space="preserve"> (</w:t>
      </w:r>
      <w:r>
        <w:rPr/>
        <w:t>5.8.2013</w:t>
      </w:r>
      <w:r>
        <w:rPr>
          <w:rFonts w:cs="Times New Roman" w:ascii="Times New Roman" w:hAnsi="Times New Roman"/>
          <w:sz w:val="22"/>
          <w:rtl w:val="true"/>
        </w:rPr>
        <w:t xml:space="preserve">); </w:t>
      </w:r>
      <w:hyperlink r:id="rId36">
        <w:r>
          <w:rPr>
            <w:rStyle w:val="Hyperlink"/>
            <w:rFonts w:ascii="Times New Roman" w:hAnsi="Times New Roman" w:cs="Times New Roman"/>
            <w:color w:val="0000FF"/>
            <w:sz w:val="22"/>
            <w:sz w:val="22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sz w:val="22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cs="Times New Roman" w:ascii="Times New Roman" w:hAnsi="Times New Roman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sz w:val="22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לחוק</w:t>
      </w:r>
      <w:r>
        <w:rPr>
          <w:rFonts w:cs="Times New Roman" w:ascii="Times New Roman" w:hAnsi="Times New Roman"/>
          <w:sz w:val="22"/>
          <w:rtl w:val="true"/>
        </w:rPr>
        <w:t>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 הטענה בדבר ייחוס משקל גבוה מידי לעברו הפלילי של המערער</w:t>
      </w:r>
      <w:r>
        <w:rPr>
          <w:rtl w:val="true"/>
        </w:rPr>
        <w:t xml:space="preserve">, </w:t>
      </w:r>
      <w:r>
        <w:rPr>
          <w:rtl w:val="true"/>
        </w:rPr>
        <w:t>עולה מגזר</w:t>
      </w:r>
      <w:r>
        <w:rPr>
          <w:rtl w:val="true"/>
        </w:rPr>
        <w:t>-</w:t>
      </w:r>
      <w:r>
        <w:rPr>
          <w:rtl w:val="true"/>
        </w:rPr>
        <w:t xml:space="preserve">הדין כי נסיבה זו נלקחה בחשבון במסגרת קביעת העונשים בתוך המתחמים והיוותה נסיבה אחת מבין מספר נסיבות שמנה בית המשפט לחומרה </w:t>
      </w:r>
      <w:r>
        <w:rPr>
          <w:rtl w:val="true"/>
        </w:rPr>
        <w:t>(</w:t>
      </w:r>
      <w:r>
        <w:rPr>
          <w:rtl w:val="true"/>
        </w:rPr>
        <w:t xml:space="preserve">ראו 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>).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כמצוות המחוקק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בית המשפט המחוזי התחשב בנסיבותיו האישיות של המערער ובגילו הצעיר בשלב קביעת העונשים בתוך המתחמים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באמרו כי </w:t>
      </w:r>
      <w:r>
        <w:rPr>
          <w:rFonts w:cs="Arial TUR;Arial" w:ascii="Arial TUR;Arial" w:hAnsi="Arial TUR;Arial"/>
          <w:sz w:val="22"/>
          <w:rtl w:val="true"/>
        </w:rPr>
        <w:t>"...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עומדים לזכותו של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המערער </w:t>
      </w:r>
      <w:r>
        <w:rPr>
          <w:rFonts w:ascii="Arial TUR;Arial" w:hAnsi="Arial TUR;Arial" w:cs="Arial TUR;Arial"/>
          <w:sz w:val="22"/>
          <w:sz w:val="22"/>
          <w:rtl w:val="true"/>
        </w:rPr>
        <w:t>–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ג</w:t>
      </w:r>
      <w:r>
        <w:rPr>
          <w:rFonts w:cs="Arial TUR;Arial" w:ascii="Arial TUR;Arial" w:hAnsi="Arial TUR;Arial"/>
          <w:sz w:val="22"/>
          <w:rtl w:val="true"/>
        </w:rPr>
        <w:t>'.</w:t>
      </w:r>
      <w:r>
        <w:rPr>
          <w:rFonts w:ascii="Arial TUR;Arial" w:hAnsi="Arial TUR;Arial" w:cs="Arial TUR;Arial"/>
          <w:sz w:val="22"/>
          <w:sz w:val="22"/>
          <w:rtl w:val="true"/>
        </w:rPr>
        <w:t>ק</w:t>
      </w:r>
      <w:r>
        <w:rPr>
          <w:rFonts w:cs="Arial TUR;Arial" w:ascii="Arial TUR;Arial" w:hAnsi="Arial TUR;Arial"/>
          <w:sz w:val="22"/>
          <w:rtl w:val="true"/>
        </w:rPr>
        <w:t xml:space="preserve">) </w:t>
      </w:r>
      <w:r>
        <w:rPr>
          <w:rFonts w:ascii="Arial TUR;Arial" w:hAnsi="Arial TUR;Arial" w:cs="Arial TUR;Arial"/>
          <w:sz w:val="22"/>
          <w:sz w:val="22"/>
          <w:rtl w:val="true"/>
        </w:rPr>
        <w:t>גילו הצעיר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המותיר פתח תקווה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תנאי החיים הקשים שליוו את הנאשם מראשית ילדותו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כך שנקודת הזינוק של חייו לא הקלה עימו</w:t>
      </w:r>
      <w:r>
        <w:rPr>
          <w:rFonts w:cs="Arial TUR;Arial" w:ascii="Arial TUR;Arial" w:hAnsi="Arial TUR;Arial"/>
          <w:sz w:val="22"/>
          <w:rtl w:val="true"/>
        </w:rPr>
        <w:t>" (</w:t>
      </w:r>
      <w:r>
        <w:rPr>
          <w:rFonts w:ascii="Arial TUR;Arial" w:hAnsi="Arial TUR;Arial" w:cs="Arial TUR;Arial"/>
          <w:sz w:val="22"/>
          <w:sz w:val="22"/>
          <w:rtl w:val="true"/>
        </w:rPr>
        <w:t>שם</w:t>
      </w:r>
      <w:r>
        <w:rPr>
          <w:rFonts w:cs="Arial TUR;Arial" w:ascii="Arial TUR;Arial" w:hAnsi="Arial TUR;Arial"/>
          <w:sz w:val="22"/>
          <w:rtl w:val="true"/>
        </w:rPr>
        <w:t xml:space="preserve">). </w:t>
      </w:r>
      <w:r>
        <w:rPr>
          <w:rFonts w:ascii="Arial TUR;Arial" w:hAnsi="Arial TUR;Arial" w:cs="Arial TUR;Arial"/>
          <w:sz w:val="22"/>
          <w:sz w:val="22"/>
          <w:rtl w:val="true"/>
        </w:rPr>
        <w:t>משכך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ברי כי לא קמה עילה להתערבותנו בעניינים אלו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לקביעת העונשים בתוך המתחמים</w:t>
      </w:r>
      <w:r>
        <w:rPr>
          <w:rtl w:val="true"/>
        </w:rPr>
        <w:t xml:space="preserve">, </w:t>
      </w:r>
      <w:r>
        <w:rPr>
          <w:rtl w:val="true"/>
        </w:rPr>
        <w:t xml:space="preserve">בהתחשב במגמת ההחמרה בעבירות נשק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1323/13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בפסקה </w:t>
      </w:r>
      <w:r>
        <w:rPr>
          <w:rFonts w:cs="FrankRuehl" w:ascii="FrankRuehl" w:hAnsi="FrankRuehl"/>
          <w:color w:val="000000"/>
          <w:sz w:val="28"/>
        </w:rPr>
        <w:t>12</w:t>
      </w:r>
      <w:r>
        <w:rPr>
          <w:rFonts w:cs="Times New Roman" w:ascii="Times New Roman" w:hAnsi="Times New Roman"/>
          <w:rtl w:val="true"/>
        </w:rPr>
        <w:t xml:space="preserve"> (‏</w:t>
      </w:r>
      <w:r>
        <w:rPr>
          <w:rFonts w:cs="Times New Roman" w:ascii="Times New Roman" w:hAnsi="Times New Roman"/>
        </w:rPr>
        <w:t>5.6.2013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) </w:t>
      </w:r>
      <w:r>
        <w:rPr>
          <w:rtl w:val="true"/>
        </w:rPr>
        <w:t>ובנסיבות הביצוע החמורות של העבירות בהן הורשע המערער</w:t>
      </w:r>
      <w:r>
        <w:rPr>
          <w:rtl w:val="true"/>
        </w:rPr>
        <w:t xml:space="preserve">; </w:t>
      </w:r>
      <w:r>
        <w:rPr>
          <w:rtl w:val="true"/>
        </w:rPr>
        <w:t>בפוטנציאל הנזק הן לגוף והן לרכוש</w:t>
      </w:r>
      <w:r>
        <w:rPr>
          <w:rtl w:val="true"/>
        </w:rPr>
        <w:t xml:space="preserve">; </w:t>
      </w:r>
      <w:r>
        <w:rPr>
          <w:rtl w:val="true"/>
        </w:rPr>
        <w:t>בכך שהעבירות באישום השני נעשו בצוותא ובמטרה לפגוע באחר</w:t>
      </w:r>
      <w:r>
        <w:rPr>
          <w:rtl w:val="true"/>
        </w:rPr>
        <w:t xml:space="preserve">, </w:t>
      </w:r>
      <w:r>
        <w:rPr>
          <w:rtl w:val="true"/>
        </w:rPr>
        <w:t>לאחר הצטיידות בסוגים שונים של כלי נשק</w:t>
      </w:r>
      <w:r>
        <w:rPr>
          <w:rtl w:val="true"/>
        </w:rPr>
        <w:t xml:space="preserve">; </w:t>
      </w:r>
      <w:r>
        <w:rPr>
          <w:rtl w:val="true"/>
        </w:rPr>
        <w:t>בעברו הפלילי של המערער</w:t>
      </w:r>
      <w:r>
        <w:rPr>
          <w:rtl w:val="true"/>
        </w:rPr>
        <w:t xml:space="preserve">; </w:t>
      </w:r>
      <w:r>
        <w:rPr>
          <w:rtl w:val="true"/>
        </w:rPr>
        <w:t xml:space="preserve">ובכך שביצע את העבירות </w:t>
      </w:r>
      <w:r>
        <w:rPr>
          <w:rFonts w:ascii="Century" w:hAnsi="Century" w:cs="Century"/>
          <w:sz w:val="22"/>
          <w:sz w:val="22"/>
          <w:rtl w:val="true"/>
        </w:rPr>
        <w:t>בסמוך לאחר שחרורו ממאסר קודם</w:t>
      </w:r>
      <w:r>
        <w:rPr>
          <w:rtl w:val="true"/>
        </w:rPr>
        <w:t xml:space="preserve">, </w:t>
      </w:r>
      <w:r>
        <w:rPr>
          <w:rtl w:val="true"/>
        </w:rPr>
        <w:t>לא מצאנו כי נפלה שגגה מלפני בית המשפט במיקומו בתוך המתחם</w:t>
      </w:r>
      <w:r>
        <w:rPr>
          <w:rtl w:val="true"/>
        </w:rPr>
        <w:t xml:space="preserve">. </w:t>
      </w:r>
      <w:r>
        <w:rPr>
          <w:rtl w:val="true"/>
        </w:rPr>
        <w:t>כך גם באשר למיקומו של המערער במתחם שנקבע לעבירות הסמים בהתחשב במספר הרב של העבירות ובמשך זמן ביצוען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sz w:val="28"/>
        </w:rPr>
      </w:pPr>
      <w:r>
        <w:rPr>
          <w:rtl w:val="true"/>
        </w:rPr>
        <w:t>באשר למידת החפיפה בין העונשים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שישה חודשים מתוך תקופת המאסר ירוצו בחופף</w:t>
      </w:r>
      <w:r>
        <w:rPr>
          <w:rtl w:val="true"/>
        </w:rPr>
        <w:t xml:space="preserve">, </w:t>
      </w:r>
      <w:r>
        <w:rPr>
          <w:rtl w:val="true"/>
        </w:rPr>
        <w:t>והיתר במצטבר</w:t>
      </w:r>
      <w:r>
        <w:rPr>
          <w:rtl w:val="true"/>
        </w:rPr>
        <w:t xml:space="preserve">. </w:t>
      </w:r>
      <w:r>
        <w:rPr>
          <w:rtl w:val="true"/>
        </w:rPr>
        <w:t>בבית משפט זה נקבע כי ערכאת הערעור תתערב בהחלטת הערכאה הדיונית בדבר צבירת עונשים מקום בו היא מביאה להטלת עונש שאינו ראוי</w:t>
      </w:r>
      <w:r>
        <w:rPr>
          <w:sz w:val="28"/>
          <w:sz w:val="28"/>
          <w:rtl w:val="true"/>
        </w:rPr>
        <w:t xml:space="preserve"> בנסיבות המקרה </w:t>
      </w:r>
      <w:r>
        <w:rPr>
          <w:sz w:val="28"/>
          <w:rtl w:val="true"/>
        </w:rPr>
        <w:t>(</w:t>
      </w: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8080/12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אולמרט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בפסקה </w:t>
      </w:r>
      <w:r>
        <w:rPr>
          <w:sz w:val="28"/>
        </w:rPr>
        <w:t>145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לפסק דינו של השופט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כתוארו אז</w:t>
      </w:r>
      <w:r>
        <w:rPr>
          <w:sz w:val="28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(‏</w:t>
      </w:r>
      <w:r>
        <w:rPr>
          <w:sz w:val="28"/>
        </w:rPr>
        <w:t>28.9.2016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לא זה המקרה שלפנינו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משכך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 קמה עילה להתערבותנו במידת החפיפה ביניהם</w:t>
      </w:r>
      <w:r>
        <w:rPr>
          <w:sz w:val="28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rtl w:val="true"/>
        </w:rPr>
        <w:t>באשר להפעלת עונש המאסר המותנה במצטבר</w:t>
      </w:r>
      <w:r>
        <w:rPr>
          <w:rtl w:val="true"/>
        </w:rPr>
        <w:t xml:space="preserve">, </w:t>
      </w:r>
      <w:r>
        <w:rPr>
          <w:rtl w:val="true"/>
        </w:rPr>
        <w:t xml:space="preserve">יש לזכור כי </w:t>
      </w:r>
      <w:r>
        <w:rPr>
          <w:rFonts w:ascii="Times New Roman" w:hAnsi="Times New Roman" w:cs="Times New Roman"/>
          <w:rtl w:val="true"/>
        </w:rPr>
        <w:t xml:space="preserve">ברירת המחדל בהפעלת עונש מאסר מותנה היא כי זה יופעל במצטבר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3680/17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8"/>
          <w:sz w:val="28"/>
          <w:rtl w:val="true"/>
        </w:rPr>
        <w:t xml:space="preserve">בפסקה </w:t>
      </w:r>
      <w:r>
        <w:rPr>
          <w:color w:val="000000"/>
          <w:sz w:val="28"/>
        </w:rPr>
        <w:t>28</w:t>
      </w:r>
      <w:r>
        <w:rPr>
          <w:color w:val="000000"/>
          <w:sz w:val="28"/>
          <w:rtl w:val="true"/>
        </w:rPr>
        <w:t xml:space="preserve"> (</w:t>
      </w:r>
      <w:r>
        <w:rPr>
          <w:rFonts w:cs="Times New Roman" w:ascii="Times New Roman" w:hAnsi="Times New Roman"/>
          <w:rtl w:val="true"/>
        </w:rPr>
        <w:t>‏</w:t>
      </w:r>
      <w:r>
        <w:rPr>
          <w:rFonts w:cs="Times New Roman" w:ascii="Times New Roman" w:hAnsi="Times New Roman"/>
        </w:rPr>
        <w:t>7.6.2018</w:t>
      </w:r>
      <w:r>
        <w:rPr>
          <w:color w:val="000000"/>
          <w:sz w:val="28"/>
          <w:rtl w:val="true"/>
        </w:rPr>
        <w:t>)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בשל סמיכות ביצוע העבירות כאן מיד ובסמוך לשחרורו ממאסר קודם</w:t>
      </w:r>
      <w:r>
        <w:rPr>
          <w:rtl w:val="true"/>
        </w:rPr>
        <w:t xml:space="preserve">, </w:t>
      </w:r>
      <w:r>
        <w:rPr>
          <w:rtl w:val="true"/>
        </w:rPr>
        <w:t>הרי שהוראת בית המשפט</w:t>
      </w:r>
      <w:r>
        <w:rPr>
          <w:sz w:val="28"/>
          <w:sz w:val="28"/>
          <w:rtl w:val="true"/>
        </w:rPr>
        <w:t xml:space="preserve"> לצבור העונש בדין יסודה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rtl w:val="true"/>
        </w:rPr>
        <w:t>מהתסקיר העדכני אכן עולה תמונה מדאיגה</w:t>
      </w:r>
      <w:r>
        <w:rPr>
          <w:rtl w:val="true"/>
        </w:rPr>
        <w:t xml:space="preserve">.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מאז מתן 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 השכיל המערער להירתם להליך טיפולי במהלך מאסרו והוא אף נפלט מאגף משתלבים עקב מעורבות שולית ומידע מודיעיני שלילי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בהיעדר אופק שיקומי נראה לעין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התוצאה העונשית ראויה והולמת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7.8.2018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17068930</w:t>
      </w:r>
      <w:r>
        <w:rPr>
          <w:sz w:val="16"/>
          <w:rtl w:val="true"/>
        </w:rPr>
        <w:t>_</w:t>
      </w:r>
      <w:r>
        <w:rPr>
          <w:sz w:val="16"/>
        </w:rPr>
        <w:t>Q02.doc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1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54678313-6893/17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6893/17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אלירון גולד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48095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c.b" TargetMode="External"/><Relationship Id="rId7" Type="http://schemas.openxmlformats.org/officeDocument/2006/relationships/hyperlink" Target="http://www.nevo.co.il/law/70301/58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/382.a" TargetMode="External"/><Relationship Id="rId12" Type="http://schemas.openxmlformats.org/officeDocument/2006/relationships/hyperlink" Target="http://www.nevo.co.il/law/70301/384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/7.a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law/4216/19a" TargetMode="External"/><Relationship Id="rId18" Type="http://schemas.openxmlformats.org/officeDocument/2006/relationships/hyperlink" Target="http://www.nevo.co.il/case/21480958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/329.a.2" TargetMode="External"/><Relationship Id="rId23" Type="http://schemas.openxmlformats.org/officeDocument/2006/relationships/hyperlink" Target="http://www.nevo.co.il/law/70301/382.a" TargetMode="External"/><Relationship Id="rId24" Type="http://schemas.openxmlformats.org/officeDocument/2006/relationships/hyperlink" Target="http://www.nevo.co.il/law/70301/25" TargetMode="External"/><Relationship Id="rId25" Type="http://schemas.openxmlformats.org/officeDocument/2006/relationships/hyperlink" Target="http://www.nevo.co.il/law/4216/13" TargetMode="External"/><Relationship Id="rId26" Type="http://schemas.openxmlformats.org/officeDocument/2006/relationships/hyperlink" Target="http://www.nevo.co.il/law/4216/19a" TargetMode="External"/><Relationship Id="rId27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law/4216/7.a" TargetMode="External"/><Relationship Id="rId29" Type="http://schemas.openxmlformats.org/officeDocument/2006/relationships/hyperlink" Target="http://www.nevo.co.il/law/4216/7.c" TargetMode="External"/><Relationship Id="rId30" Type="http://schemas.openxmlformats.org/officeDocument/2006/relationships/hyperlink" Target="http://www.nevo.co.il/law/70301/38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7765894" TargetMode="External"/><Relationship Id="rId33" Type="http://schemas.openxmlformats.org/officeDocument/2006/relationships/hyperlink" Target="http://www.nevo.co.il/case/13087561" TargetMode="External"/><Relationship Id="rId34" Type="http://schemas.openxmlformats.org/officeDocument/2006/relationships/hyperlink" Target="http://www.nevo.co.il/law/70301/40c.a" TargetMode="External"/><Relationship Id="rId35" Type="http://schemas.openxmlformats.org/officeDocument/2006/relationships/hyperlink" Target="http://www.nevo.co.il/case/5573417" TargetMode="External"/><Relationship Id="rId36" Type="http://schemas.openxmlformats.org/officeDocument/2006/relationships/hyperlink" Target="http://www.nevo.co.il/law/70301/40c.b" TargetMode="External"/><Relationship Id="rId37" Type="http://schemas.openxmlformats.org/officeDocument/2006/relationships/hyperlink" Target="http://www.nevo.co.il/case/6473037" TargetMode="External"/><Relationship Id="rId38" Type="http://schemas.openxmlformats.org/officeDocument/2006/relationships/hyperlink" Target="http://www.nevo.co.il/case/5605747" TargetMode="External"/><Relationship Id="rId39" Type="http://schemas.openxmlformats.org/officeDocument/2006/relationships/hyperlink" Target="http://www.nevo.co.il/case/22584861" TargetMode="External"/><Relationship Id="rId40" Type="http://schemas.openxmlformats.org/officeDocument/2006/relationships/hyperlink" Target="http://www.nevo.co.il/law/70301/58" TargetMode="External"/><Relationship Id="rId41" Type="http://schemas.openxmlformats.org/officeDocument/2006/relationships/hyperlink" Target="https://supreme.court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2018-08-08T11:36:00Z</dcterms:created>
  <dc:creator> </dc:creator>
  <dc:description/>
  <cp:keywords/>
  <dc:language>en-IL</dc:language>
  <cp:lastModifiedBy>orly</cp:lastModifiedBy>
  <cp:lastPrinted>2009-02-15T11:12:00Z</cp:lastPrinted>
  <dcterms:modified xsi:type="dcterms:W3CDTF">2018-08-08T11:36:00Z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אלירון גולד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21480958:2;7765894;13087561;5573417;6473037;5605747;22584861</vt:lpwstr>
  </property>
  <property fmtid="{D5CDD505-2E9C-101B-9397-08002B2CF9AE}" pid="9" name="CITY">
    <vt:lpwstr/>
  </property>
  <property fmtid="{D5CDD505-2E9C-101B-9397-08002B2CF9AE}" pid="10" name="DATE">
    <vt:lpwstr>20180807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הנדל;ג' קרא;ד' מינץ</vt:lpwstr>
  </property>
  <property fmtid="{D5CDD505-2E9C-101B-9397-08002B2CF9AE}" pid="14" name="LAWLISTTMP1">
    <vt:lpwstr>70301/144.b;192;329.a.2;382.a;025;384;040c.a;040c.b;058</vt:lpwstr>
  </property>
  <property fmtid="{D5CDD505-2E9C-101B-9397-08002B2CF9AE}" pid="15" name="LAWLISTTMP2">
    <vt:lpwstr>4216/013;019a;007.a;007.c</vt:lpwstr>
  </property>
  <property fmtid="{D5CDD505-2E9C-101B-9397-08002B2CF9AE}" pid="16" name="LAWYER">
    <vt:lpwstr>שרית רייך אבניאל;אריאל הרמן;ברכה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דיון פלילי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ערעור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1446;1446;1446;1446;504</vt:lpwstr>
  </property>
  <property fmtid="{D5CDD505-2E9C-101B-9397-08002B2CF9AE}" pid="49" name="NOSE31">
    <vt:lpwstr>הבניית שיקול הדעת השיפוטי בענישה</vt:lpwstr>
  </property>
  <property fmtid="{D5CDD505-2E9C-101B-9397-08002B2CF9AE}" pid="50" name="NOSE310">
    <vt:lpwstr/>
  </property>
  <property fmtid="{D5CDD505-2E9C-101B-9397-08002B2CF9AE}" pid="51" name="NOSE32">
    <vt:lpwstr>מתחם הענישה</vt:lpwstr>
  </property>
  <property fmtid="{D5CDD505-2E9C-101B-9397-08002B2CF9AE}" pid="52" name="NOSE33">
    <vt:lpwstr>דרכי ענישה: עונשים מצטברים</vt:lpwstr>
  </property>
  <property fmtid="{D5CDD505-2E9C-101B-9397-08002B2CF9AE}" pid="53" name="NOSE34">
    <vt:lpwstr>דרכי ענישה: הפעלת מאסר על תנאי</vt:lpwstr>
  </property>
  <property fmtid="{D5CDD505-2E9C-101B-9397-08002B2CF9AE}" pid="54" name="NOSE35">
    <vt:lpwstr>אי-התערבות במידת העונש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15573;14985;8966;17088;17039</vt:lpwstr>
  </property>
  <property fmtid="{D5CDD505-2E9C-101B-9397-08002B2CF9AE}" pid="60" name="PADIDATE">
    <vt:lpwstr>20180808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6893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410120180807</vt:lpwstr>
  </property>
  <property fmtid="{D5CDD505-2E9C-101B-9397-08002B2CF9AE}" pid="70" name="TYPE_N_DATE">
    <vt:lpwstr>41020180807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